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Entrada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GP 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1,060,230.00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1,060,230.00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1,060,230.00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 (as defined in item 2(a) below). TCG Crossover GP I (as defined in item 2(a) below) is the general partner of TCG Crossover I and may be deemed to have voting, investment, and dispositive power with respect to these securities. Chen Yu is the sole managing member of TCG Crossover GP II and may be deemed to share voting, investment and dispositive power with respect to these securities. Based on 38,820,616 shares of Common Stock outstanding as of April 30, 2026, as reported in the Issuer's quarterly report on Form 10-Q, as filed with the Securities and Exchange Commission (the Commission) on May 7, 2026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TCG Crossover Fund 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1,060,230.00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1,060,230.00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1,060,230.00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 TCG Crossover GP I is the general partner of TCG Crossover I and may be deemed to have voting, investment, and dispositive power with respect to these securities. Chen Yu is the sole managing member of TCG Crossover GP II and may be deemed to share voting, investment and dispositive power with respect to these securities. Based on 38,820,616 shares of Common Stock outstanding as of April 30, 2026, as reported in the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Chen Yu</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1,060,230.00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1,060,230.00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1,060,230.00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These securities are held of record by TCG Crossover I. TCG Crossover GP I is the general partner of TCG Crossover I and may be deemed to have voting, investment, and dispositive power with respect to these securities. Chen Yu is the sole managing member of TCG Crossover GP II and may be deemed to share voting, investment and dispositive power with respect to these securities. Based on 38,820,616 shares of Common Stock outstanding as of April 30, 2026, as reported in the the Form 10-Q.</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Entrada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Design Center Place, Suite 17-500,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1 (Amendment No. 1) amends and supplements the Schedule 13G initially filed with the Commission on November 25, 2025 (the Original Schedule 13G) and is being filed by TCG Crossover Fund I, L.P. (TCG Crossover I), TCG Crossover GP I, LLC (TCG Crossover GP I, and together with TCG Crossover I, the Reporting Entities) and Chen Yu (the Reporting Individual). The Reporting Entities and the Reporting Individual are collectively referred to as the Reporting Persons. The Reporting Persons expressly disclaim status as a group for purposes of this Schedule 13G. The agreement among the Reporting Persons to file jointly in accordance with the provisions of Rule 13d-1(k)(1) under the Act is attached as Exhibit 1 to the Original Schedule 13G. Other than those securities reported herein as being held directly by such Reporting Person, each Reporting Person disclaims beneficial ownership of all securities reported in this Statement except to the extent of such Reporting Person's pecuniary interest therein. Capitalized terms not defined in this Amendment No. 1 have the meanings ascribed to them in the Original Schedule 13G.</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245 Lytton Ave., Suite 350,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TCG Crossover GP I is a limited liability company organized under the laws of the State of Delaware. TCG Crossover I is a limited partnership organized under the laws of the State of Delaware. The Reporting Individual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comments. Each of the Reporting Persons disclaims beneficial ownership as to such securities, except to the extent of his or its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comments. Each of the Reporting Persons disclaims beneficial ownership as to such securities, except to the extent of his or its pecuniary interest therein.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comments. Each of the Reporting Persons disclaims beneficial ownership as to such securities, except to the extent of his or its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 of TCG Crossover I and the limited liability company agreement of TCG Crossover GP I,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TCG Crossover GP I,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Craig Skaling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TCG Crossover Fund I, L.P.</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Craig Skaling</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2304" w:type="dxa"/>
        <w:jc w:val="left"/>
        <w:tblInd w:w="0" w:type="dxa"/>
        <w:tblLayout w:type="fixed"/>
        <w:tblCellMar>
          <w:top w:w="28" w:type="dxa"/>
          <w:left w:w="28" w:type="dxa"/>
          <w:bottom w:w="28" w:type="dxa"/>
          <w:right w:w="28" w:type="dxa"/>
        </w:tblCellMar>
      </w:tblPr>
      <w:tblGrid>
        <w:gridCol w:w="1152"/>
        <w:gridCol w:w="1152"/>
      </w:tblGrid>
      <w:tr>
        <w:trPr/>
        <w:tc>
          <w:tcPr>
            <w:tcW w:w="1152" w:type="dxa"/>
            <w:tcBorders/>
            <w:vAlign w:val="center"/>
          </w:tcPr>
          <w:p>
            <w:pPr>
              <w:pStyle w:val="TableContents"/>
              <w:bidi w:val="0"/>
              <w:spacing w:before="0" w:after="0"/>
              <w:jc w:val="left"/>
              <w:rPr/>
            </w:pPr>
            <w:r>
              <w:rPr/>
              <w:t> </w:t>
            </w:r>
          </w:p>
          <w:tbl>
            <w:tblPr>
              <w:tblW w:w="1036" w:type="dxa"/>
              <w:jc w:val="left"/>
              <w:tblInd w:w="0" w:type="dxa"/>
              <w:tblLayout w:type="fixed"/>
              <w:tblCellMar>
                <w:top w:w="28" w:type="dxa"/>
                <w:left w:w="28" w:type="dxa"/>
                <w:bottom w:w="28" w:type="dxa"/>
                <w:right w:w="28" w:type="dxa"/>
              </w:tblCellMar>
            </w:tblPr>
            <w:tblGrid>
              <w:gridCol w:w="1036"/>
            </w:tblGrid>
            <w:tr>
              <w:trPr/>
              <w:tc>
                <w:tcPr>
                  <w:tcW w:w="1036" w:type="dxa"/>
                  <w:tcBorders/>
                  <w:vAlign w:val="center"/>
                </w:tcPr>
                <w:p>
                  <w:pPr>
                    <w:pStyle w:val="TableContents"/>
                    <w:bidi w:val="0"/>
                    <w:spacing w:before="0" w:after="0"/>
                    <w:jc w:val="left"/>
                    <w:rPr/>
                  </w:pPr>
                  <w:r>
                    <w:rPr/>
                    <w:t>Chen Yu</w:t>
                  </w:r>
                </w:p>
              </w:tc>
            </w:tr>
          </w:tbl>
          <w:p>
            <w:pPr>
              <w:pStyle w:val="TableContents"/>
              <w:bidi w:val="0"/>
              <w:spacing w:before="0" w:after="283"/>
              <w:jc w:val="left"/>
              <w:rPr/>
            </w:pPr>
            <w:r>
              <w:rPr/>
            </w:r>
          </w:p>
        </w:tc>
        <w:tc>
          <w:tcPr>
            <w:tcW w:w="11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Craig Skaling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POA as Attorney-in-Fact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1925</Words>
  <Characters>9696</Characters>
  <CharactersWithSpaces>11578</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