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0155.xml.htm"/>
      <w:bookmarkStart w:id="1" w:name="kswkform4_17884701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WENTWORTH KORY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ENTRADA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DESIGN CENTER PLACE, SUITE 17-500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Entrada Therapeutics, Inc.</w:t>
              </w:r>
            </w:hyperlink>
            <w:r>
              <w:rPr/>
              <w:t xml:space="preserve"> [ </w:t>
            </w:r>
            <w:r>
              <w:rPr>
                <w:rFonts w:ascii="Times;serif" w:hAnsi="Times;serif"/>
                <w:color w:val="0000FF"/>
                <w:sz w:val="24"/>
                <w:shd w:fill="FFFFFF" w:val="clear"/>
              </w:rPr>
              <w:t>TRDA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1,733</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7.1439</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117,277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Company on behalf of the reporting person pursuant to a mandatory sell-to-cover provision in the award agreement required to cover minimum statutory tax withholding obligations.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$6.97 to $7.34,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Cohen,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663" TargetMode="External"/><Relationship Id="rId5" Type="http://schemas.openxmlformats.org/officeDocument/2006/relationships/hyperlink" Target="http://www.sec.gov/cgi-bin/browse-edgar?action=getcompany&amp;CIK=000168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3763</Characters>
  <CharactersWithSpaces>4381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