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2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6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44" w:lineRule="exact"/>
        <w:rPr>
          <w:sz w:val="24"/>
          <w:szCs w:val="24"/>
          <w:color w:val="auto"/>
        </w:rPr>
      </w:pPr>
    </w:p>
    <w:p>
      <w:pPr>
        <w:ind w:left="700" w:hanging="592"/>
        <w:spacing w:after="0"/>
        <w:tabs>
          <w:tab w:leader="none" w:pos="70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2023</w:t>
      </w:r>
    </w:p>
    <w:p>
      <w:pPr>
        <w:spacing w:after="0" w:line="5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98" w:lineRule="exact"/>
        <w:rPr>
          <w:sz w:val="24"/>
          <w:szCs w:val="24"/>
          <w:color w:val="auto"/>
        </w:rPr>
      </w:pPr>
    </w:p>
    <w:p>
      <w:pPr>
        <w:ind w:left="700" w:hanging="592"/>
        <w:spacing w:after="0"/>
        <w:tabs>
          <w:tab w:leader="none" w:pos="70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For the transition period from to</w:t>
      </w:r>
    </w:p>
    <w:p>
      <w:pPr>
        <w:spacing w:after="0" w:line="1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Commission File Number: 001-40969</w:t>
      </w:r>
    </w:p>
    <w:p>
      <w:pPr>
        <w:spacing w:after="0" w:line="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8"/>
          <w:szCs w:val="38"/>
          <w:b w:val="1"/>
          <w:bCs w:val="1"/>
          <w:color w:val="auto"/>
        </w:rPr>
        <w:t>ENTRADA THERAPEUTICS, INC.</w:t>
      </w:r>
    </w:p>
    <w:p>
      <w:pPr>
        <w:spacing w:after="0" w:line="2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ectPr>
          <w:pgSz w:w="11900" w:h="16838" w:orient="portrait"/>
          <w:cols w:equalWidth="0" w:num="1">
            <w:col w:w="11120"/>
          </w:cols>
          <w:pgMar w:left="320" w:top="607" w:right="459" w:bottom="1440" w:gutter="0" w:footer="0" w:header="0"/>
        </w:sectPr>
      </w:pPr>
    </w:p>
    <w:p>
      <w:pPr>
        <w:spacing w:after="0" w:line="280"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81-3983399</w:t>
      </w:r>
    </w:p>
    <w:p>
      <w:pPr>
        <w:spacing w:after="0" w:line="65" w:lineRule="exact"/>
        <w:rPr>
          <w:sz w:val="24"/>
          <w:szCs w:val="24"/>
          <w:color w:val="auto"/>
        </w:rPr>
      </w:pPr>
    </w:p>
    <w:p>
      <w:pPr>
        <w:sectPr>
          <w:pgSz w:w="11900" w:h="16838" w:orient="portrait"/>
          <w:cols w:equalWidth="0" w:num="2">
            <w:col w:w="7300" w:space="720"/>
            <w:col w:w="3100"/>
          </w:cols>
          <w:pgMar w:left="320" w:top="607" w:right="45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27"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5"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2"/>
          <w:szCs w:val="12"/>
          <w:b w:val="1"/>
          <w:bCs w:val="1"/>
          <w:color w:val="auto"/>
        </w:rPr>
        <w:t>Identification Number)</w:t>
      </w:r>
    </w:p>
    <w:p>
      <w:pPr>
        <w:spacing w:after="0" w:line="200" w:lineRule="exact"/>
        <w:rPr>
          <w:sz w:val="24"/>
          <w:szCs w:val="24"/>
          <w:color w:val="auto"/>
        </w:rPr>
      </w:pPr>
    </w:p>
    <w:p>
      <w:pPr>
        <w:sectPr>
          <w:pgSz w:w="11900" w:h="16838" w:orient="portrait"/>
          <w:cols w:equalWidth="0" w:num="2">
            <w:col w:w="6980" w:space="720"/>
            <w:col w:w="3420"/>
          </w:cols>
          <w:pgMar w:left="320" w:top="607" w:right="459" w:bottom="1440" w:gutter="0" w:footer="0" w:header="0"/>
          <w:type w:val="continuous"/>
        </w:sectPr>
      </w:pPr>
    </w:p>
    <w:p>
      <w:pPr>
        <w:spacing w:after="0" w:line="105" w:lineRule="exact"/>
        <w:rPr>
          <w:sz w:val="24"/>
          <w:szCs w:val="24"/>
          <w:color w:val="auto"/>
        </w:rPr>
      </w:pPr>
    </w:p>
    <w:p>
      <w:pPr>
        <w:jc w:val="center"/>
        <w:ind w:right="5700"/>
        <w:spacing w:after="0"/>
        <w:rPr>
          <w:sz w:val="20"/>
          <w:szCs w:val="20"/>
          <w:color w:val="auto"/>
        </w:rPr>
      </w:pPr>
      <w:r>
        <w:rPr>
          <w:rFonts w:ascii="Times New Roman" w:cs="Times New Roman" w:eastAsia="Times New Roman" w:hAnsi="Times New Roman"/>
          <w:sz w:val="12"/>
          <w:szCs w:val="12"/>
          <w:b w:val="1"/>
          <w:bCs w:val="1"/>
          <w:color w:val="auto"/>
        </w:rPr>
        <w:t>One Design Center Place</w:t>
      </w:r>
    </w:p>
    <w:p>
      <w:pPr>
        <w:spacing w:after="0" w:line="65" w:lineRule="exact"/>
        <w:rPr>
          <w:sz w:val="24"/>
          <w:szCs w:val="24"/>
          <w:color w:val="auto"/>
        </w:rPr>
      </w:pPr>
    </w:p>
    <w:p>
      <w:pPr>
        <w:jc w:val="center"/>
        <w:ind w:right="5700"/>
        <w:spacing w:after="0"/>
        <w:rPr>
          <w:sz w:val="20"/>
          <w:szCs w:val="20"/>
          <w:color w:val="auto"/>
        </w:rPr>
      </w:pPr>
      <w:r>
        <w:rPr>
          <w:rFonts w:ascii="Times New Roman" w:cs="Times New Roman" w:eastAsia="Times New Roman" w:hAnsi="Times New Roman"/>
          <w:sz w:val="13"/>
          <w:szCs w:val="13"/>
          <w:b w:val="1"/>
          <w:bCs w:val="1"/>
          <w:color w:val="auto"/>
        </w:rPr>
        <w:t>Suite 17-500</w:t>
      </w:r>
    </w:p>
    <w:p>
      <w:pPr>
        <w:sectPr>
          <w:pgSz w:w="11900" w:h="16838" w:orient="portrait"/>
          <w:cols w:equalWidth="0" w:num="1">
            <w:col w:w="11120"/>
          </w:cols>
          <w:pgMar w:left="320" w:top="607" w:right="459" w:bottom="1440" w:gutter="0" w:footer="0" w:header="0"/>
          <w:type w:val="continuous"/>
        </w:sectPr>
      </w:pPr>
    </w:p>
    <w:p>
      <w:pPr>
        <w:spacing w:after="0" w:line="53"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2"/>
          <w:szCs w:val="12"/>
          <w:b w:val="1"/>
          <w:bCs w:val="1"/>
          <w:color w:val="auto"/>
        </w:rPr>
        <w:t>Boston, MA</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02210</w:t>
      </w:r>
    </w:p>
    <w:p>
      <w:pPr>
        <w:spacing w:after="0" w:line="65" w:lineRule="exact"/>
        <w:rPr>
          <w:sz w:val="24"/>
          <w:szCs w:val="24"/>
          <w:color w:val="auto"/>
        </w:rPr>
      </w:pPr>
    </w:p>
    <w:p>
      <w:pPr>
        <w:sectPr>
          <w:pgSz w:w="11900" w:h="16838" w:orient="portrait"/>
          <w:cols w:equalWidth="0" w:num="2">
            <w:col w:w="7440" w:space="720"/>
            <w:col w:w="2960"/>
          </w:cols>
          <w:pgMar w:left="320" w:top="607" w:right="459"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32" w:lineRule="exact"/>
        <w:rPr>
          <w:sz w:val="24"/>
          <w:szCs w:val="24"/>
          <w:color w:val="auto"/>
        </w:rPr>
      </w:pPr>
    </w:p>
    <w:p>
      <w:pPr>
        <w:sectPr>
          <w:pgSz w:w="11900" w:h="16838" w:orient="portrait"/>
          <w:cols w:equalWidth="0" w:num="2">
            <w:col w:w="7320" w:space="720"/>
            <w:col w:w="3080"/>
          </w:cols>
          <w:pgMar w:left="320" w:top="607" w:right="45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(857) 520-9158</w:t>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ectPr>
          <w:pgSz w:w="11900" w:h="16838" w:orient="portrait"/>
          <w:cols w:equalWidth="0" w:num="1">
            <w:col w:w="11120"/>
          </w:cols>
          <w:pgMar w:left="320" w:top="607" w:right="459" w:bottom="1440" w:gutter="0" w:footer="0" w:header="0"/>
          <w:type w:val="continuous"/>
        </w:sectPr>
      </w:pPr>
    </w:p>
    <w:p>
      <w:pPr>
        <w:spacing w:after="0" w:line="2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Title of Each Class</w:t>
      </w:r>
    </w:p>
    <w:p>
      <w:pPr>
        <w:spacing w:after="0" w:line="5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Common Stock, par value $0.0001 per share</w:t>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2"/>
          <w:szCs w:val="12"/>
          <w:b w:val="1"/>
          <w:bCs w:val="1"/>
          <w:color w:val="auto"/>
        </w:rPr>
        <w:t>Trading Symbol(s)</w:t>
      </w:r>
    </w:p>
    <w:p>
      <w:pPr>
        <w:spacing w:after="0" w:line="65"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3"/>
          <w:szCs w:val="13"/>
          <w:b w:val="1"/>
          <w:bCs w:val="1"/>
          <w:color w:val="auto"/>
        </w:rPr>
        <w:t>TRDA</w:t>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p>
      <w:pPr>
        <w:spacing w:after="0" w:line="65"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3"/>
          <w:szCs w:val="13"/>
          <w:b w:val="1"/>
          <w:bCs w:val="1"/>
          <w:color w:val="auto"/>
        </w:rPr>
        <w:t>The Nasdaq Global Market</w:t>
      </w:r>
    </w:p>
    <w:p>
      <w:pPr>
        <w:spacing w:after="0" w:line="109" w:lineRule="exact"/>
        <w:rPr>
          <w:sz w:val="24"/>
          <w:szCs w:val="24"/>
          <w:color w:val="auto"/>
        </w:rPr>
      </w:pPr>
    </w:p>
    <w:p>
      <w:pPr>
        <w:sectPr>
          <w:pgSz w:w="11900" w:h="16838" w:orient="portrait"/>
          <w:cols w:equalWidth="0" w:num="3">
            <w:col w:w="4200" w:space="720"/>
            <w:col w:w="1920" w:space="720"/>
            <w:col w:w="3560"/>
          </w:cols>
          <w:pgMar w:left="320" w:top="607"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12(g) of the Act: None</w:t>
      </w:r>
    </w:p>
    <w:p>
      <w:pPr>
        <w:sectPr>
          <w:pgSz w:w="11900" w:h="16838" w:orient="portrait"/>
          <w:cols w:equalWidth="0" w:num="1">
            <w:col w:w="11120"/>
          </w:cols>
          <w:pgMar w:left="320" w:top="607" w:right="459" w:bottom="1440" w:gutter="0" w:footer="0" w:header="0"/>
          <w:type w:val="continuous"/>
        </w:sectPr>
      </w:pPr>
    </w:p>
    <w:p>
      <w:pPr>
        <w:spacing w:after="0" w:line="76" w:lineRule="exact"/>
        <w:rPr>
          <w:sz w:val="24"/>
          <w:szCs w:val="24"/>
          <w:color w:val="auto"/>
        </w:rPr>
      </w:pPr>
    </w:p>
    <w:p>
      <w:pPr>
        <w:ind w:right="4400"/>
        <w:spacing w:after="0" w:line="22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59" w:lineRule="exact"/>
        <w:rPr>
          <w:sz w:val="24"/>
          <w:szCs w:val="24"/>
          <w:color w:val="auto"/>
        </w:rPr>
      </w:pPr>
    </w:p>
    <w:p>
      <w:pPr>
        <w:ind w:right="6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right="1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86"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20"/>
          </w:cols>
          <w:pgMar w:left="320" w:top="607" w:right="459" w:bottom="1440" w:gutter="0" w:footer="0" w:header="0"/>
          <w:type w:val="continuous"/>
        </w:sectPr>
      </w:pPr>
    </w:p>
    <w:p>
      <w:pPr>
        <w:spacing w:after="0" w:line="3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244" w:lineRule="exact"/>
        <w:rPr>
          <w:sz w:val="24"/>
          <w:szCs w:val="24"/>
          <w:color w:val="auto"/>
        </w:rPr>
      </w:pPr>
    </w:p>
    <w:p>
      <w:pPr>
        <w:sectPr>
          <w:pgSz w:w="11900" w:h="16838" w:orient="portrait"/>
          <w:cols w:equalWidth="0" w:num="4">
            <w:col w:w="1700" w:space="720"/>
            <w:col w:w="400" w:space="720"/>
            <w:col w:w="2000" w:space="720"/>
            <w:col w:w="4860"/>
          </w:cols>
          <w:pgMar w:left="320" w:top="607" w:right="459" w:bottom="1440" w:gutter="0" w:footer="0" w:header="0"/>
          <w:type w:val="continuous"/>
        </w:sectPr>
      </w:pPr>
    </w:p>
    <w:p>
      <w:pPr>
        <w:spacing w:after="0" w:line="2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198" w:lineRule="exact"/>
        <w:rPr>
          <w:sz w:val="24"/>
          <w:szCs w:val="24"/>
          <w:color w:val="auto"/>
        </w:rPr>
      </w:pPr>
    </w:p>
    <w:p>
      <w:pPr>
        <w:sectPr>
          <w:pgSz w:w="11900" w:h="16838" w:orient="portrait"/>
          <w:cols w:equalWidth="0" w:num="6">
            <w:col w:w="1700" w:space="720"/>
            <w:col w:w="400" w:space="720"/>
            <w:col w:w="2000" w:space="720"/>
            <w:col w:w="400" w:space="720"/>
            <w:col w:w="2000" w:space="720"/>
            <w:col w:w="1020"/>
          </w:cols>
          <w:pgMar w:left="320" w:top="607" w:right="459" w:bottom="1440" w:gutter="0" w:footer="0" w:header="0"/>
          <w:type w:val="continuous"/>
        </w:sectPr>
      </w:pPr>
    </w:p>
    <w:p>
      <w:pPr>
        <w:ind w:right="20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2" w:lineRule="exact"/>
        <w:rPr>
          <w:sz w:val="24"/>
          <w:szCs w:val="24"/>
          <w:color w:val="auto"/>
        </w:rPr>
      </w:pPr>
    </w:p>
    <w:p>
      <w:pPr>
        <w:ind w:right="10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59" w:lineRule="exact"/>
        <w:rPr>
          <w:sz w:val="24"/>
          <w:szCs w:val="24"/>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59" w:lineRule="exact"/>
        <w:rPr>
          <w:sz w:val="24"/>
          <w:szCs w:val="24"/>
          <w:color w:val="auto"/>
        </w:rPr>
      </w:pPr>
    </w:p>
    <w:p>
      <w:pPr>
        <w:ind w:right="14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30"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36"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3"/>
          <w:szCs w:val="13"/>
          <w:color w:val="auto"/>
        </w:rPr>
        <w:t>The aggregate market value of registrant’s common equity held by non-affiliates of registrant on June 30, 2023 was approximately $431.2 million based upon the closing sale price of the common stock as reported on The Nasdaq Global Market as of such date. In determining the market value of non-affiliate common stock, shares of the registrant’s common stock beneficially owned by officers, directors and affiliates have been excluded. This determination of affiliate status is not necessarily a conclusive determination for other purposes.</w:t>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March 6, 2024, the registrant had 33,601,103 shares of common stock, $0.0001 par value per share, outstanding.</w:t>
      </w:r>
    </w:p>
    <w:p>
      <w:pPr>
        <w:spacing w:after="0" w:line="13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676910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07" w:right="4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3"/>
          <w:szCs w:val="13"/>
          <w:color w:val="auto"/>
        </w:rPr>
        <w:t>Portions of the registrant's definitive Proxy Statement for its 2024 Annual Meeting of Stockholders, which the registrant intends to file pursuant to Regulation 14A with the Securities and Exchange Commission not later than 120 days after the registrant's fiscal year ended December 31, 2023,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709295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607"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8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1340" w:type="dxa"/>
            <w:vAlign w:val="bottom"/>
          </w:tcPr>
          <w:p>
            <w:pPr>
              <w:spacing w:after="0"/>
              <w:rPr>
                <w:sz w:val="17"/>
                <w:szCs w:val="17"/>
                <w:color w:val="auto"/>
              </w:rPr>
            </w:pPr>
          </w:p>
        </w:tc>
      </w:tr>
      <w:tr>
        <w:trPr>
          <w:trHeight w:val="831"/>
        </w:trPr>
        <w:tc>
          <w:tcPr>
            <w:tcW w:w="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560" w:type="dxa"/>
            <w:vAlign w:val="bottom"/>
            <w:gridSpan w:val="9"/>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340" w:type="dxa"/>
            <w:vAlign w:val="bottom"/>
          </w:tcPr>
          <w:p>
            <w:pPr>
              <w:spacing w:after="0"/>
              <w:rPr>
                <w:sz w:val="24"/>
                <w:szCs w:val="24"/>
                <w:color w:val="auto"/>
              </w:rPr>
            </w:pPr>
          </w:p>
        </w:tc>
      </w:tr>
      <w:tr>
        <w:trPr>
          <w:trHeight w:val="51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3940" w:type="dxa"/>
            <w:vAlign w:val="bottom"/>
            <w:gridSpan w:val="4"/>
          </w:tcPr>
          <w:p>
            <w:pPr>
              <w:spacing w:after="0"/>
              <w:rPr>
                <w:sz w:val="18"/>
                <w:szCs w:val="18"/>
                <w:color w:val="auto"/>
              </w:rPr>
            </w:pPr>
          </w:p>
        </w:tc>
        <w:tc>
          <w:tcPr>
            <w:tcW w:w="1340" w:type="dxa"/>
            <w:vAlign w:val="bottom"/>
          </w:tcPr>
          <w:p>
            <w:pPr>
              <w:spacing w:after="0"/>
              <w:rPr>
                <w:sz w:val="18"/>
                <w:szCs w:val="18"/>
                <w:color w:val="auto"/>
              </w:rPr>
            </w:pPr>
          </w:p>
        </w:tc>
      </w:tr>
      <w:tr>
        <w:trPr>
          <w:trHeight w:val="507"/>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00" w:type="dxa"/>
            <w:vAlign w:val="bottom"/>
            <w:gridSpan w:val="4"/>
          </w:tcPr>
          <w:p>
            <w:pPr>
              <w:spacing w:after="0"/>
              <w:rPr>
                <w:sz w:val="24"/>
                <w:szCs w:val="24"/>
                <w:color w:val="auto"/>
              </w:rPr>
            </w:pP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Business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7"/>
        </w:trPr>
        <w:tc>
          <w:tcPr>
            <w:tcW w:w="20" w:type="dxa"/>
            <w:vAlign w:val="bottom"/>
          </w:tcPr>
          <w:p>
            <w:pPr>
              <w:spacing w:after="0"/>
              <w:rPr>
                <w:sz w:val="20"/>
                <w:szCs w:val="20"/>
                <w:color w:val="auto"/>
              </w:rPr>
            </w:pPr>
          </w:p>
        </w:tc>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1A.</w:t>
            </w:r>
          </w:p>
        </w:tc>
        <w:tc>
          <w:tcPr>
            <w:tcW w:w="260" w:type="dxa"/>
            <w:vAlign w:val="bottom"/>
          </w:tcPr>
          <w:p>
            <w:pPr>
              <w:spacing w:after="0"/>
              <w:rPr>
                <w:sz w:val="20"/>
                <w:szCs w:val="20"/>
                <w:color w:val="auto"/>
              </w:rPr>
            </w:pP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Risk Factors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7"/>
        </w:trPr>
        <w:tc>
          <w:tcPr>
            <w:tcW w:w="20" w:type="dxa"/>
            <w:vAlign w:val="bottom"/>
          </w:tcPr>
          <w:p>
            <w:pPr>
              <w:spacing w:after="0"/>
              <w:rPr>
                <w:sz w:val="20"/>
                <w:szCs w:val="20"/>
                <w:color w:val="auto"/>
              </w:rPr>
            </w:pPr>
          </w:p>
        </w:tc>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1B.</w:t>
            </w:r>
          </w:p>
        </w:tc>
        <w:tc>
          <w:tcPr>
            <w:tcW w:w="280" w:type="dxa"/>
            <w:vAlign w:val="bottom"/>
            <w:gridSpan w:val="2"/>
          </w:tcPr>
          <w:p>
            <w:pPr>
              <w:spacing w:after="0"/>
              <w:rPr>
                <w:sz w:val="20"/>
                <w:szCs w:val="20"/>
                <w:color w:val="auto"/>
              </w:rPr>
            </w:pP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6"/>
        </w:trPr>
        <w:tc>
          <w:tcPr>
            <w:tcW w:w="20" w:type="dxa"/>
            <w:vAlign w:val="bottom"/>
          </w:tcPr>
          <w:p>
            <w:pPr>
              <w:spacing w:after="0"/>
              <w:rPr>
                <w:sz w:val="20"/>
                <w:szCs w:val="20"/>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Item 1C</w:t>
            </w:r>
          </w:p>
        </w:tc>
        <w:tc>
          <w:tcPr>
            <w:tcW w:w="320" w:type="dxa"/>
            <w:vAlign w:val="bottom"/>
            <w:gridSpan w:val="3"/>
          </w:tcPr>
          <w:p>
            <w:pPr>
              <w:spacing w:after="0"/>
              <w:rPr>
                <w:sz w:val="20"/>
                <w:szCs w:val="20"/>
                <w:color w:val="auto"/>
              </w:rPr>
            </w:pP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Cybersecurity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7"/>
        </w:trPr>
        <w:tc>
          <w:tcPr>
            <w:tcW w:w="20" w:type="dxa"/>
            <w:vAlign w:val="bottom"/>
          </w:tcPr>
          <w:p>
            <w:pPr>
              <w:spacing w:after="0"/>
              <w:rPr>
                <w:sz w:val="20"/>
                <w:szCs w:val="20"/>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400" w:type="dxa"/>
            <w:vAlign w:val="bottom"/>
            <w:gridSpan w:val="4"/>
          </w:tcPr>
          <w:p>
            <w:pPr>
              <w:spacing w:after="0"/>
              <w:rPr>
                <w:sz w:val="20"/>
                <w:szCs w:val="20"/>
                <w:color w:val="auto"/>
              </w:rPr>
            </w:pP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Properties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7"/>
        </w:trPr>
        <w:tc>
          <w:tcPr>
            <w:tcW w:w="20" w:type="dxa"/>
            <w:vAlign w:val="bottom"/>
          </w:tcPr>
          <w:p>
            <w:pPr>
              <w:spacing w:after="0"/>
              <w:rPr>
                <w:sz w:val="20"/>
                <w:szCs w:val="20"/>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00" w:type="dxa"/>
            <w:vAlign w:val="bottom"/>
            <w:gridSpan w:val="4"/>
          </w:tcPr>
          <w:p>
            <w:pPr>
              <w:spacing w:after="0"/>
              <w:rPr>
                <w:sz w:val="20"/>
                <w:szCs w:val="20"/>
                <w:color w:val="auto"/>
              </w:rPr>
            </w:pP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Legal Proceedings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7"/>
        </w:trPr>
        <w:tc>
          <w:tcPr>
            <w:tcW w:w="20" w:type="dxa"/>
            <w:vAlign w:val="bottom"/>
          </w:tcPr>
          <w:p>
            <w:pPr>
              <w:spacing w:after="0"/>
              <w:rPr>
                <w:sz w:val="20"/>
                <w:szCs w:val="20"/>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Mine Safety Disclosures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507"/>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3900" w:type="dxa"/>
            <w:vAlign w:val="bottom"/>
            <w:gridSpan w:val="3"/>
          </w:tcPr>
          <w:p>
            <w:pPr>
              <w:spacing w:after="0"/>
              <w:rPr>
                <w:sz w:val="24"/>
                <w:szCs w:val="24"/>
                <w:color w:val="auto"/>
              </w:rPr>
            </w:pPr>
          </w:p>
        </w:tc>
        <w:tc>
          <w:tcPr>
            <w:tcW w:w="1340" w:type="dxa"/>
            <w:vAlign w:val="bottom"/>
          </w:tcPr>
          <w:p>
            <w:pPr>
              <w:spacing w:after="0"/>
              <w:rPr>
                <w:sz w:val="24"/>
                <w:szCs w:val="24"/>
                <w:color w:val="auto"/>
              </w:rPr>
            </w:pPr>
          </w:p>
        </w:tc>
      </w:tr>
      <w:tr>
        <w:trPr>
          <w:trHeight w:val="506"/>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400" w:type="dxa"/>
            <w:vAlign w:val="bottom"/>
            <w:gridSpan w:val="4"/>
          </w:tcPr>
          <w:p>
            <w:pPr>
              <w:spacing w:after="0"/>
              <w:rPr>
                <w:sz w:val="24"/>
                <w:szCs w:val="24"/>
                <w:color w:val="auto"/>
              </w:rPr>
            </w:pP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7"/>
        </w:trPr>
        <w:tc>
          <w:tcPr>
            <w:tcW w:w="20" w:type="dxa"/>
            <w:vAlign w:val="bottom"/>
          </w:tcPr>
          <w:p>
            <w:pPr>
              <w:spacing w:after="0"/>
              <w:rPr>
                <w:sz w:val="20"/>
                <w:szCs w:val="20"/>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400" w:type="dxa"/>
            <w:vAlign w:val="bottom"/>
            <w:gridSpan w:val="4"/>
          </w:tcPr>
          <w:p>
            <w:pPr>
              <w:spacing w:after="0"/>
              <w:rPr>
                <w:sz w:val="20"/>
                <w:szCs w:val="20"/>
                <w:color w:val="auto"/>
              </w:rPr>
            </w:pP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Reserved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7"/>
        </w:trPr>
        <w:tc>
          <w:tcPr>
            <w:tcW w:w="20" w:type="dxa"/>
            <w:vAlign w:val="bottom"/>
          </w:tcPr>
          <w:p>
            <w:pPr>
              <w:spacing w:after="0"/>
              <w:rPr>
                <w:sz w:val="20"/>
                <w:szCs w:val="20"/>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400" w:type="dxa"/>
            <w:vAlign w:val="bottom"/>
            <w:gridSpan w:val="4"/>
          </w:tcPr>
          <w:p>
            <w:pPr>
              <w:spacing w:after="0"/>
              <w:rPr>
                <w:sz w:val="20"/>
                <w:szCs w:val="20"/>
                <w:color w:val="auto"/>
              </w:rPr>
            </w:pP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7"/>
        </w:trPr>
        <w:tc>
          <w:tcPr>
            <w:tcW w:w="20" w:type="dxa"/>
            <w:vAlign w:val="bottom"/>
          </w:tcPr>
          <w:p>
            <w:pPr>
              <w:spacing w:after="0"/>
              <w:rPr>
                <w:sz w:val="20"/>
                <w:szCs w:val="20"/>
                <w:color w:val="auto"/>
              </w:rPr>
            </w:pPr>
          </w:p>
        </w:tc>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7A.</w:t>
            </w:r>
          </w:p>
        </w:tc>
        <w:tc>
          <w:tcPr>
            <w:tcW w:w="260" w:type="dxa"/>
            <w:vAlign w:val="bottom"/>
          </w:tcPr>
          <w:p>
            <w:pPr>
              <w:spacing w:after="0"/>
              <w:rPr>
                <w:sz w:val="20"/>
                <w:szCs w:val="20"/>
                <w:color w:val="auto"/>
              </w:rPr>
            </w:pP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6"/>
        </w:trPr>
        <w:tc>
          <w:tcPr>
            <w:tcW w:w="20" w:type="dxa"/>
            <w:vAlign w:val="bottom"/>
          </w:tcPr>
          <w:p>
            <w:pPr>
              <w:spacing w:after="0"/>
              <w:rPr>
                <w:sz w:val="20"/>
                <w:szCs w:val="20"/>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8.</w:t>
            </w:r>
          </w:p>
        </w:tc>
        <w:tc>
          <w:tcPr>
            <w:tcW w:w="400" w:type="dxa"/>
            <w:vAlign w:val="bottom"/>
            <w:gridSpan w:val="4"/>
          </w:tcPr>
          <w:p>
            <w:pPr>
              <w:spacing w:after="0"/>
              <w:rPr>
                <w:sz w:val="20"/>
                <w:szCs w:val="20"/>
                <w:color w:val="auto"/>
              </w:rPr>
            </w:pP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7"/>
        </w:trPr>
        <w:tc>
          <w:tcPr>
            <w:tcW w:w="20" w:type="dxa"/>
            <w:vAlign w:val="bottom"/>
          </w:tcPr>
          <w:p>
            <w:pPr>
              <w:spacing w:after="0"/>
              <w:rPr>
                <w:sz w:val="20"/>
                <w:szCs w:val="20"/>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9.</w:t>
            </w:r>
          </w:p>
        </w:tc>
        <w:tc>
          <w:tcPr>
            <w:tcW w:w="400" w:type="dxa"/>
            <w:vAlign w:val="bottom"/>
            <w:gridSpan w:val="4"/>
          </w:tcPr>
          <w:p>
            <w:pPr>
              <w:spacing w:after="0"/>
              <w:rPr>
                <w:sz w:val="20"/>
                <w:szCs w:val="20"/>
                <w:color w:val="auto"/>
              </w:rPr>
            </w:pP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7"/>
        </w:trPr>
        <w:tc>
          <w:tcPr>
            <w:tcW w:w="20" w:type="dxa"/>
            <w:vAlign w:val="bottom"/>
          </w:tcPr>
          <w:p>
            <w:pPr>
              <w:spacing w:after="0"/>
              <w:rPr>
                <w:sz w:val="20"/>
                <w:szCs w:val="20"/>
                <w:color w:val="auto"/>
              </w:rPr>
            </w:pPr>
          </w:p>
        </w:tc>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9A.</w:t>
            </w:r>
          </w:p>
        </w:tc>
        <w:tc>
          <w:tcPr>
            <w:tcW w:w="260" w:type="dxa"/>
            <w:vAlign w:val="bottom"/>
          </w:tcPr>
          <w:p>
            <w:pPr>
              <w:spacing w:after="0"/>
              <w:rPr>
                <w:sz w:val="20"/>
                <w:szCs w:val="20"/>
                <w:color w:val="auto"/>
              </w:rPr>
            </w:pP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Controls and Procedures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7"/>
        </w:trPr>
        <w:tc>
          <w:tcPr>
            <w:tcW w:w="20" w:type="dxa"/>
            <w:vAlign w:val="bottom"/>
          </w:tcPr>
          <w:p>
            <w:pPr>
              <w:spacing w:after="0"/>
              <w:rPr>
                <w:sz w:val="20"/>
                <w:szCs w:val="20"/>
                <w:color w:val="auto"/>
              </w:rPr>
            </w:pPr>
          </w:p>
        </w:tc>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9B.</w:t>
            </w:r>
          </w:p>
        </w:tc>
        <w:tc>
          <w:tcPr>
            <w:tcW w:w="280" w:type="dxa"/>
            <w:vAlign w:val="bottom"/>
            <w:gridSpan w:val="2"/>
          </w:tcPr>
          <w:p>
            <w:pPr>
              <w:spacing w:after="0"/>
              <w:rPr>
                <w:sz w:val="20"/>
                <w:szCs w:val="20"/>
                <w:color w:val="auto"/>
              </w:rPr>
            </w:pP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Other Information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6"/>
        </w:trPr>
        <w:tc>
          <w:tcPr>
            <w:tcW w:w="20" w:type="dxa"/>
            <w:vAlign w:val="bottom"/>
          </w:tcPr>
          <w:p>
            <w:pPr>
              <w:spacing w:after="0"/>
              <w:rPr>
                <w:sz w:val="20"/>
                <w:szCs w:val="20"/>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9C.</w:t>
            </w: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507"/>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740" w:type="dxa"/>
            <w:vAlign w:val="bottom"/>
            <w:tcBorders>
              <w:bottom w:val="single" w:sz="8" w:color="0000FF"/>
            </w:tcBorders>
            <w:gridSpan w:val="7"/>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38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506"/>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10.</w:t>
            </w: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37"/>
        </w:trPr>
        <w:tc>
          <w:tcPr>
            <w:tcW w:w="20" w:type="dxa"/>
            <w:vAlign w:val="bottom"/>
          </w:tcPr>
          <w:p>
            <w:pPr>
              <w:spacing w:after="0"/>
              <w:rPr>
                <w:sz w:val="20"/>
                <w:szCs w:val="20"/>
                <w:color w:val="auto"/>
              </w:rPr>
            </w:pP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Item 11.</w:t>
            </w:r>
          </w:p>
        </w:tc>
        <w:tc>
          <w:tcPr>
            <w:tcW w:w="320" w:type="dxa"/>
            <w:vAlign w:val="bottom"/>
            <w:gridSpan w:val="3"/>
          </w:tcPr>
          <w:p>
            <w:pPr>
              <w:spacing w:after="0"/>
              <w:rPr>
                <w:sz w:val="20"/>
                <w:szCs w:val="20"/>
                <w:color w:val="auto"/>
              </w:rPr>
            </w:pP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Executive Compensation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36"/>
        </w:trPr>
        <w:tc>
          <w:tcPr>
            <w:tcW w:w="20" w:type="dxa"/>
            <w:vAlign w:val="bottom"/>
          </w:tcPr>
          <w:p>
            <w:pPr>
              <w:spacing w:after="0"/>
              <w:rPr>
                <w:sz w:val="20"/>
                <w:szCs w:val="20"/>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12.</w:t>
            </w: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13.</w:t>
            </w: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14.</w:t>
            </w: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Principal Accounting Fees and Services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507"/>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600" w:type="dxa"/>
            <w:vAlign w:val="bottom"/>
            <w:gridSpan w:val="8"/>
          </w:tcPr>
          <w:p>
            <w:pPr>
              <w:jc w:val="center"/>
              <w:ind w:right="388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1340" w:type="dxa"/>
            <w:vAlign w:val="bottom"/>
          </w:tcPr>
          <w:p>
            <w:pPr>
              <w:spacing w:after="0"/>
              <w:rPr>
                <w:sz w:val="24"/>
                <w:szCs w:val="24"/>
                <w:color w:val="auto"/>
              </w:rPr>
            </w:pPr>
          </w:p>
        </w:tc>
      </w:tr>
      <w:tr>
        <w:trPr>
          <w:trHeight w:val="506"/>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15.</w:t>
            </w:r>
          </w:p>
        </w:tc>
        <w:tc>
          <w:tcPr>
            <w:tcW w:w="43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700" w:type="dxa"/>
            <w:vAlign w:val="bottom"/>
            <w:tcBorders>
              <w:top w:val="single" w:sz="8" w:color="0000FF"/>
            </w:tcBorders>
            <w:gridSpan w:val="5"/>
          </w:tcPr>
          <w:p>
            <w:pPr>
              <w:spacing w:after="0"/>
              <w:rPr>
                <w:sz w:val="24"/>
                <w:szCs w:val="24"/>
                <w:color w:val="auto"/>
              </w:rPr>
            </w:pPr>
          </w:p>
        </w:tc>
        <w:tc>
          <w:tcPr>
            <w:tcW w:w="3880" w:type="dxa"/>
            <w:vAlign w:val="bottom"/>
            <w:gridSpan w:val="2"/>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900" w:type="dxa"/>
            <w:vAlign w:val="bottom"/>
            <w:gridSpan w:val="1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16.</w:t>
            </w: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Form 10-K Summary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77"/>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9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Signatures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bl>
    <w:p>
      <w:pPr>
        <w:spacing w:after="0" w:line="319"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From time to time, we may use our website or our LinkedIn profile at www.linkedin.com/company/entradatx to distribute material information. Our financial and other material information is routinely posted to and accessible on the Investors Relations section of our website, available at www.entradatx.com. Investors are encouraged to review the Investors Relations section of our website because we may post material information on that site that is not otherwise disseminated by us. Information that is contained in and can be accessed through our website or our LinkedIn page is not incorporated into, and does not form a part of, this Annual Report on Form 10-K.</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94"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This Annual Report on Form 10-K (Annual Report) contains express or implied forward-looking statements within the meaning of the Private Securities Litigation Reform Act of 1995, Section 27A of the Securities Act of 1933, as amended (the Securities Act), and Section 21E of the Securities Exchange Act of 1934, as amended (the Exchange Act), that are based on our management’s belief and assumptions and on information currently available to our management.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Annual Report include, but are not limited to, statements about:</w:t>
      </w:r>
    </w:p>
    <w:p>
      <w:pPr>
        <w:spacing w:after="0" w:line="216" w:lineRule="exact"/>
        <w:rPr>
          <w:sz w:val="20"/>
          <w:szCs w:val="20"/>
          <w:color w:val="auto"/>
        </w:rPr>
      </w:pPr>
    </w:p>
    <w:p>
      <w:pPr>
        <w:ind w:left="660" w:right="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costs of conducting our research and development programs, our current and future preclinical studies, and our current and future clinical trials, including statements regarding the timing of initiation and completion of studies or trials and related preparatory work, the period during which the results of the trials will become available, and our current and future programs;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preclinical studies and clinical trials to demonstrate safety and efficacy of our therapeutic candidates, and other positive results;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and the potential safety, efficacy and therapeutic effects of our therapeutic candidates;</w:t>
      </w:r>
    </w:p>
    <w:p>
      <w:pPr>
        <w:spacing w:after="0" w:line="103"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and likelihood of regulatory filings and approvals, including timing of Investigational New Drug (IND) applications and final U.S. Food and Drug Administration (FDA) or foreign equivalent approval of our current therapeutic candidates or any future therapeutic candidates;</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content of any update regarding our regulatory filings;</w:t>
      </w:r>
    </w:p>
    <w:p>
      <w:pPr>
        <w:spacing w:after="0" w:line="1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leverage our proprietary EEV Platform to efficiently develop additional therapeutic candidates, including by applying learnings from one program to other programs and from one indication to our other indications;</w:t>
      </w:r>
    </w:p>
    <w:p>
      <w:pPr>
        <w:spacing w:after="0" w:line="54"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that we will enroll and our ability to initiate, recruit and enroll patients in and conduct and successfully complete clinical trials at the pace that we project;</w:t>
      </w:r>
    </w:p>
    <w:p>
      <w:pPr>
        <w:spacing w:after="0" w:line="54" w:lineRule="exact"/>
        <w:rPr>
          <w:rFonts w:ascii="Times New Roman" w:cs="Times New Roman" w:eastAsia="Times New Roman" w:hAnsi="Times New Roman"/>
          <w:sz w:val="18"/>
          <w:szCs w:val="18"/>
          <w:color w:val="auto"/>
        </w:rPr>
      </w:pPr>
    </w:p>
    <w:p>
      <w:pPr>
        <w:ind w:left="660" w:right="4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and our ability to scale-up our manufacturing and processing approaches to appropriately address our anticipated commercial needs, which will require significant resources;</w:t>
      </w:r>
    </w:p>
    <w:p>
      <w:pPr>
        <w:spacing w:after="0" w:line="54"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collaborations or strategic relationships and the ability and willingness of our third-party strategic collaborators to undertake research and development activities relating to our current or future therapeutic candidates and discovery programs;</w:t>
      </w:r>
    </w:p>
    <w:p>
      <w:pPr>
        <w:spacing w:after="0" w:line="68"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benefits of the partnership, licensing and/or collaboration arrangements and other strategic arrangements and transactions we have entered into or may enter into in the future;</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technologies and programs, including those with strategic partners;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therapeutic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take advantage of expedited regulatory pathways for our therapeutic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therapeutic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therapeutic candidates, and technology;</w:t>
      </w:r>
    </w:p>
    <w:p>
      <w:pPr>
        <w:spacing w:after="0" w:line="103" w:lineRule="exact"/>
        <w:rPr>
          <w:rFonts w:ascii="Times New Roman" w:cs="Times New Roman" w:eastAsia="Times New Roman" w:hAnsi="Times New Roman"/>
          <w:sz w:val="18"/>
          <w:szCs w:val="18"/>
          <w:color w:val="auto"/>
        </w:rPr>
      </w:pPr>
    </w:p>
    <w:p>
      <w:pPr>
        <w:ind w:left="660" w:right="300" w:hanging="328"/>
        <w:spacing w:after="0" w:line="296"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of protection we are able to establish and maintain for intellectual property rights covering our therapeutic candidates and other therapeutic candidates we may develop, including the extensions of existing patent terms where available, the validity of intellectual property;</w:t>
      </w:r>
    </w:p>
    <w:p>
      <w:pPr>
        <w:spacing w:after="0" w:line="30"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held by third parties, and our ability not to infringe, misappropriate or otherwise violate any third-party intellectual property rights;</w:t>
      </w:r>
    </w:p>
    <w:p>
      <w:pPr>
        <w:spacing w:after="0" w:line="103" w:lineRule="exact"/>
        <w:rPr>
          <w:rFonts w:ascii="Times New Roman" w:cs="Times New Roman" w:eastAsia="Times New Roman" w:hAnsi="Times New Roman"/>
          <w:sz w:val="18"/>
          <w:szCs w:val="18"/>
          <w:color w:val="auto"/>
        </w:rPr>
      </w:pPr>
    </w:p>
    <w:p>
      <w:pPr>
        <w:ind w:left="660" w:hanging="328"/>
        <w:spacing w:after="0" w:line="24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over which we estimate our cash, cash equivalents and marketable securities as of December 31, 2023, together with ongoing research support and the anticipated achievement of certain milestones under the Vertex Agreement will be sufficient to fund our future operating expenses and capital expenditure requirements;</w:t>
      </w:r>
    </w:p>
    <w:p>
      <w:pPr>
        <w:spacing w:after="0" w:line="75" w:lineRule="exact"/>
        <w:rPr>
          <w:rFonts w:ascii="Times New Roman" w:cs="Times New Roman" w:eastAsia="Times New Roman" w:hAnsi="Times New Roman"/>
          <w:sz w:val="18"/>
          <w:szCs w:val="18"/>
          <w:color w:val="auto"/>
        </w:rPr>
      </w:pPr>
    </w:p>
    <w:p>
      <w:pPr>
        <w:ind w:left="660" w:right="5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estimates of our future expenses, revenues, capital requirements, use of our cash reserves, and our needs for additional financing;</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07"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right="5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development and commercialization of our therapeutic candidates and any other approved product;</w:t>
      </w:r>
    </w:p>
    <w:p>
      <w:pPr>
        <w:spacing w:after="0" w:line="54"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the size and growth potential of the markets for our therapeutic candidates, and our ability to serve those markets;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therapeutic candidates with advantages in turnaround times or manufacturing cost;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success of competing therapies that are or may become available;</w:t>
      </w:r>
    </w:p>
    <w:p>
      <w:pPr>
        <w:spacing w:after="0" w:line="103"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for and ability to attract and retain key scientific, management and other personnel and to identify, hire and retain additional qualified professionals;</w:t>
      </w:r>
    </w:p>
    <w:p>
      <w:pPr>
        <w:spacing w:after="0" w:line="54"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remain an emerging growth company under the Jumpstart Our Business Startups Act of 2012 (the JOBS Act);</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resources;</w:t>
      </w:r>
    </w:p>
    <w:p>
      <w:pPr>
        <w:spacing w:after="0" w:line="103"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progress and success of our collaboration with Vertex, including any future payments we may receive under our collaboration and license agreements, as well as our ability to identify and enter into future license agreements and collaborations;</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and expectations regarding milestone, royalty or other payments that could be due to third parties under existing agreements;</w:t>
      </w:r>
    </w:p>
    <w:p>
      <w:pPr>
        <w:spacing w:after="0" w:line="103" w:lineRule="exact"/>
        <w:rPr>
          <w:rFonts w:ascii="Times New Roman" w:cs="Times New Roman" w:eastAsia="Times New Roman" w:hAnsi="Times New Roman"/>
          <w:sz w:val="18"/>
          <w:szCs w:val="18"/>
          <w:color w:val="auto"/>
        </w:rPr>
      </w:pPr>
    </w:p>
    <w:p>
      <w:pPr>
        <w:ind w:left="660" w:right="260" w:hanging="328"/>
        <w:spacing w:after="0" w:line="272"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global economic and political developments on our business, including rising inflation and capital market disruptions, the current conflicts in Ukraine and the Middle East, economic sanctions and economic slowdowns or recessions that may result from such developments which could harm our research and development efforts as well as the value of our common stock and our ability to access capital markets; and</w:t>
      </w:r>
    </w:p>
    <w:p>
      <w:pPr>
        <w:spacing w:after="0" w:line="50"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1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“may,” “might,” “will,” “could,” “would,” “should,” “expect,” “plan,” “anticipate,” “intend,” “believe,” “expect,” “estimate,” “seek,” “predict,” “future,” “project,” “potential,” “continue,” “target,” "contemplate," or the negative of these terms or other comparable terminology, and similar expressions, although not all forward-looking statements contain these identifying words.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“Risk Factors” and elsewhere in this Annual Report.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Annual Report and the documents that we reference in this Annual Report and have filed with the Securities and Exchange Commission (the SEC) thereto completely and with the understanding that our actual future results may be materially different from any future results expressed or implied by these forward-looking statements.</w:t>
      </w:r>
    </w:p>
    <w:p>
      <w:pPr>
        <w:spacing w:after="0" w:line="218" w:lineRule="exact"/>
        <w:rPr>
          <w:sz w:val="20"/>
          <w:szCs w:val="20"/>
          <w:color w:val="auto"/>
        </w:rPr>
      </w:pPr>
    </w:p>
    <w:p>
      <w:pPr>
        <w:jc w:val="both"/>
        <w:ind w:right="660" w:firstLine="648"/>
        <w:spacing w:after="0" w:line="250" w:lineRule="auto"/>
        <w:rPr>
          <w:sz w:val="20"/>
          <w:szCs w:val="20"/>
          <w:color w:val="auto"/>
        </w:rPr>
      </w:pPr>
      <w:r>
        <w:rPr>
          <w:rFonts w:ascii="Times New Roman" w:cs="Times New Roman" w:eastAsia="Times New Roman" w:hAnsi="Times New Roman"/>
          <w:sz w:val="18"/>
          <w:szCs w:val="18"/>
          <w:color w:val="auto"/>
        </w:rPr>
        <w:t>The forward-looking statements in this Annual Report represent our views as of the date of this Annual Report. We do not undertake any obligation to publicly update any forward-looking statement except to the extent required by applicable law. You should therefore not rely on these forward-looking statements as representing our views as of any date subsequent to the date of this Annual Report.</w:t>
      </w:r>
    </w:p>
    <w:p>
      <w:pPr>
        <w:spacing w:after="0" w:line="177"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This Annual Report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All of the market data used in this Annual Report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size and may fail to accurately reflect market opportunities. While we believe that our internal assumptions are reasonable, no independent source has verified such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607" w:right="7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MATERIAL AND OTHER RISKS ASSOCIATED WITH OUR BUSINESS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and are subject to change based on various factors, including those highlighted in the section entitled “Risk Factors” and elsewhere in this Annual Report on Form 10-K (Annual Report). These risks include, but are not limited to, the following:</w:t>
      </w:r>
    </w:p>
    <w:p>
      <w:pPr>
        <w:spacing w:after="0" w:line="162" w:lineRule="exact"/>
        <w:rPr>
          <w:sz w:val="20"/>
          <w:szCs w:val="20"/>
          <w:color w:val="auto"/>
        </w:rPr>
      </w:pPr>
    </w:p>
    <w:p>
      <w:pPr>
        <w:ind w:left="660" w:right="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incurred significant operating losses since our inception and expect to incur significant losses for the foreseeable future. We may never generate any revenue from product sales or become profitable or, if we achieve profitability, we may not be able to sustain it.</w:t>
      </w:r>
    </w:p>
    <w:p>
      <w:pPr>
        <w:spacing w:after="0" w:line="68"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financing to achieve our goals, and a failure to obtain this necessary capital when needed on acceptable terms, or at all, could force us to delay, limit, reduce or terminate our development programs, commercialization efforts or other operations.</w:t>
      </w:r>
    </w:p>
    <w:p>
      <w:pPr>
        <w:spacing w:after="0" w:line="54"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and as a result it will be years before we commercialize a therapeutic candidate, if ever. If we are unable to identify and advance therapeutic candidates through preclinical studies and clinical trials, obtain marketing approval and ultimately commercialize them, or experience significant delays in doing so, our business will be materially harmed.</w:t>
      </w:r>
    </w:p>
    <w:p>
      <w:pPr>
        <w:spacing w:after="0" w:line="68"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Food and Drug Administration (FDA) has placed the Investigational New Drug (IND) application for ENTR-601-44 for the potential treatment of Duchenne muscular dystrophy on clinical hold. Should our response to the clinical hold in the United States not be satisfactory to the FDA, the clinical hold may not be lifted on a timely basis, or at all.</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55"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business is highly dependent on the clinical advancement of our programs and modalities and is especially dependent on the success of our lead Endosomal Escape Vehicle (EEV) therapeutic candidates, ENTR-601-44, ENTR-601-45, ENTR-601-50 and our partnered candidate VX-670. Delay or failure to advance programs or modalities, including ENTR-601-44, ENTR-601-45, ENTR-601-50 and VX-670 could adversely impact our business.</w:t>
      </w:r>
    </w:p>
    <w:p>
      <w:pPr>
        <w:spacing w:after="0" w:line="76" w:lineRule="exact"/>
        <w:rPr>
          <w:rFonts w:ascii="Times New Roman" w:cs="Times New Roman" w:eastAsia="Times New Roman" w:hAnsi="Times New Roman"/>
          <w:sz w:val="18"/>
          <w:szCs w:val="18"/>
          <w:color w:val="231F20"/>
        </w:rPr>
      </w:pPr>
    </w:p>
    <w:p>
      <w:pPr>
        <w:ind w:left="660" w:right="2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EEV therapeutic candidates are based on a novel therapeutic approach, which makes it difficult to predict the time and cost of development and of subsequently obtaining regulatory approval, if at all.</w:t>
      </w:r>
    </w:p>
    <w:p>
      <w:pPr>
        <w:spacing w:after="0" w:line="54" w:lineRule="exact"/>
        <w:rPr>
          <w:rFonts w:ascii="Times New Roman" w:cs="Times New Roman" w:eastAsia="Times New Roman" w:hAnsi="Times New Roman"/>
          <w:sz w:val="18"/>
          <w:szCs w:val="18"/>
          <w:color w:val="auto"/>
        </w:rPr>
      </w:pPr>
    </w:p>
    <w:p>
      <w:pPr>
        <w:jc w:val="both"/>
        <w:ind w:left="660" w:right="40" w:hanging="328"/>
        <w:spacing w:after="0" w:line="24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development involves a lengthy and expensive process with an uncertain outcome, and the results of preclinical studies are not necessarily predictive of the results of later preclinical studies and any clinical trials of our therapeutic candidates. We have not completed the testing of any of our therapeutic candidates in clinical trials and our therapeutic candidates may not have favorable results in clinical trials, if any, or receive regulatory approval on a timely basis, if at all.</w:t>
      </w:r>
    </w:p>
    <w:p>
      <w:pPr>
        <w:spacing w:after="0" w:line="72"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delays in the commencement of our planned clinical trials or the enrollment or completion of our current or planned clinical trials, or failure to demonstrate safety and efficacy to the satisfaction of applicable regulatory authorities could prevent us from commercializing any therapeutic candidates we determine to develop on a timely basis, if at all.</w:t>
      </w:r>
    </w:p>
    <w:p>
      <w:pPr>
        <w:spacing w:after="0" w:line="68" w:lineRule="exact"/>
        <w:rPr>
          <w:rFonts w:ascii="Times New Roman" w:cs="Times New Roman" w:eastAsia="Times New Roman" w:hAnsi="Times New Roman"/>
          <w:sz w:val="18"/>
          <w:szCs w:val="18"/>
          <w:color w:val="auto"/>
        </w:rPr>
      </w:pPr>
    </w:p>
    <w:p>
      <w:pPr>
        <w:ind w:left="660" w:right="60" w:hanging="328"/>
        <w:spacing w:after="0" w:line="24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therapeutic candidates based on our EEV platform (EEV Platform) is unproven, and we do not know whether we will be able to develop any products of commercial value, or if competing technological approaches will limit the commercial value of our therapeutic candidates or render our EEV Platform obsolete.</w:t>
      </w:r>
    </w:p>
    <w:p>
      <w:pPr>
        <w:spacing w:after="0" w:line="75"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some or all aspects of our product manufacturing, research and preclinical and clinical testing, and these third parties may not perform satisfactorily or, dedicate adequate resources to meet our needs, or may be unable to acquire the necessary supplies to perform successfully.</w:t>
      </w:r>
    </w:p>
    <w:p>
      <w:pPr>
        <w:spacing w:after="0" w:line="68" w:lineRule="exact"/>
        <w:rPr>
          <w:rFonts w:ascii="Times New Roman" w:cs="Times New Roman" w:eastAsia="Times New Roman" w:hAnsi="Times New Roman"/>
          <w:sz w:val="18"/>
          <w:szCs w:val="18"/>
          <w:color w:val="auto"/>
        </w:rPr>
      </w:pPr>
    </w:p>
    <w:p>
      <w:pPr>
        <w:ind w:left="660" w:right="180" w:hanging="328"/>
        <w:spacing w:after="0" w:line="24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and may in the future enter into collaborations, licenses and other similar arrangements with third parties for the research, development and commercialization of certain of the therapeutic candidates we may develop, including our collaboration with Vertex Pharmaceuticals Incorporated (Vertex). If any such arrangements are not successful, we may not be able to capitalize on the market potential of those therapeutic candidates.</w:t>
      </w:r>
    </w:p>
    <w:p>
      <w:pPr>
        <w:spacing w:after="0" w:line="72" w:lineRule="exact"/>
        <w:rPr>
          <w:rFonts w:ascii="Times New Roman" w:cs="Times New Roman" w:eastAsia="Times New Roman" w:hAnsi="Times New Roman"/>
          <w:sz w:val="18"/>
          <w:szCs w:val="18"/>
          <w:color w:val="auto"/>
        </w:rPr>
      </w:pPr>
    </w:p>
    <w:p>
      <w:pPr>
        <w:ind w:left="660" w:right="460" w:hanging="328"/>
        <w:spacing w:after="0" w:line="296"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significant competition, and if our competitors develop technologies or therapeutic candidates more rapidly than we do or their technologies are more effective, our business and our ability to develop and successfully commercialize products may be adversely affected.</w:t>
      </w:r>
    </w:p>
    <w:p>
      <w:pPr>
        <w:spacing w:after="0" w:line="30" w:lineRule="exact"/>
        <w:rPr>
          <w:rFonts w:ascii="Times New Roman" w:cs="Times New Roman" w:eastAsia="Times New Roman" w:hAnsi="Times New Roman"/>
          <w:sz w:val="17"/>
          <w:szCs w:val="17"/>
          <w:color w:val="auto"/>
        </w:rPr>
      </w:pPr>
    </w:p>
    <w:p>
      <w:pPr>
        <w:ind w:left="660" w:right="20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expand our development and regulatory capabilities, and as a result, we may encounter difficulties in managing our growth, which could disrupt our operations.</w:t>
      </w:r>
    </w:p>
    <w:p>
      <w:pPr>
        <w:spacing w:after="0" w:line="40"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will attempt to diversify our risks by developing one or more programs in each modality, there are risks that are unique to each modality and risks that are applicable across modalities. These risks may impair our ability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right="140"/>
        <w:spacing w:after="0" w:line="266" w:lineRule="auto"/>
        <w:rPr>
          <w:sz w:val="20"/>
          <w:szCs w:val="20"/>
          <w:color w:val="auto"/>
        </w:rPr>
      </w:pPr>
      <w:r>
        <w:rPr>
          <w:rFonts w:ascii="Times New Roman" w:cs="Times New Roman" w:eastAsia="Times New Roman" w:hAnsi="Times New Roman"/>
          <w:sz w:val="18"/>
          <w:szCs w:val="18"/>
          <w:color w:val="auto"/>
        </w:rPr>
        <w:t>to advance one or more of our programs in clinical development, obtain regulatory approval, or ultimately commercialize our programs, or cause us to experience significant delays in doing so, any of which may materially harm our business.</w:t>
      </w:r>
    </w:p>
    <w:p>
      <w:pPr>
        <w:spacing w:after="0" w:line="54" w:lineRule="exact"/>
        <w:rPr>
          <w:sz w:val="20"/>
          <w:szCs w:val="20"/>
          <w:color w:val="auto"/>
        </w:rPr>
      </w:pPr>
    </w:p>
    <w:p>
      <w:pPr>
        <w:ind w:left="660" w:right="120" w:hanging="328"/>
        <w:spacing w:after="0" w:line="245"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collaborators are unable to obtain and maintain patent protection for our EEV Platform, therapeutic development programs and other proprietary technologies we develop, or if the scope of the patent protection obtained is not sufficiently broad, our competitors could develop and commercialize products and technology similar or identical to ours, and our ability to successfully commercialize our therapeutic programs and other proprietary technologies we may develop may be adversely affected.</w:t>
      </w:r>
    </w:p>
    <w:p>
      <w:pPr>
        <w:spacing w:after="0" w:line="7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employees and to attract, retain and motivate qualified personnel.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be volatile, and investors could lose all or part of their investment.</w:t>
      </w:r>
    </w:p>
    <w:p>
      <w:pPr>
        <w:spacing w:after="0" w:line="103"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capital markets may affect our ability to access new capital, which may harm our liquidity, limit our ability to grow our business, pursue acquisitions or improve our operating infrastructure and restrict our ability to compete in our markets.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and economic conditions may have adverse consequences for our business, financial condition and stock price.</w:t>
      </w:r>
    </w:p>
    <w:p>
      <w:pPr>
        <w:spacing w:after="0" w:line="225"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The material and other risks summarized above should be read together with the text of the full risk factors and in the other information set forth in this Annual Report, including our consolidated financial statements and the related notes, as well as in other documents that we file with the Securities and Exchange Commission (the SEC). If any such material and other risks and uncertainties actually occur, our business, prospects, financial condition and results of operations could be materially and adversely affected. The risks summarized above or described in full are not the only risks that we face. Additional risks and uncertainties not currently known to us, or that we currently deem to be immaterial may also materially adversely affect our business, prospects, financial condition and results of operations.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We are a clinical-stage biopharmaceutical company aiming to transform the lives of patients by establishing a new class of medicines which engage intracellular targets that have long been considered inaccessible. The Company’s Endosomal Escape Vehicle (EEV™)-therapeutics are designed to enable the efficient delivery of a wide range of therapeutics into a variety of organs and tissues, resulting in an improved therapeutic index. Through our proprietary, highly versatile and modular EEV platform (EEV Platform), we are building a robust development portfolio of therapeutic candidates. Our first two drug candidates, ENTR-601-44 and VX-670 (previously referred to as ENTR-701), are in clinical trials, and we expect to initiate additional regulatory filings by the end of 2024. We believe that the potential success of our early programs can translate into the efficient development of additional EEV therapeutic candidates and allow us to build portfolios in neuromuscular disease and beyond.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Lead Neuromuscular Programs</w:t>
      </w:r>
    </w:p>
    <w:p>
      <w:pPr>
        <w:spacing w:after="0" w:line="21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We are initially focused on the development of EEV therapeutics for rare neuromuscular diseases, starting with Duchenne muscular dystrophy (Duchenne or DMD). DMD is caused by genetic mutations that prevent the creation of functional dystrophin, a protein required to maintain the structural integrity of muscle cells. In our neuromuscular disease programs, we link EEVs to small strands of nucleic acids called oligonucleotides, including phosphorodiamidate morpholino oligomers (PMOs). We are developing EEV-PMOs that promote the skipping of these mutations associated with DMD. We believe that our EEV-PMO exon-skipping therapy will enable the production of functional dystrophin to slow, stop or even reverse disease progression. Our most advanced therapeutic candidate, ENTR-601-44, is being developed for patients with DMD that are exon 44 skipping amenable. On July 24, 2023, Entrada received authorization from the United Kingdom Medicines and Healthcare Products Regulatory Agency (MHRA) and Research Ethics Committee (REC) for its CTIMP (Clinical Trial of an Investigational Medicinal Product) for its Phase 1 clinical trial in healthy volunteers, ENTR-601-44-101. On March 13, 2024, we announced that the first, second and third cohorts of participants had been successfully dosed and we expect to report data from the Phase 1 clinical trial in the second half of 2024. On December 19, 2022, we announced that we received a clinical hold notice from the FDA regarding the IND application for ENTR-601-44. The FDA has requested that we continue to gather and submit additional information regarding ENTR-601-44 and we are actively working to resolve the clinical hold in the United States.</w:t>
      </w:r>
    </w:p>
    <w:p>
      <w:pPr>
        <w:spacing w:after="0" w:line="21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2023 we also announced the selection of additional clinical candidates within our Duchenne franchise ENTR-601-45 and ENTR-601-50. We plan to submit Phase 2 enabling regulatory applications for ENTR-601-44 and ENTR-601-45 in the fourth quarter of 2024, and for ENTR-601-50 in 2025.</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Duchenne Muscular Dystrophy Franchise Summary</w:t>
      </w:r>
    </w:p>
    <w:p>
      <w:pPr>
        <w:spacing w:after="0" w:line="212" w:lineRule="exact"/>
        <w:rPr>
          <w:sz w:val="20"/>
          <w:szCs w:val="20"/>
          <w:color w:val="auto"/>
        </w:rPr>
      </w:pPr>
    </w:p>
    <w:p>
      <w:pPr>
        <w:ind w:left="1300" w:right="260" w:hanging="320"/>
        <w:spacing w:after="0" w:line="266"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ENTR-601-44: Phase 1 clinical trials are ongoing with clinical data expected H2 2024 and Phase 2 regulatory submissions expected in Q4 2024</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ENTR-601-45: Expect to submit Clinical Trial Application (CTA)/IND Q4 2024</w:t>
      </w:r>
    </w:p>
    <w:p>
      <w:pPr>
        <w:spacing w:after="0" w:line="21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ENTR-601-50: Expect to submit CTA/IND in 2025</w:t>
      </w:r>
    </w:p>
    <w:p>
      <w:pPr>
        <w:spacing w:after="0" w:line="21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Exon 51: Candidate selection expected in 2024</w:t>
      </w:r>
    </w:p>
    <w:p>
      <w:pPr>
        <w:spacing w:after="0" w:line="22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are also supporting the development of a program for patients with DM1 as part of our collaboration with Vertex Pharmaceuticals Incorporated (Vertex). Patients with DM1 carry extra cytosine-uracil-guanine (CUG) triplet repeats that result in misprocessing of several proteins and multisystemic clinical manifestations. VX-670 for DM1 is designed to block the triplet repeats in the messenger RNA (mRNA) that sequesters these critical proteins and restore muscle function. We and Vertex entered into a Strategic Collaboration and License Agreement, which was amended in October 2023, (the Vertex Agreement) pursuant to which the Company granted Vertex an exclusive worldwide license to research, develop, manufacture, and commercialize VX-670 as well as any additional EEV-based therapeutic candidates that may be identified by the Company for the potential treatment of DM1 in the course of the parties’ four-year global research collaboration. On January 7, 2024, </w:t>
      </w:r>
      <w:r>
        <w:rPr>
          <w:rFonts w:ascii="Times New Roman" w:cs="Times New Roman" w:eastAsia="Times New Roman" w:hAnsi="Times New Roman"/>
          <w:sz w:val="18"/>
          <w:szCs w:val="18"/>
          <w:color w:val="231F20"/>
        </w:rPr>
        <w:t>Vertex announced authorization from the MHRA of a clinical trial application for VX-670 for patients with DM1 and initiation of a Phase 1/2 clinical trial in patients with DM1 in Canada. Vertex also noted that it submitted an IND application and that the FDA requested additional information, which resulted in a clinical hold. Vertex is working to address the FDA's comments in order to initiate the study in the U.S.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31F20"/>
        </w:rPr>
        <w:t>Platform and Pipeline</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Approximately 75% of all disease-causing targets are located inside cells. Intracellular therapeutics are designed to correct disease-causing dysfunction inside cells, addressing targets at the level of DNA, RNA or protein. In order to do so, these therapeutics need to first get through the cell’s membrane, which is a phospholipid bilayer, and then escape from the cell’s transportation and sorting vehicle, known as the early endosome, in order to reach and engage with their intended targets. Small molecules can permeate cell membranes but tend to be rapidly cleared by the body before they reach the intended tissue and can be associated with off-target effects. These limitations often necessitate high therapeutic doses and can be associated with less-than-optimal therapeutic activity. Biological therapeutics are generally potent and specific with respect to their intracellular targets of interest but limited in their ability to reach such targets, often lacking the ability to efficiently penetrate the cell membrane and then escape from the early endosome.</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believe our EEV Platform can enable the efficient intracellular delivery of specific and potent therapeutics. The following key attributes of our EEV Platform have allowed us to develop broadly distributed, EEV therapeutic candidates, which have been observed to be pharmacologically or biologically active and targeted with respect to the engagement or involvement with a desired intracellular target of interest.</w:t>
      </w:r>
    </w:p>
    <w:p>
      <w:pPr>
        <w:spacing w:after="0" w:line="172" w:lineRule="exact"/>
        <w:rPr>
          <w:sz w:val="20"/>
          <w:szCs w:val="20"/>
          <w:color w:val="auto"/>
        </w:rPr>
      </w:pPr>
    </w:p>
    <w:p>
      <w:pPr>
        <w:ind w:left="660" w:right="120" w:hanging="328"/>
        <w:spacing w:after="0" w:line="28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Serum stability and extended half-life: </w:t>
      </w:r>
      <w:r>
        <w:rPr>
          <w:rFonts w:ascii="Times New Roman" w:cs="Times New Roman" w:eastAsia="Times New Roman" w:hAnsi="Times New Roman"/>
          <w:sz w:val="18"/>
          <w:szCs w:val="18"/>
          <w:color w:val="auto"/>
        </w:rPr>
        <w:t>Based on preclinical studies, we have observed that EEVs have increased stability and extended half-life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due to their unique cyclic structure, which limits protease-mediated degradation. We believe this may enable increased systemic exposure.</w:t>
      </w:r>
    </w:p>
    <w:p>
      <w:pPr>
        <w:spacing w:after="0" w:line="154" w:lineRule="exact"/>
        <w:rPr>
          <w:rFonts w:ascii="Times New Roman" w:cs="Times New Roman" w:eastAsia="Times New Roman" w:hAnsi="Times New Roman"/>
          <w:sz w:val="18"/>
          <w:szCs w:val="18"/>
          <w:color w:val="auto"/>
        </w:rPr>
      </w:pPr>
    </w:p>
    <w:p>
      <w:pPr>
        <w:ind w:left="660" w:right="40" w:hanging="328"/>
        <w:spacing w:after="0" w:line="26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Broad biodistribution: </w:t>
      </w:r>
      <w:r>
        <w:rPr>
          <w:rFonts w:ascii="Times New Roman" w:cs="Times New Roman" w:eastAsia="Times New Roman" w:hAnsi="Times New Roman"/>
          <w:sz w:val="18"/>
          <w:szCs w:val="18"/>
          <w:color w:val="auto"/>
        </w:rPr>
        <w:t>EEVs target phospholipid bilayers, which we believe can enable delivery to any cell in the body, regardless of route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administration. We have shown biodistribution to a wide range of organs, tissues and cells in our preclinical studies, including cardiac muscle, the cerebellum and macrophages, among many others.</w:t>
      </w:r>
    </w:p>
    <w:p>
      <w:pPr>
        <w:spacing w:after="0" w:line="170" w:lineRule="exact"/>
        <w:rPr>
          <w:rFonts w:ascii="Times New Roman" w:cs="Times New Roman" w:eastAsia="Times New Roman" w:hAnsi="Times New Roman"/>
          <w:sz w:val="18"/>
          <w:szCs w:val="18"/>
          <w:color w:val="auto"/>
        </w:rPr>
      </w:pPr>
    </w:p>
    <w:p>
      <w:pPr>
        <w:jc w:val="both"/>
        <w:ind w:left="660" w:right="420" w:hanging="328"/>
        <w:spacing w:after="0" w:line="26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Active uptake and drug release: </w:t>
      </w:r>
      <w:r>
        <w:rPr>
          <w:rFonts w:ascii="Times New Roman" w:cs="Times New Roman" w:eastAsia="Times New Roman" w:hAnsi="Times New Roman"/>
          <w:sz w:val="18"/>
          <w:szCs w:val="18"/>
          <w:color w:val="auto"/>
        </w:rPr>
        <w:t>EEVs generally avoid being trapped in the cell membrane and are instead taken up into the cell by the early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endosome. EEVs then enable budding of vesicles from the early endosome, which we believe substantially increase the level of therapeutics reaching intended targets within the cell.</w:t>
      </w:r>
    </w:p>
    <w:p>
      <w:pPr>
        <w:spacing w:after="0" w:line="16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our EEV Platform can offer meaningful advantages over existing therapeutic approaches, including:</w:t>
      </w:r>
    </w:p>
    <w:p>
      <w:pPr>
        <w:spacing w:after="0" w:line="221" w:lineRule="exact"/>
        <w:rPr>
          <w:rFonts w:ascii="Times New Roman" w:cs="Times New Roman" w:eastAsia="Times New Roman" w:hAnsi="Times New Roman"/>
          <w:sz w:val="18"/>
          <w:szCs w:val="18"/>
          <w:color w:val="auto"/>
        </w:rPr>
      </w:pPr>
    </w:p>
    <w:p>
      <w:pPr>
        <w:ind w:left="660" w:right="80" w:hanging="328"/>
        <w:spacing w:after="0" w:line="26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Broad potential therapeutic index </w:t>
      </w:r>
      <w:r>
        <w:rPr>
          <w:rFonts w:ascii="Times New Roman" w:cs="Times New Roman" w:eastAsia="Times New Roman" w:hAnsi="Times New Roman"/>
          <w:sz w:val="18"/>
          <w:szCs w:val="18"/>
          <w:color w:val="auto"/>
        </w:rPr>
        <w:t>based on observations in preclinical studies. We believe EEV therapeutic candidates can engage targets across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various organs and tissues with up to 50 times greater intracellular target exposure compared with a similar dose regimen of an unconjugated therapeutic.</w:t>
      </w:r>
    </w:p>
    <w:p>
      <w:pPr>
        <w:spacing w:after="0" w:line="170" w:lineRule="exact"/>
        <w:rPr>
          <w:rFonts w:ascii="Times New Roman" w:cs="Times New Roman" w:eastAsia="Times New Roman" w:hAnsi="Times New Roman"/>
          <w:sz w:val="18"/>
          <w:szCs w:val="18"/>
          <w:color w:val="auto"/>
        </w:rPr>
      </w:pPr>
    </w:p>
    <w:p>
      <w:pPr>
        <w:ind w:left="660" w:right="520" w:hanging="328"/>
        <w:spacing w:after="0" w:line="28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Potential utility across multiple modalities </w:t>
      </w:r>
      <w:r>
        <w:rPr>
          <w:rFonts w:ascii="Times New Roman" w:cs="Times New Roman" w:eastAsia="Times New Roman" w:hAnsi="Times New Roman"/>
          <w:sz w:val="18"/>
          <w:szCs w:val="18"/>
          <w:color w:val="auto"/>
        </w:rPr>
        <w:t>due to the ability of EEVs to facilitate intracellular uptake of proprietary therapeutic candidates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ranging in size from 1 kDa to 600 kDa, including oligonucleotides, peptides, antibodies and larger multimeric proteins.</w:t>
      </w:r>
    </w:p>
    <w:p>
      <w:pPr>
        <w:spacing w:after="0" w:line="154" w:lineRule="exact"/>
        <w:rPr>
          <w:rFonts w:ascii="Times New Roman" w:cs="Times New Roman" w:eastAsia="Times New Roman" w:hAnsi="Times New Roman"/>
          <w:sz w:val="18"/>
          <w:szCs w:val="18"/>
          <w:color w:val="auto"/>
        </w:rPr>
      </w:pPr>
    </w:p>
    <w:p>
      <w:pPr>
        <w:ind w:left="660" w:right="40" w:hanging="328"/>
        <w:spacing w:after="0" w:line="26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Potential applicability to a wide range of diseases </w:t>
      </w:r>
      <w:r>
        <w:rPr>
          <w:rFonts w:ascii="Times New Roman" w:cs="Times New Roman" w:eastAsia="Times New Roman" w:hAnsi="Times New Roman"/>
          <w:sz w:val="18"/>
          <w:szCs w:val="18"/>
          <w:color w:val="auto"/>
        </w:rPr>
        <w:t>as we believe EEVs can enter cells by binding with the phospholipid bilayer which is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all cells, tissues and organs in the body. This may imply an ability to achieve both systemic and specific delivery of potential therapeutic candidates for a wide range of diseases.</w:t>
      </w:r>
    </w:p>
    <w:p>
      <w:pPr>
        <w:spacing w:after="0" w:line="170" w:lineRule="exact"/>
        <w:rPr>
          <w:rFonts w:ascii="Times New Roman" w:cs="Times New Roman" w:eastAsia="Times New Roman" w:hAnsi="Times New Roman"/>
          <w:sz w:val="18"/>
          <w:szCs w:val="18"/>
          <w:color w:val="auto"/>
        </w:rPr>
      </w:pPr>
    </w:p>
    <w:p>
      <w:pPr>
        <w:ind w:left="660" w:right="80" w:hanging="328"/>
        <w:spacing w:after="0" w:line="28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Multiple delivery routes </w:t>
      </w:r>
      <w:r>
        <w:rPr>
          <w:rFonts w:ascii="Times New Roman" w:cs="Times New Roman" w:eastAsia="Times New Roman" w:hAnsi="Times New Roman"/>
          <w:sz w:val="18"/>
          <w:szCs w:val="18"/>
          <w:color w:val="auto"/>
        </w:rPr>
        <w:t>possible including intravenous (IV), intramuscular (IM), subcutaneous (SQ) and intrathecal (IT) injections to deliver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EEV therapeutic candidates and generate functional outcomes.</w:t>
      </w:r>
    </w:p>
    <w:p>
      <w:pPr>
        <w:spacing w:after="0" w:line="154" w:lineRule="exact"/>
        <w:rPr>
          <w:rFonts w:ascii="Times New Roman" w:cs="Times New Roman" w:eastAsia="Times New Roman" w:hAnsi="Times New Roman"/>
          <w:sz w:val="18"/>
          <w:szCs w:val="18"/>
          <w:color w:val="auto"/>
        </w:rPr>
      </w:pPr>
    </w:p>
    <w:p>
      <w:pPr>
        <w:ind w:left="660" w:right="720" w:hanging="328"/>
        <w:spacing w:after="0" w:line="28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Modular approach supports efficient expansion of development into multiple therapeutic areas, </w:t>
      </w:r>
      <w:r>
        <w:rPr>
          <w:rFonts w:ascii="Times New Roman" w:cs="Times New Roman" w:eastAsia="Times New Roman" w:hAnsi="Times New Roman"/>
          <w:sz w:val="18"/>
          <w:szCs w:val="18"/>
          <w:color w:val="auto"/>
        </w:rPr>
        <w:t>including oligonucleotide therapies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neuromuscular and non-neuromuscular applications.</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Translatability</w:t>
      </w:r>
      <w:r>
        <w:rPr>
          <w:rFonts w:ascii="Times New Roman" w:cs="Times New Roman" w:eastAsia="Times New Roman" w:hAnsi="Times New Roman"/>
          <w:sz w:val="18"/>
          <w:szCs w:val="18"/>
          <w:color w:val="auto"/>
        </w:rPr>
        <w:t>, as the mechanisms of cell entry and endosomal escape are thought to be conserved across species.</w:t>
      </w:r>
    </w:p>
    <w:p>
      <w:pPr>
        <w:spacing w:after="0" w:line="225" w:lineRule="exact"/>
        <w:rPr>
          <w:rFonts w:ascii="Times New Roman" w:cs="Times New Roman" w:eastAsia="Times New Roman" w:hAnsi="Times New Roman"/>
          <w:sz w:val="18"/>
          <w:szCs w:val="18"/>
          <w:b w:val="1"/>
          <w:bCs w:val="1"/>
          <w:i w:val="1"/>
          <w:iCs w:val="1"/>
          <w:color w:val="auto"/>
        </w:rPr>
      </w:pPr>
    </w:p>
    <w:p>
      <w:pPr>
        <w:ind w:left="660" w:right="700" w:hanging="328"/>
        <w:spacing w:after="0" w:line="286" w:lineRule="auto"/>
        <w:tabs>
          <w:tab w:leader="none" w:pos="655"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A simple and scalable construct designed to translate from preclinical to clinical development </w:t>
      </w:r>
      <w:r>
        <w:rPr>
          <w:rFonts w:ascii="Times New Roman" w:cs="Times New Roman" w:eastAsia="Times New Roman" w:hAnsi="Times New Roman"/>
          <w:sz w:val="18"/>
          <w:szCs w:val="18"/>
          <w:color w:val="auto"/>
        </w:rPr>
        <w:t>as our lead EEV has been manufactured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efficiently at both clinical and commercial scale.</w:t>
      </w:r>
    </w:p>
    <w:p>
      <w:pPr>
        <w:spacing w:after="0" w:line="15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are engaged in preclinical lead optimization efforts in both neuromuscular and non-neuromuscular disease and discovery efforts to advance platform applications including through novel moiety and delivery modality combinations.</w:t>
      </w:r>
    </w:p>
    <w:p>
      <w:pPr>
        <w:sectPr>
          <w:pgSz w:w="11900" w:h="16838" w:orient="portrait"/>
          <w:cols w:equalWidth="0" w:num="1">
            <w:col w:w="11200"/>
          </w:cols>
          <w:pgMar w:left="320" w:top="60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531495</wp:posOffset>
            </wp:positionV>
            <wp:extent cx="5572125" cy="1903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7212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Neuromuscular Diseases</w:t>
      </w:r>
    </w:p>
    <w:p>
      <w:pPr>
        <w:spacing w:after="0" w:line="216"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7"/>
          <w:szCs w:val="17"/>
          <w:color w:val="auto"/>
        </w:rPr>
        <w:t>In neuromuscular disease, we are initially focused on the development of disease-modifying treatments for DMD. DMD is a monogenic X-linked disease caused by mutations in the DMD gene, which encodes for the protein dystrophin. We estimate that DMD occurs in approximately one in every 3,500 to 5,000 live male births and that the patient population is approximately 30,000 patients in the aggregate in the United States and Europe. Approximately 80% of patients have mutations amenable to exon skipping in the nucleus. We are developing therapeutic candidates to address the genetic basis, at the exon-specific level, of DMD. EEV oligonucleotides are designed to promote the skipping of exon mutations associated with DMD, enabling muscle cells to create a functional dystrophin at a level that we believe may slow, stop or even reverse DMD progression. Our most advanced programs include ENTR-601-44, for the 7.6% of patients with DMD that are exon 44 skipping amenable, ENTR-601-45 for the 8.1% of DMD patients who are exon 45 skipping amenable and ENTR-601-50 for the 3.8% of patients with DMD that are exon 50 skipping amenable. We believe there is robust preclinical data that supports the development of these programs. In our preclinical studies, we have observed substantial exon skipping and dystrophin production in patient derived cells and significant levels of exon skipping in humanized DMD mice and NHPs. This exon skipping was durable 12 weeks after a single dose and has been shown to accumulate after multiple doses, despite rapid clearance from serum. We have shown an ability to optimize the PMO conjugate and deliver a multi-fold improvement in exon skipping over a commercially available sequence, even when that sequence is conjugated to an EEV. Our preclinical studies have also demonstrated reductions in serum creatine kinase (CK), which is a commonly-used biomarker of muscle breakdown, to wild-type levels. Correction of CK is believed to be a strong indicator of pharmacodynamic activity throughout the body and has been described in medical literature as a marker of muscle integrity. We have observed corresponding and significant improvements in functional outcomes as measured in the D2-mdx mouse. In particular, we have observed meaningful tissue uptake and exon skipping, ranging from approximately 60% to over 95% depending on the tissue, in the D2-mdx mouse. We have demonstrated that repeat dosing allows for a halving of the single dose administered in the D2-</w:t>
      </w:r>
      <w:r>
        <w:rPr>
          <w:rFonts w:ascii="Times New Roman" w:cs="Times New Roman" w:eastAsia="Times New Roman" w:hAnsi="Times New Roman"/>
          <w:sz w:val="17"/>
          <w:szCs w:val="17"/>
          <w:i w:val="1"/>
          <w:iCs w:val="1"/>
          <w:color w:val="auto"/>
        </w:rPr>
        <w:t>mdx</w:t>
      </w:r>
      <w:r>
        <w:rPr>
          <w:rFonts w:ascii="Times New Roman" w:cs="Times New Roman" w:eastAsia="Times New Roman" w:hAnsi="Times New Roman"/>
          <w:sz w:val="17"/>
          <w:szCs w:val="17"/>
          <w:color w:val="auto"/>
        </w:rPr>
        <w:t xml:space="preserve"> mouse while maintaining exon skipping efficacy. We have seen increases in both exon skipping and dystrophin production in skeletal and cardiac muscle after multiple doses even allowing for a six week washout between doses, and close to 100% dystrophin positive fibers after only the second dose. In EEV-PMO treated tissues we observed substantial restoration of both dystrophin and alpha sarcoglycan. In striated muscle, sarcoglycans interact with dystrophin and other dystrophin-associated proteins to form the dystrophin-associated glycoprotein complex which protects the sarcolemma from contraction-induced injury.</w:t>
      </w:r>
    </w:p>
    <w:p>
      <w:pPr>
        <w:spacing w:after="0" w:line="383" w:lineRule="exact"/>
        <w:rPr>
          <w:sz w:val="20"/>
          <w:szCs w:val="20"/>
          <w:color w:val="auto"/>
        </w:rPr>
      </w:pPr>
    </w:p>
    <w:p>
      <w:pPr>
        <w:ind w:firstLine="583"/>
        <w:spacing w:after="0" w:line="237" w:lineRule="auto"/>
        <w:rPr>
          <w:sz w:val="20"/>
          <w:szCs w:val="20"/>
          <w:color w:val="auto"/>
        </w:rPr>
      </w:pPr>
      <w:r>
        <w:rPr>
          <w:rFonts w:ascii="Times New Roman" w:cs="Times New Roman" w:eastAsia="Times New Roman" w:hAnsi="Times New Roman"/>
          <w:sz w:val="18"/>
          <w:szCs w:val="18"/>
          <w:color w:val="auto"/>
        </w:rPr>
        <w:t xml:space="preserve">On July 24, 2023, we received authorization from the MHRA for our Phase 1 clinical trial in healthy volunteers, ENTR-601-44-101. The Phase 1 clinical trial's primary objective is to evaluate the safety and tolerability of a single dose of ENTR-601-44 in healthy volunteers, with a target enrollment of approximately 40 participants. The trial will also evaluate pharmacokinetics and target engagement as measured by exon skipping in the skeletal muscle, bearing the Company's recent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showed that exon skipping was approximately 10-40x higher in dystrophic muscle compared to healthy muscle, suggesting that data from healthy normal volunteers may substantially underestimate potential potency. On March 13, 2024, we announced that the first, second and third cohorts of participants had been successfully dosed and we expect to report data from the Phase 1 clinical trial in the second half of 2024. The data from this trial will inform our global clinical development strategy, and if favorable, support regulatory filings to open a global multiple ascending dose (MAD) Phase 2 trial in the fourth quarter of 2024. It is expected that countries will be included in the trial on a rolling basis, as dependent on discussions with individual regulators.</w:t>
      </w:r>
    </w:p>
    <w:p>
      <w:pPr>
        <w:spacing w:after="0" w:line="212" w:lineRule="exact"/>
        <w:rPr>
          <w:sz w:val="20"/>
          <w:szCs w:val="20"/>
          <w:color w:val="auto"/>
        </w:rPr>
      </w:pPr>
    </w:p>
    <w:p>
      <w:pPr>
        <w:ind w:right="340" w:firstLine="583"/>
        <w:spacing w:after="0" w:line="242" w:lineRule="auto"/>
        <w:rPr>
          <w:sz w:val="20"/>
          <w:szCs w:val="20"/>
          <w:color w:val="auto"/>
        </w:rPr>
      </w:pPr>
      <w:r>
        <w:rPr>
          <w:rFonts w:ascii="Times New Roman" w:cs="Times New Roman" w:eastAsia="Times New Roman" w:hAnsi="Times New Roman"/>
          <w:sz w:val="18"/>
          <w:szCs w:val="18"/>
          <w:color w:val="auto"/>
        </w:rPr>
        <w:t>On January 9, 2023, we announced the selection of a second clinical candidate within our Duchenne franchise, ENTR-601-45, for the potential treatment of people living with DMD who are exon 45 skipping amenable. We plan to submit a CTA/IND application for ENTR-601-45 in the fourth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20" w:firstLine="583"/>
        <w:spacing w:after="0" w:line="280" w:lineRule="auto"/>
        <w:rPr>
          <w:sz w:val="20"/>
          <w:szCs w:val="20"/>
          <w:color w:val="auto"/>
        </w:rPr>
      </w:pPr>
      <w:r>
        <w:rPr>
          <w:rFonts w:ascii="Times New Roman" w:cs="Times New Roman" w:eastAsia="Times New Roman" w:hAnsi="Times New Roman"/>
          <w:sz w:val="17"/>
          <w:szCs w:val="17"/>
          <w:color w:val="auto"/>
        </w:rPr>
        <w:t xml:space="preserve">On November 7, 2023, we announced the selection of a third clinical candidate within our Duchenne franchise, ENTR-601-50, for the potential treatment of people living with DMD who are exon 50 skipping amenable. The selection of ENTR-601-50 is based on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preclinical data that demonstrated robust exon 50 skipping across cardiac and skeletal muscle groups. We plan to submit a CTA/IND application for ENTR-601-50 in 2025.</w:t>
      </w:r>
    </w:p>
    <w:p>
      <w:pPr>
        <w:spacing w:after="0" w:line="15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Beyond exploring exon 44, exon 45 and exon 50 skipping amenable candidates, we have also launched research efforts to develop EEV-PMO for exon 51 skipping amenable populations. The exon 51 skipping amenable population is the largest single Duchenne sub-population, representing approximately 14% of patients. Our goal is to identify a therapeutic candidate for exon 51 skipping amenable patients in 2024.</w:t>
      </w:r>
    </w:p>
    <w:p>
      <w:pPr>
        <w:spacing w:after="0" w:line="16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 xml:space="preserve">We are supporting the development of VX-670, in partnership with Vertex for patients with DM1. DM1 is a rare disease caused by a mutation driven alteration of normal RNA structure manifesting as an increase in the number of CTG triplet repeats found in the 3’ non-coding region of the DM1 protein kinase (DMPK) gene. The resulting transcripts, which contain an expanded CUG tract, aggregate in discrete foci in the nuclei of DM patient cells. The excessive number of CUG repeats impart toxic activity, referred to as a toxic gain-of-function. Multiple key proteins are misprocessed, and this contributes to the multi-systemic nature of the disease, which includes generalized limb weakness, respiratory muscle impairment, cardiac abnormalities, fatigue, gastrointestinal </w:t>
      </w:r>
      <w:r>
        <w:rPr>
          <w:rFonts w:ascii="Times New Roman" w:cs="Times New Roman" w:eastAsia="Times New Roman" w:hAnsi="Times New Roman"/>
          <w:sz w:val="18"/>
          <w:szCs w:val="18"/>
          <w:color w:val="231F20"/>
        </w:rPr>
        <w:t>complications</w:t>
      </w:r>
      <w:r>
        <w:rPr>
          <w:rFonts w:ascii="Times New Roman" w:cs="Times New Roman" w:eastAsia="Times New Roman" w:hAnsi="Times New Roman"/>
          <w:sz w:val="18"/>
          <w:szCs w:val="18"/>
          <w:color w:val="auto"/>
        </w:rPr>
        <w:t xml:space="preserve">, cataracts, incontinence and excessive daytime sleepiness. DM1 is commonly estimated to affect approximately 110,000 people in the United States and Europe. VX-670 is intended to address the underlying cause of the </w:t>
      </w:r>
      <w:r>
        <w:rPr>
          <w:rFonts w:ascii="Times New Roman" w:cs="Times New Roman" w:eastAsia="Times New Roman" w:hAnsi="Times New Roman"/>
          <w:sz w:val="18"/>
          <w:szCs w:val="18"/>
          <w:color w:val="231F20"/>
        </w:rPr>
        <w:t>disease</w:t>
      </w:r>
      <w:r>
        <w:rPr>
          <w:rFonts w:ascii="Times New Roman" w:cs="Times New Roman" w:eastAsia="Times New Roman" w:hAnsi="Times New Roman"/>
          <w:sz w:val="18"/>
          <w:szCs w:val="18"/>
          <w:color w:val="auto"/>
        </w:rPr>
        <w:t xml:space="preserve"> by targeting the extra CUG triplet repeats responsible for the downstream misprocessing of proteins important to cell growth, metabolism and function. VX-670 </w:t>
      </w:r>
      <w:r>
        <w:rPr>
          <w:rFonts w:ascii="Times New Roman" w:cs="Times New Roman" w:eastAsia="Times New Roman" w:hAnsi="Times New Roman"/>
          <w:sz w:val="18"/>
          <w:szCs w:val="18"/>
          <w:color w:val="231F20"/>
        </w:rPr>
        <w:t>is designed to block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triplet repeats and correct the mis-splicing and aberrant expression of downstream transcripts in order to restore tissue function. Our preclinical studies have resulted in </w:t>
      </w:r>
      <w:r>
        <w:rPr>
          <w:rFonts w:ascii="Times New Roman" w:cs="Times New Roman" w:eastAsia="Times New Roman" w:hAnsi="Times New Roman"/>
          <w:sz w:val="18"/>
          <w:szCs w:val="18"/>
          <w:i w:val="1"/>
          <w:iCs w:val="1"/>
          <w:color w:val="231F20"/>
        </w:rPr>
        <w:t>in vitro</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i w:val="1"/>
          <w:iCs w:val="1"/>
          <w:color w:val="231F20"/>
        </w:rPr>
        <w:t>in vivo</w:t>
      </w:r>
      <w:r>
        <w:rPr>
          <w:rFonts w:ascii="Times New Roman" w:cs="Times New Roman" w:eastAsia="Times New Roman" w:hAnsi="Times New Roman"/>
          <w:sz w:val="18"/>
          <w:szCs w:val="18"/>
          <w:color w:val="231F20"/>
        </w:rPr>
        <w:t xml:space="preserve"> data where we have observed splicing correction across multiple transcripts, durable DMPK mRNA knockdown, reduction of foci, rapid phenotypic correction, and tolerability in murine models of DM1 which exhibit expanded CTG and CUG repeats.</w:t>
      </w:r>
    </w:p>
    <w:p>
      <w:pPr>
        <w:spacing w:after="0" w:line="213"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231F20"/>
        </w:rPr>
        <w:t>On January 7, 2024 Vertex announced authorization from the MHRA of a clinical trial application for VX-670 for patients with DM1 and initiation of a Phase 1/2 clinical trial in patients with DM1 in Canada and that it will initiate the study in the UK in the near-term. Vertex also noted that they submitted an IND application to the FDA for VX-670. The FDA requested additional information, which resulted in a clinical hold. Vertex is working to address the FDA's comments in order to initiate the study in the U.S.</w:t>
      </w:r>
    </w:p>
    <w:p>
      <w:pPr>
        <w:spacing w:after="0" w:line="212" w:lineRule="exact"/>
        <w:rPr>
          <w:sz w:val="20"/>
          <w:szCs w:val="20"/>
          <w:color w:val="auto"/>
        </w:rPr>
      </w:pPr>
    </w:p>
    <w:p>
      <w:pPr>
        <w:ind w:right="40" w:firstLine="648"/>
        <w:spacing w:after="0" w:line="232" w:lineRule="auto"/>
        <w:rPr>
          <w:sz w:val="20"/>
          <w:szCs w:val="20"/>
          <w:color w:val="auto"/>
        </w:rPr>
      </w:pPr>
      <w:r>
        <w:rPr>
          <w:rFonts w:ascii="Times New Roman" w:cs="Times New Roman" w:eastAsia="Times New Roman" w:hAnsi="Times New Roman"/>
          <w:sz w:val="18"/>
          <w:szCs w:val="18"/>
          <w:color w:val="auto"/>
        </w:rPr>
        <w:t>Under the terms of the Vertex Agreement, we received $250 million from the Vertex Agreement comprised of an upfront payment of $223.7 million and an equity investment of $26.3 million in our common stock at $16.26 per share. We are eligible to receive up to $485 million for the successful achievement of certain research, development, regulatory and commercial milestones, and tiered royalties on potential future net sales for any products that may result from this collaboration. In October 2023, we disclosed achievement of a milestone pursuant to the Vertex Agreement related to preclinical IND-enabling GLP toxicology studies of VX-670 that triggered a $17.5 million milestone payment.</w:t>
      </w:r>
    </w:p>
    <w:p>
      <w:pPr>
        <w:spacing w:after="0" w:line="201" w:lineRule="exact"/>
        <w:rPr>
          <w:sz w:val="20"/>
          <w:szCs w:val="20"/>
          <w:color w:val="auto"/>
        </w:rPr>
      </w:pPr>
    </w:p>
    <w:p>
      <w:pPr>
        <w:jc w:val="both"/>
        <w:ind w:right="400" w:firstLine="648"/>
        <w:spacing w:after="0" w:line="250" w:lineRule="auto"/>
        <w:rPr>
          <w:sz w:val="20"/>
          <w:szCs w:val="20"/>
          <w:color w:val="auto"/>
        </w:rPr>
      </w:pPr>
      <w:r>
        <w:rPr>
          <w:rFonts w:ascii="Times New Roman" w:cs="Times New Roman" w:eastAsia="Times New Roman" w:hAnsi="Times New Roman"/>
          <w:sz w:val="18"/>
          <w:szCs w:val="18"/>
          <w:color w:val="auto"/>
        </w:rPr>
        <w:t>The Vertex Agreement includes a four-year global research collaboration whereby Entrada will continue to advance and receive payments for certain research activities related to VX-670, as well as additional DM1-related research activities. Vertex will be responsible for global development, manufacturing and commercialization of VX-670 and any additional programs stemming from Entrada’s DM1 research efforts.</w:t>
      </w:r>
    </w:p>
    <w:p>
      <w:pPr>
        <w:spacing w:after="0" w:line="19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believe our EEV Platform has broad applicability across multiple neuromuscular diseases. In addition to DMD and DM1, we are leveraging this platform to explore EEV-associated oligonucleotides for the potential treatment of Pompe disease. Pompe disease is a rare, autosomal recessive lysosomal storage disease caused by a mutation in the gene that encodes for glucosidase alpha acid (GAA), which results in an absence or deficiency of GAA protein that is essential to the breakdown of complex sugar, glycogen. Excess glycogen in the muscle cell leads to tissue damage and loss of function. Pompe disease is commonly estimated to affect between 5,000 and 10,000 patients in the aggregate in the United States and Europe; however, the advent of newborn screening suggests the disease is underdiagnosed. Our Pompe disease program focuses on the development of a potentially disease-modifying treatment by targeting and degrading both the mRNA-encoding glycogen synthetase 1 (GYS1) protein required for the synthesis of glycogen which powers in muscle cells and by enhancing the body's ability to degrade glycogen directly. Our preclinical data has shown superior and dose-dependent EEV-PMO knockdown of GYS1 gene expression (approximately 95%) and protein production in skeletal and cardiac muscles versus PMO alone. Further, protein level reductions were durable to eight weeks post IV dose of 13.5 mg/kg EEV-PMO. Preclinical development is ongoing.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Beyond Neuromuscular Disease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Ocular Disease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High unmet need continues to exist across a wide range of ocular diseases including macular dystrophies, photoreceptor diseases, optic neuropathies, among others. Many of these are of genetic origin and potentially addressable via RNA based therapeutics including exon skipping approaches. Despite the benefits of both local delivery and immune privilege many of these diseases have proven to be difficult to treat, as evidenced by a number of clinical failures. The retina is a complex structure consisting of multiple layers of tissue and a range of different cell types. A consistent challenge for developers has been the distribution and uptake of therapeutic candidates broadly, throughout the various layers and cell types across the retina. We believe our EEV-therapeutics can more effectively engage disease specific targets within these tissue layers opening the door to the development of new therapeutic candidates. As such we have preclinical efforts ongoing with the goal of further elucidating the benefits of EEV conjugation. Our lead ocular program targets an indication which results in blindness and affects several thousand exon skipping amenable patients in the United States alone. There are no approved therapies that address the underlying cause of disease. Lead optimization work on both novel oligonucleotide sequences and fit for purpose EEVs is on-going.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 Preclinical Development and Discovery Programs</w:t>
      </w:r>
    </w:p>
    <w:p>
      <w:pPr>
        <w:spacing w:after="0" w:line="22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231F20"/>
        </w:rPr>
        <w:t>We are leveraging the modularity of our EEV Platform to develop opportunities as diverse as EEV-lipid nanoparticle (EEV-LNP) enabled CRISPR-Cas delivery for gene editing, EEV-LNP based delivery of mRNA, EEV-antibody and peptide drug conjugates, EEV-therapeutic opportunities for central nervous system (CNS) and peripheral nervous system (PNS) disorders, EEV-antibody oligonucleotide conjugates for enhanced tissue tropism in immunology and oncology, as well as for blood brain barrier carriage, EEV-therapeutics with enhanced distribution in retinal tissue for ocular indications, and novel ERT therapies. We regularly explore strategic opportunities to develop potential therapies for patients with devastating diseases</w:t>
      </w:r>
      <w:r>
        <w:rPr>
          <w:rFonts w:ascii="Times New Roman" w:cs="Times New Roman" w:eastAsia="Times New Roman" w:hAnsi="Times New Roman"/>
          <w:sz w:val="18"/>
          <w:szCs w:val="18"/>
          <w:color w:val="000000"/>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We aim to transform the lives of patients by establishing EEV therapeutics as a new class of medicines and we aim to become the world’s foremost intracellular therapeutics company. To achieve this, the key pillars of our strategy include:</w:t>
      </w:r>
    </w:p>
    <w:p>
      <w:pPr>
        <w:spacing w:after="0" w:line="158" w:lineRule="exact"/>
        <w:rPr>
          <w:sz w:val="20"/>
          <w:szCs w:val="20"/>
          <w:color w:val="auto"/>
        </w:rPr>
      </w:pPr>
    </w:p>
    <w:p>
      <w:pPr>
        <w:ind w:left="660" w:right="80" w:hanging="328"/>
        <w:spacing w:after="0" w:line="26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Rapidly advance EEV-PMO therapeutic candidates into clinical development in patients with neuromuscular disease. </w:t>
      </w:r>
      <w:r>
        <w:rPr>
          <w:rFonts w:ascii="Times New Roman" w:cs="Times New Roman" w:eastAsia="Times New Roman" w:hAnsi="Times New Roman"/>
          <w:sz w:val="18"/>
          <w:szCs w:val="18"/>
          <w:color w:val="231F20"/>
        </w:rPr>
        <w:t>Our DMD franchise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31F20"/>
        </w:rPr>
        <w:t>is comprised of exon-skipping EEV-PMO candidates that aim to restore functional dystrophin production, for which we have initiated our first clinical trial in the United Kingdom.</w:t>
      </w:r>
    </w:p>
    <w:p>
      <w:pPr>
        <w:spacing w:after="0" w:line="174" w:lineRule="exact"/>
        <w:rPr>
          <w:rFonts w:ascii="Times New Roman" w:cs="Times New Roman" w:eastAsia="Times New Roman" w:hAnsi="Times New Roman"/>
          <w:sz w:val="18"/>
          <w:szCs w:val="18"/>
          <w:color w:val="auto"/>
        </w:rPr>
      </w:pPr>
    </w:p>
    <w:p>
      <w:pPr>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have a four-year research and development collaboration with Vertex. A global phase 1/2 trial in DM1 patients has been initiated for the lead program, VX-670, and the teams continue to explore the potential for additional EEV-based therapeutic candidates for the potential treatment of DM1. We believe that potential technical success in DM1, which involves correcting for a toxic gain of function, could be broadly applicable within and beyond neuromuscular diseases</w:t>
      </w:r>
      <w:r>
        <w:rPr>
          <w:rFonts w:ascii="Times New Roman" w:cs="Times New Roman" w:eastAsia="Times New Roman" w:hAnsi="Times New Roman"/>
          <w:sz w:val="18"/>
          <w:szCs w:val="18"/>
          <w:color w:val="000000"/>
        </w:rPr>
        <w:t>. We are leveraging the proceeds received from our partnership to invest heavily in additional DMD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non-neuromuscular candidate identification and development.</w:t>
      </w:r>
    </w:p>
    <w:p>
      <w:pPr>
        <w:spacing w:after="0" w:line="179" w:lineRule="exact"/>
        <w:rPr>
          <w:rFonts w:ascii="Times New Roman" w:cs="Times New Roman" w:eastAsia="Times New Roman" w:hAnsi="Times New Roman"/>
          <w:sz w:val="18"/>
          <w:szCs w:val="18"/>
          <w:color w:val="auto"/>
        </w:rPr>
      </w:pPr>
    </w:p>
    <w:p>
      <w:pPr>
        <w:ind w:left="660" w:right="200" w:hanging="328"/>
        <w:spacing w:after="0" w:line="25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Leverage the modularity of our platform along with our growing capabilities in genetic medicine and protein design to advance a broad development portfolio of therapeutic candidates across multiple devastating diseases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31F20"/>
        </w:rPr>
        <w:t>We believe our modular platform and expanded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31F20"/>
        </w:rPr>
        <w:t xml:space="preserve">capabilities can enable us to advance therapeutic candidates for the treatment of additional neuromuscular and non-neuromuscular diseases for which the biophysical properties, therapeutic approaches, and development strategies involve regulating gene and protein expression. </w:t>
      </w:r>
      <w:r>
        <w:rPr>
          <w:rFonts w:ascii="Times New Roman" w:cs="Times New Roman" w:eastAsia="Times New Roman" w:hAnsi="Times New Roman"/>
          <w:sz w:val="18"/>
          <w:szCs w:val="18"/>
          <w:color w:val="000000"/>
        </w:rPr>
        <w:t>We</w:t>
      </w:r>
      <w:r>
        <w:rPr>
          <w:rFonts w:ascii="Times New Roman" w:cs="Times New Roman" w:eastAsia="Times New Roman" w:hAnsi="Times New Roman"/>
          <w:sz w:val="18"/>
          <w:szCs w:val="18"/>
          <w:color w:val="231F20"/>
        </w:rPr>
        <w:t xml:space="preserve"> are experimenting with combinations of different platform elements to enhance the therapeutic index and half-life of potential candidates and to enable new mechanisms of action.</w:t>
      </w:r>
    </w:p>
    <w:p>
      <w:pPr>
        <w:spacing w:after="0" w:line="182" w:lineRule="exact"/>
        <w:rPr>
          <w:rFonts w:ascii="Times New Roman" w:cs="Times New Roman" w:eastAsia="Times New Roman" w:hAnsi="Times New Roman"/>
          <w:sz w:val="18"/>
          <w:szCs w:val="18"/>
          <w:color w:val="auto"/>
        </w:rPr>
      </w:pPr>
    </w:p>
    <w:p>
      <w:pPr>
        <w:ind w:left="660" w:right="120" w:hanging="328"/>
        <w:spacing w:after="0" w:line="26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Selectively evaluate strategic partnerships to maximize the therapeutic potential of our platform and programs</w:t>
      </w:r>
      <w:r>
        <w:rPr>
          <w:rFonts w:ascii="Times New Roman" w:cs="Times New Roman" w:eastAsia="Times New Roman" w:hAnsi="Times New Roman"/>
          <w:sz w:val="18"/>
          <w:szCs w:val="18"/>
          <w:color w:val="auto"/>
        </w:rPr>
        <w:t>. We aim to improve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lives and plan to enable strategic partnerships with the goal of expanding our therapeutic footprint, and to accelerate the development of certain programs.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Team and Culture</w:t>
      </w:r>
    </w:p>
    <w:p>
      <w:pPr>
        <w:spacing w:after="0" w:line="229"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231F20"/>
        </w:rPr>
        <w:t>Entrada was founded based on exciting science that has the potential to transform the treatment of serious diseases. We are a dedicated team of experts and leaders in both disease biology and therapeutic development, working with urgency to make positive differences in the lives of patients and their families. We have a shared passion for involving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231F20"/>
        </w:rPr>
        <w:t>patients and caregivers so that we may better understand the patient experience in order to develop therapies that more effectively reflect their perspectives and priorities.</w:t>
      </w:r>
    </w:p>
    <w:p>
      <w:pPr>
        <w:spacing w:after="0" w:line="148"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 xml:space="preserve">Our management team brings a depth of experience and knowledge base in research, drug discovery and development and commercialization. The team is led by Dipal Doshi, our Chief Executive Officer, who brings over 20 years of leadership experience within life sciences companies; Nathan Dowden, our President and Chief Operating Officer, who has three decades of experience leading corporate strategy, portfolio management, business planning and operations; Natarajan Sethuraman, Ph.D., our Chief Scientific Officer, who is an expert in large molecule therapeutic development and delivery platforms with over 30 years of experience across pharmaceutical and biotechnology companies; Kory Wentworth, our Chief Financial Officer, who has over 20 years of public accounting and global biopharmaceutical experience, and </w:t>
      </w:r>
      <w:r>
        <w:rPr>
          <w:rFonts w:ascii="Times New Roman" w:cs="Times New Roman" w:eastAsia="Times New Roman" w:hAnsi="Times New Roman"/>
          <w:sz w:val="18"/>
          <w:szCs w:val="18"/>
          <w:color w:val="231F20"/>
        </w:rPr>
        <w:t>our General Counsel, Jared Cohen Ph.D., J.D., who has 20 years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of both external and in-house experience at a range of mature and early stage biopharmaceutical companies. Our leadership team also includes Karla MacDonald, our Chief Corporate Affairs Officer, and Kerry Robert, M.S., our Senior Vice President, People, who has 15 years of experience building leading talent organizations in biotechnology and technology companies. Entrada appointed Kevin Healy, PhD, as Senior Vice President of Regulatory Affairs in February 2024. He has extensive expertise in the development and commercialization of therapies for serious and rare diseases and has led or participated in more than 30 formal meetings with the FDA, EMA, and other global health authorities.</w:t>
      </w:r>
    </w:p>
    <w:p>
      <w:pPr>
        <w:spacing w:after="0" w:line="213"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March 6, 2024</w:t>
      </w:r>
      <w:r>
        <w:rPr>
          <w:rFonts w:ascii="Times New Roman" w:cs="Times New Roman" w:eastAsia="Times New Roman" w:hAnsi="Times New Roman"/>
          <w:sz w:val="18"/>
          <w:szCs w:val="18"/>
          <w:color w:val="231F20"/>
        </w:rPr>
        <w:t xml:space="preserve">, our organization was comprised of </w:t>
      </w:r>
      <w:r>
        <w:rPr>
          <w:rFonts w:ascii="Times New Roman" w:cs="Times New Roman" w:eastAsia="Times New Roman" w:hAnsi="Times New Roman"/>
          <w:sz w:val="18"/>
          <w:szCs w:val="18"/>
          <w:color w:val="000000"/>
        </w:rPr>
        <w:t>159</w:t>
      </w:r>
      <w:r>
        <w:rPr>
          <w:rFonts w:ascii="Times New Roman" w:cs="Times New Roman" w:eastAsia="Times New Roman" w:hAnsi="Times New Roman"/>
          <w:sz w:val="18"/>
          <w:szCs w:val="18"/>
          <w:color w:val="231F20"/>
        </w:rPr>
        <w:t xml:space="preserve"> talented individuals with significant experience across discovery, preclinical research, manufacturing, clinical development and operations. </w:t>
      </w:r>
      <w:r>
        <w:rPr>
          <w:rFonts w:ascii="Times New Roman" w:cs="Times New Roman" w:eastAsia="Times New Roman" w:hAnsi="Times New Roman"/>
          <w:sz w:val="18"/>
          <w:szCs w:val="18"/>
          <w:color w:val="000000"/>
        </w:rPr>
        <w:t>We are supported by leading scientific and clinical experts in the fields of peptide chemistry,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oligonucleotide and protein optimization, disease specific pathophysiology and clinical development.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Biology of Intracellular Trafficking</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Each person’s genetic material, or genome, consists of DNA in sequences of genetic code called genes. Many diseases, including rare genetic diseases, immune-mediated disorders and cancers, are caused by a mutation in an individual’s DNA sequence, as compared to a healthy individual. These mutations can be in a single gene, and result in monogenic disorders, or in multiple genes. This genetic dysregulation can be inherited or can be caused by damage to the DNA. In each case, a mutation results in a change in the information that DNA provides to the cell’s protein manufacturing and processing functions, which in turn result in either a lack of useful protein, an excess of toxic protein, or a dysregulation of cell signaling mechanisms. These changes manifest in pathological dysfunction at the cellular, tissue, organ and potentially systemic level.</w:t>
      </w:r>
    </w:p>
    <w:p>
      <w:pPr>
        <w:spacing w:after="0" w:line="18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As pathological dysfunction occurs inside the cell, intracellular therapeutics are designed to correct disease-causing dysfunction at either the level of DNA, RNA, or protein. Therapeutic modalities which prevent or enhance protein production include small molecules, viral gene therapies and oligonucleotide therapeutics, including anti-sense oligonucleotides (ASOs) and small interfering RNAs (siRNAs). Therapeutic modalities which target aberrant proteins include small molecules, enzymes, antibodies and peptides.</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Despite significant advances in understanding disease drivers, obstacles to effective treatment remain, in part because approximately 75% of all disease-causing targets are located inside of cells. Small molecules can permeate cell membranes but tend to be rapidly cleared by the body before they reach the intended tissue and can be associated with off-target effects. These limitations often necessitate high therapeutic doses and can be associated with less-than-optimal therapeutic activity.</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the other hand, biological therapeutics are highly targeted and potent but are limited in their ability to reach intracellular targets of interest. The first challenge is to get biological therapeutics, such as proteins and nucleic acids, through the phospholipid bilayer. Proteins and nucleic acids can be internalized through endocytosis, a natural process by which substances are brought into the cell. Once endocytosis begins, the cell membrane folds around the biological therapeutic and internalizes it, fusing with it and trapping it in a structure called the early endosome. The early endosome serves as a sorting vehicle, either returning its contents back to the cell membrane or transporting and slowly degrading them in the late endosome and, ultimately, in the lysosome.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531495</wp:posOffset>
            </wp:positionV>
            <wp:extent cx="4500245" cy="19716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00245"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second challenge is achieving endosomal escape, wherein the biological therapeutic is released in functional form from the early endosome. Even when a therapeutic is successful in penetrating a cell, only about 1% of the drug will escape the early endosome to reach its intended intracellular targets. As a result, high doses of drug product are often needed to produce a therapeutic effect, which could potentially cause systemic dose-related toxicity. While scientific advances using lipid particles, viral vectors, antibodies and prior generations of cell-penetrating peptides to deliver biological therapeutics have been made, these vehicles are often relatively toxic, limited in their applicability and/or difficult to manufacture.</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To effectively capitalize on both known biology and future discoveries, a better way of targeted intracellular delivery of therapeutics is needed. We believe we have discovered a potential solution.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Approach</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An ideal therapeutic platform enables the efficient intracellular delivery of highly targeted and potent therapeutics throughout the body. The cornerstone of our platform, our proprietary EEVs are based upon small cyclic peptides of approximately 10 amino acid residues or fewer. EEVs bind with low affinity, at normal serum pH levels, directly to the phospholipid bilayer of all cells and trigger the natural process of endocytosis. EEVs are chemically conjugated to a wide range of specific and potent biological therapeutics, including, for example, small snippets of therapeutic RNA (ASOs), antibodies and large enzymes, to create EEV therapeutic candidates.</w:t>
      </w:r>
    </w:p>
    <w:p>
      <w:pPr>
        <w:spacing w:after="0" w:line="183"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Once the EEV-conjugated material binds to the phospholipid bilayer, the cell engulfs the conjugate and brings it inside. EEVs are designed to enable cellular uptake into every type of tissue in the body. In addition to the potential for broad cellular distribution, we have demonstrated that certain EEV chemistries bias toward specific cell types and we believe EEVs can also, if needed, be tailored to specific cell types or tissues through the conjugation of high affinity cell-receptor antibodies, wherein the picomolar to nanomolar level receptor binding affinity would be expected to easily out-compete the low affinity phospholipid binding activity of the EEV. We leverage a variety of organelle targeting moieties to ensure that, where necessary, the therapeutic reaches the right sub-compartment inside the cell.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130810</wp:posOffset>
            </wp:positionV>
            <wp:extent cx="4989195" cy="18859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89195" cy="1885950"/>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our preclinical studies, we have observed, based on mass balance analysis, that greater than 90% of EEV-conjugated material is taken up by the tissues of the body. Once inside the cell, these studies indicate that the EEV-conjugated material rapidly escapes from the early endosome. Because of the low-pH conditions in the early endosome, the binding affinity of the EEV to the inner endosome wall increases, resulting in the successful formation and budding of unstable vesicles which then collapse and release their contents into the cell cytosol. In our preclinical studies, we observed that approximately 50% of the EEV-conjugated material escaped the endosome to reach the intracellular disease target as compared to the &lt;2% observed in prior studies of current biologics. While these preclinical studies were not designed as head-to-head comparisons to current biologics, these data generally compare favorably to historical published data regarding the percentage, of current biologics that have been observed to reach their designed intracellular disease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133350</wp:posOffset>
            </wp:positionV>
            <wp:extent cx="4714875" cy="2245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14875"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attributes of our EEV Platform include:</w:t>
      </w:r>
    </w:p>
    <w:p>
      <w:pPr>
        <w:spacing w:after="0" w:line="221" w:lineRule="exact"/>
        <w:rPr>
          <w:sz w:val="20"/>
          <w:szCs w:val="20"/>
          <w:color w:val="auto"/>
        </w:rPr>
      </w:pPr>
    </w:p>
    <w:p>
      <w:pPr>
        <w:ind w:left="660" w:right="160" w:hanging="328"/>
        <w:spacing w:after="0" w:line="28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Serum stability and extended half-life: </w:t>
      </w:r>
      <w:r>
        <w:rPr>
          <w:rFonts w:ascii="Times New Roman" w:cs="Times New Roman" w:eastAsia="Times New Roman" w:hAnsi="Times New Roman"/>
          <w:sz w:val="18"/>
          <w:szCs w:val="18"/>
          <w:color w:val="auto"/>
        </w:rPr>
        <w:t>The cyclic structure of EEVs is designed to limit protease-mediated degradation, resulting in increased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stability and extended half-life. In contrast, linear cell-penetrating peptides are rapidly degraded in human serum.</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Broad biodistribution: </w:t>
      </w:r>
      <w:r>
        <w:rPr>
          <w:rFonts w:ascii="Times New Roman" w:cs="Times New Roman" w:eastAsia="Times New Roman" w:hAnsi="Times New Roman"/>
          <w:sz w:val="18"/>
          <w:szCs w:val="18"/>
          <w:color w:val="auto"/>
        </w:rPr>
        <w:t>EEVs target phospholipid bilayers and can therefore potentially be delivered to any cell in the body, regardless of route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Additionally, and importantly, cyclization confers unique biophysiochemical properties to EEVs, optimally positioning side chains for membrane association and enabling the use of fewer positively charged cationic residues, which we believe could reduce potential toxicities of EEVs relative to linear peptides which rely on chemistries with a high positive charge.</w:t>
      </w:r>
    </w:p>
    <w:p>
      <w:pPr>
        <w:spacing w:after="0" w:line="176" w:lineRule="exact"/>
        <w:rPr>
          <w:rFonts w:ascii="Times New Roman" w:cs="Times New Roman" w:eastAsia="Times New Roman" w:hAnsi="Times New Roman"/>
          <w:sz w:val="18"/>
          <w:szCs w:val="18"/>
          <w:color w:val="auto"/>
        </w:rPr>
      </w:pPr>
    </w:p>
    <w:p>
      <w:pPr>
        <w:ind w:left="660" w:right="120" w:hanging="328"/>
        <w:spacing w:after="0" w:line="26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Active uptake and drug release: </w:t>
      </w:r>
      <w:r>
        <w:rPr>
          <w:rFonts w:ascii="Times New Roman" w:cs="Times New Roman" w:eastAsia="Times New Roman" w:hAnsi="Times New Roman"/>
          <w:sz w:val="18"/>
          <w:szCs w:val="18"/>
          <w:color w:val="auto"/>
        </w:rPr>
        <w:t>EEVs bind to membrane phospholipids but not proteoglycans and thus avoid being trapped in the cell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membrane. The low affinity binding to the cell surface triggers endocytosis and we have observed that 90% of the EEV-conjugated material was taken up in tissue in our preclinical studies. The low pH enhanced affinity of EEVs triggers the budding of vesicles from the early endosome and we have observed the subsequent release of approximately 50% of this material into the cytosol in our preclinical studies.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531495</wp:posOffset>
            </wp:positionV>
            <wp:extent cx="4714875" cy="22885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14875"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We have developed a proprietary library of EEVs to enable the intracellular engagement of therapeutics against previously inaccessible and undruggable disease-causing targets. EEVs are broadly distributed, highly targeted, designed to have a wide therapeutic index and can be chronically dosed.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advantages of our platform include:</w:t>
      </w:r>
    </w:p>
    <w:p>
      <w:pPr>
        <w:spacing w:after="0" w:line="221" w:lineRule="exact"/>
        <w:rPr>
          <w:sz w:val="20"/>
          <w:szCs w:val="20"/>
          <w:color w:val="auto"/>
        </w:rPr>
      </w:pPr>
    </w:p>
    <w:p>
      <w:pPr>
        <w:ind w:left="660" w:right="60" w:hanging="328"/>
        <w:spacing w:after="0" w:line="25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Broad potential therapeutic index: </w:t>
      </w:r>
      <w:r>
        <w:rPr>
          <w:rFonts w:ascii="Times New Roman" w:cs="Times New Roman" w:eastAsia="Times New Roman" w:hAnsi="Times New Roman"/>
          <w:sz w:val="18"/>
          <w:szCs w:val="18"/>
          <w:color w:val="auto"/>
        </w:rPr>
        <w:t>Our EEV Platform is designed to allow specific biological therapeutics to engage targets across every cell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body. In our preclinical studies, we observed that approximately 50% of the EEV-conjugated material escaped the endosome to reach the intracellular disease target as compared to the &lt;2% observed in prior studies of current biologics. While these preclinical studies were not designed as head-to-head comparisons to current biologics, these data generally compare favorably to historical published data regarding the percentage of current biologics that have been observed to reach their designed intracellular disease target. We therefore believe that our EEV Platform can enable greater target exposure with an unconjugated therapeutic and similar dose regimen.</w:t>
      </w:r>
    </w:p>
    <w:p>
      <w:pPr>
        <w:spacing w:after="0" w:line="195" w:lineRule="exact"/>
        <w:rPr>
          <w:rFonts w:ascii="Times New Roman" w:cs="Times New Roman" w:eastAsia="Times New Roman" w:hAnsi="Times New Roman"/>
          <w:sz w:val="18"/>
          <w:szCs w:val="18"/>
          <w:color w:val="auto"/>
        </w:rPr>
      </w:pPr>
    </w:p>
    <w:p>
      <w:pPr>
        <w:ind w:left="660" w:hanging="328"/>
        <w:spacing w:after="0" w:line="249" w:lineRule="auto"/>
        <w:tabs>
          <w:tab w:leader="none" w:pos="648" w:val="left"/>
        </w:tabs>
        <w:numPr>
          <w:ilvl w:val="0"/>
          <w:numId w:val="11"/>
        </w:numPr>
        <w:rPr>
          <w:rFonts w:ascii="Arial" w:cs="Arial" w:eastAsia="Arial" w:hAnsi="Arial"/>
          <w:sz w:val="19"/>
          <w:szCs w:val="19"/>
          <w:color w:val="auto"/>
        </w:rPr>
      </w:pPr>
      <w:r>
        <w:rPr>
          <w:rFonts w:ascii="Times New Roman" w:cs="Times New Roman" w:eastAsia="Times New Roman" w:hAnsi="Times New Roman"/>
          <w:sz w:val="17"/>
          <w:szCs w:val="17"/>
          <w:b w:val="1"/>
          <w:bCs w:val="1"/>
          <w:color w:val="auto"/>
        </w:rPr>
        <w:t xml:space="preserve">Potential across multiple modalities: </w:t>
      </w:r>
      <w:r>
        <w:rPr>
          <w:rFonts w:ascii="Times New Roman" w:cs="Times New Roman" w:eastAsia="Times New Roman" w:hAnsi="Times New Roman"/>
          <w:sz w:val="17"/>
          <w:szCs w:val="17"/>
          <w:color w:val="auto"/>
        </w:rPr>
        <w:t>Our EEV Platform is designed to enable the development of intracellular therapeutic candidates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modulate, inhibit, degrade or replace an intracellular target to correct the underlying disease pathophysiology. In our preclinical studies of EEVs, we observed intracellular uptake of unique therapeutic candidates ranging in size from 1 kDa to 600 kDa, including oligonucleotides, antibodies and larger multimeric proteins. Unlike viral vectors or certain lipids and nanoparticle constructs, EEVs do not appear to be hampered by “packaging limits”. For example, adeno-associated viruses constructs are limited to 5 kb in length, dramatically restricting both the size of genes and complexity of regulatory sequences that can be delivered. Importantly, our preclinical studies support the concept of modularity in that we can use similar EEV structures across the portfolio. EEVs are then further optimized to the specific application of interest. For example, in our preclinical discovery efforts, EEV-modified LNP (EEV-LNP) significantly enhanced the efficiency of mRNA delivery and gene editing compared to unconjugated LNP. Each program advanced contributes to a foundation upon which our development portfolio can continue to expand.</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531495</wp:posOffset>
            </wp:positionV>
            <wp:extent cx="4714875" cy="21856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14875"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hanging="328"/>
        <w:spacing w:after="0" w:line="25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Potential across tissue types: </w:t>
      </w:r>
      <w:r>
        <w:rPr>
          <w:rFonts w:ascii="Times New Roman" w:cs="Times New Roman" w:eastAsia="Times New Roman" w:hAnsi="Times New Roman"/>
          <w:sz w:val="18"/>
          <w:szCs w:val="18"/>
          <w:color w:val="231F20"/>
        </w:rPr>
        <w:t>Our EEV Platform is not limited to a particular tissue type. Because every cell in the human body is surrounded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31F20"/>
        </w:rPr>
        <w:t>a phospholipid bilayer, this enables the systemic delivery of potential therapeutic candidates for a wide range of diseases. We have seen potentially clinically relevant uptake of EEV-conjugates across a wide range of organs, tissue and cell types, including skeletal and cardiac muscle, monocytes and macrophages, ocular tissues such as the retina and tissues found in the central and peripheral nervous system. We have also shown in preclinical studies that, if need be, we can target our EEV-conjugated nucleotides by adding tissue-targeting moieties or organelle-targeting sequences, including, for example, nucleus, mitochondria and peroxisome</w:t>
      </w:r>
      <w:r>
        <w:rPr>
          <w:rFonts w:ascii="Times New Roman" w:cs="Times New Roman" w:eastAsia="Times New Roman" w:hAnsi="Times New Roman"/>
          <w:sz w:val="18"/>
          <w:szCs w:val="18"/>
          <w:color w:val="000000"/>
        </w:rPr>
        <w:t>.</w:t>
      </w:r>
    </w:p>
    <w:p>
      <w:pPr>
        <w:spacing w:after="0" w:line="182" w:lineRule="exact"/>
        <w:rPr>
          <w:rFonts w:ascii="Times New Roman" w:cs="Times New Roman" w:eastAsia="Times New Roman" w:hAnsi="Times New Roman"/>
          <w:sz w:val="18"/>
          <w:szCs w:val="18"/>
          <w:color w:val="auto"/>
        </w:rPr>
      </w:pPr>
    </w:p>
    <w:p>
      <w:pPr>
        <w:ind w:left="660" w:right="80" w:hanging="328"/>
        <w:spacing w:after="0" w:line="268"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Multiple delivery routes: </w:t>
      </w:r>
      <w:r>
        <w:rPr>
          <w:rFonts w:ascii="Times New Roman" w:cs="Times New Roman" w:eastAsia="Times New Roman" w:hAnsi="Times New Roman"/>
          <w:sz w:val="18"/>
          <w:szCs w:val="18"/>
          <w:color w:val="auto"/>
        </w:rPr>
        <w:t>In our preclinical studies, we have generated functional outcomes systemically using IV, and SQ injections. Preclinical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studies have also demonstrated what we believe to be therapeutically relevant concentrations of product uptake in the CNS and the retina via IT and IVT administration respectively.</w:t>
      </w:r>
    </w:p>
    <w:p>
      <w:pPr>
        <w:spacing w:after="0" w:line="170" w:lineRule="exact"/>
        <w:rPr>
          <w:rFonts w:ascii="Times New Roman" w:cs="Times New Roman" w:eastAsia="Times New Roman" w:hAnsi="Times New Roman"/>
          <w:sz w:val="18"/>
          <w:szCs w:val="18"/>
          <w:color w:val="auto"/>
        </w:rPr>
      </w:pPr>
    </w:p>
    <w:p>
      <w:pPr>
        <w:ind w:left="660" w:right="220" w:hanging="328"/>
        <w:spacing w:after="0" w:line="268"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Modular approach that enables efficient expansion into multiple therapeutic areas: </w:t>
      </w:r>
      <w:r>
        <w:rPr>
          <w:rFonts w:ascii="Times New Roman" w:cs="Times New Roman" w:eastAsia="Times New Roman" w:hAnsi="Times New Roman"/>
          <w:sz w:val="18"/>
          <w:szCs w:val="18"/>
          <w:color w:val="231F20"/>
        </w:rPr>
        <w:t>We have a wide variety of programs in discovery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31F20"/>
        </w:rPr>
        <w:t>preclinical development, including nucleic acid and protein based therapies in neuromuscular disease and beyond. The EEV Platform facilitates the effectiveness of the modality, which in turn produces the translational output</w:t>
      </w:r>
      <w:r>
        <w:rPr>
          <w:rFonts w:ascii="Times New Roman" w:cs="Times New Roman" w:eastAsia="Times New Roman" w:hAnsi="Times New Roman"/>
          <w:sz w:val="18"/>
          <w:szCs w:val="18"/>
          <w:color w:val="000000"/>
        </w:rPr>
        <w:t>.</w:t>
      </w:r>
    </w:p>
    <w:p>
      <w:pPr>
        <w:spacing w:after="0" w:line="170" w:lineRule="exact"/>
        <w:rPr>
          <w:rFonts w:ascii="Times New Roman" w:cs="Times New Roman" w:eastAsia="Times New Roman" w:hAnsi="Times New Roman"/>
          <w:sz w:val="18"/>
          <w:szCs w:val="18"/>
          <w:color w:val="auto"/>
        </w:rPr>
      </w:pPr>
    </w:p>
    <w:p>
      <w:pPr>
        <w:ind w:left="660" w:right="160" w:hanging="328"/>
        <w:spacing w:after="0" w:line="268" w:lineRule="auto"/>
        <w:tabs>
          <w:tab w:leader="none" w:pos="65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Translatability</w:t>
      </w:r>
      <w:r>
        <w:rPr>
          <w:rFonts w:ascii="Times New Roman" w:cs="Times New Roman" w:eastAsia="Times New Roman" w:hAnsi="Times New Roman"/>
          <w:sz w:val="18"/>
          <w:szCs w:val="18"/>
          <w:color w:val="auto"/>
        </w:rPr>
        <w:t>, as the mechanisms of cell entry and endosomal escape are thought to be conserved across species. Acute and chronic toxicology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studies in several programs have demonstrated the potential to deliver clinically-relevant doses in multiple animal species with favorable tolerability.</w:t>
      </w:r>
    </w:p>
    <w:p>
      <w:pPr>
        <w:spacing w:after="0" w:line="170" w:lineRule="exact"/>
        <w:rPr>
          <w:rFonts w:ascii="Times New Roman" w:cs="Times New Roman" w:eastAsia="Times New Roman" w:hAnsi="Times New Roman"/>
          <w:sz w:val="18"/>
          <w:szCs w:val="18"/>
          <w:b w:val="1"/>
          <w:bCs w:val="1"/>
          <w:i w:val="1"/>
          <w:iCs w:val="1"/>
          <w:color w:val="auto"/>
        </w:rPr>
      </w:pPr>
    </w:p>
    <w:p>
      <w:pPr>
        <w:ind w:left="660" w:right="240" w:hanging="328"/>
        <w:spacing w:after="0" w:line="286" w:lineRule="auto"/>
        <w:tabs>
          <w:tab w:leader="none" w:pos="65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A simple and scalable construct designed to translate from preclinical to clinical development </w:t>
      </w:r>
      <w:r>
        <w:rPr>
          <w:rFonts w:ascii="Times New Roman" w:cs="Times New Roman" w:eastAsia="Times New Roman" w:hAnsi="Times New Roman"/>
          <w:sz w:val="18"/>
          <w:szCs w:val="18"/>
          <w:color w:val="auto"/>
        </w:rPr>
        <w:t>as EEVs have been manufactured efficiently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both clinical and commercial scale.</w:t>
      </w:r>
    </w:p>
    <w:p>
      <w:pPr>
        <w:spacing w:after="0" w:line="158" w:lineRule="exact"/>
        <w:rPr>
          <w:rFonts w:ascii="Times New Roman" w:cs="Times New Roman" w:eastAsia="Times New Roman" w:hAnsi="Times New Roman"/>
          <w:sz w:val="18"/>
          <w:szCs w:val="18"/>
          <w:b w:val="1"/>
          <w:bCs w:val="1"/>
          <w:i w:val="1"/>
          <w:iCs w:val="1"/>
          <w:color w:val="auto"/>
        </w:rPr>
      </w:pPr>
    </w:p>
    <w:p>
      <w:pPr>
        <w:ind w:left="660" w:right="11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EEVs implies that they are unlikely to be presented on the surface of immune cells, and therefore we believe the risk of immunogenicity may be low and limited to the conjugate of the EEV therapeutic candidate.</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these significant advantages associated with the EEV platform, we focused on applying our platform in the following areas:</w:t>
      </w:r>
    </w:p>
    <w:p>
      <w:pPr>
        <w:spacing w:after="0" w:line="223"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5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Oligonucleotide programs: </w:t>
      </w:r>
      <w:r>
        <w:rPr>
          <w:rFonts w:ascii="Times New Roman" w:cs="Times New Roman" w:eastAsia="Times New Roman" w:hAnsi="Times New Roman"/>
          <w:sz w:val="18"/>
          <w:szCs w:val="18"/>
          <w:color w:val="auto"/>
        </w:rPr>
        <w:t>In our neuromuscular programs, we leverage EEV-enabled oligonucleotides. EEV-ASOs are highly programmable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can upregulate or downregulate gene expression. We are developing a DMD franchise, with our most advanced program ENTR-601-44 progressing in clinical trials. In patients with DMD, there are mutations in or deletions of regions in the genetic code responsible for dystrophin production. These mutations or deletions result in the creation of incomplete RNA sequences, which fail to create functional dystrophin. By using our EEV-PMOs, we have demonstrated in animal models that we can skip mutated sequences, allowing the cell to create functional dystrophin. Other programs such as VX-670 and our work on GYS1 aim to downregulate gene expression either by using steric blocking of the relevant coding region of the mRNA to prevent translation or by utilizing exon skipping to introduce a premature stop codon and the initiation of nonsense mediated degradation. </w:t>
      </w:r>
      <w:r>
        <w:rPr>
          <w:rFonts w:ascii="Times New Roman" w:cs="Times New Roman" w:eastAsia="Times New Roman" w:hAnsi="Times New Roman"/>
          <w:sz w:val="18"/>
          <w:szCs w:val="18"/>
          <w:color w:val="231F20"/>
        </w:rPr>
        <w:t>The backbone EEV and oligonucleotide chemistries are the same across the</w:t>
      </w:r>
    </w:p>
    <w:p>
      <w:pPr>
        <w:sectPr>
          <w:pgSz w:w="11900" w:h="16838" w:orient="portrait"/>
          <w:cols w:equalWidth="0" w:num="1">
            <w:col w:w="11220"/>
          </w:cols>
          <w:pgMar w:left="320" w:top="60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right="420"/>
        <w:spacing w:after="0" w:line="266" w:lineRule="auto"/>
        <w:rPr>
          <w:sz w:val="20"/>
          <w:szCs w:val="20"/>
          <w:color w:val="auto"/>
        </w:rPr>
      </w:pPr>
      <w:r>
        <w:rPr>
          <w:rFonts w:ascii="Times New Roman" w:cs="Times New Roman" w:eastAsia="Times New Roman" w:hAnsi="Times New Roman"/>
          <w:sz w:val="18"/>
          <w:szCs w:val="18"/>
          <w:color w:val="231F20"/>
        </w:rPr>
        <w:t>various applications, and if successful, we anticipate that we can leverage our approach across a wide range of diseases by simply coding the sequence needed to impact gene expression</w:t>
      </w:r>
      <w:r>
        <w:rPr>
          <w:rFonts w:ascii="Times New Roman" w:cs="Times New Roman" w:eastAsia="Times New Roman" w:hAnsi="Times New Roman"/>
          <w:sz w:val="18"/>
          <w:szCs w:val="18"/>
          <w:color w:val="000000"/>
        </w:rPr>
        <w:t>. We also continue to expand the utilization of EEV-PMO based exon-skipping as we advance our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efforts in ocular disease.</w:t>
      </w:r>
    </w:p>
    <w:p>
      <w:pPr>
        <w:spacing w:after="0" w:line="174" w:lineRule="exact"/>
        <w:rPr>
          <w:sz w:val="20"/>
          <w:szCs w:val="20"/>
          <w:color w:val="auto"/>
        </w:rPr>
      </w:pPr>
    </w:p>
    <w:p>
      <w:pPr>
        <w:ind w:left="660" w:right="14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Antibody and peptide based programs: </w:t>
      </w:r>
      <w:r>
        <w:rPr>
          <w:rFonts w:ascii="Times New Roman" w:cs="Times New Roman" w:eastAsia="Times New Roman" w:hAnsi="Times New Roman"/>
          <w:sz w:val="18"/>
          <w:szCs w:val="18"/>
          <w:color w:val="auto"/>
        </w:rPr>
        <w:t>To widen the therapeutic index, we believe the endosomal escape enhancing efficiency of an EEV can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combined with the enhanced circulating half-life and tissue tropism associated with receptor mediated binding to more selectively target or avoid specific cell types and efficiently deliver a variety of active payloads. </w:t>
      </w:r>
      <w:r>
        <w:rPr>
          <w:rFonts w:ascii="Times New Roman" w:cs="Times New Roman" w:eastAsia="Times New Roman" w:hAnsi="Times New Roman"/>
          <w:sz w:val="18"/>
          <w:szCs w:val="18"/>
          <w:color w:val="231F20"/>
        </w:rPr>
        <w:t>Preclinical studies have demonstrated intracellular delivery of a variety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full and partial domain antibodies and we have observed target engagement and a meaningful modulation of downstream signaling.</w:t>
      </w:r>
    </w:p>
    <w:p>
      <w:pPr>
        <w:spacing w:after="0" w:line="179" w:lineRule="exact"/>
        <w:rPr>
          <w:rFonts w:ascii="Times New Roman" w:cs="Times New Roman" w:eastAsia="Times New Roman" w:hAnsi="Times New Roman"/>
          <w:sz w:val="18"/>
          <w:szCs w:val="18"/>
          <w:color w:val="auto"/>
        </w:rPr>
      </w:pPr>
    </w:p>
    <w:p>
      <w:pPr>
        <w:ind w:left="660" w:right="40" w:hanging="328"/>
        <w:spacing w:after="0" w:line="25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Enzyme/protein related programs: </w:t>
      </w:r>
      <w:r>
        <w:rPr>
          <w:rFonts w:ascii="Times New Roman" w:cs="Times New Roman" w:eastAsia="Times New Roman" w:hAnsi="Times New Roman"/>
          <w:sz w:val="18"/>
          <w:szCs w:val="18"/>
          <w:color w:val="auto"/>
        </w:rPr>
        <w:t>EEVs can be linked to an enzyme critical to maintaining specific steps in a cell’s metabolic processes. Patients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lacking a given enzyme will fail to produce proteins needed to maintain the viability of cells in the body or will suffer a buildup of toxic byproducts, either of which can result in disease and potentially death. We have generated a number of EEV-enzyme conjugates, including ENTR-501 for MNGIE, a fatal mitochondrial disease, for which we have completed IND-enabling studies. NHP pharmacokinetic and acute and chronic toxicology studies indicated both a long circulating half-life and a favorable tolerability profile, which may serve as a foundation upon which our ERT programs can later build.</w:t>
      </w:r>
    </w:p>
    <w:p>
      <w:pPr>
        <w:spacing w:after="0" w:line="182" w:lineRule="exact"/>
        <w:rPr>
          <w:rFonts w:ascii="Times New Roman" w:cs="Times New Roman" w:eastAsia="Times New Roman" w:hAnsi="Times New Roman"/>
          <w:sz w:val="18"/>
          <w:szCs w:val="18"/>
          <w:color w:val="auto"/>
        </w:rPr>
      </w:pPr>
    </w:p>
    <w:p>
      <w:pPr>
        <w:ind w:left="660" w:right="200" w:hanging="328"/>
        <w:spacing w:after="0" w:line="26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Combination programs: </w:t>
      </w:r>
      <w:r>
        <w:rPr>
          <w:rFonts w:ascii="Times New Roman" w:cs="Times New Roman" w:eastAsia="Times New Roman" w:hAnsi="Times New Roman"/>
          <w:sz w:val="18"/>
          <w:szCs w:val="18"/>
          <w:color w:val="auto"/>
        </w:rPr>
        <w:t>We are exploring the use of EEVs in combination with additional carriers such as LNP as a novel non-viral vector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system for mRNA and gene editing. We are working with combinations of active moieties and carriers to optimize therapeutic index by simultaneously engaging multiple intracellular and extracellular targets.</w:t>
      </w:r>
    </w:p>
    <w:p>
      <w:pPr>
        <w:spacing w:after="0" w:line="17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Ultimately, we believe that the significant increase in intracellular target exposure enabled by EEV conjugation has the potential to translate into substantial improvements to the efficacy, safety, tolerability, manufacturability and cost of future medicines.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Development Portfolio</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creating a diverse and expanding development portfolio of RNA-, antibody- and enzyme-based programs. Included in this development portfolio are several of our oligonucleotide programs for the treatment of multiple neuromuscular diseases, including DMD, DM1 and additional preclinical and discovery programs. In addition, we are exploring oligonucleotide opportunities in neuromuscular, immunological, ocular and metabolic diseases, among others. Research efforts include enzyme replacement therapies, targeting moieties and gene editing. The chart below represents a summary of our initial development programs, including those that are being developed by us and the VX-670 program which is Vertex partnered.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128270</wp:posOffset>
            </wp:positionV>
            <wp:extent cx="5572125" cy="19030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7212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Neuromuscular Diseases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Duchenne Muscular Dystrophy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firstLine="648"/>
        <w:spacing w:after="0" w:line="230" w:lineRule="auto"/>
        <w:rPr>
          <w:sz w:val="20"/>
          <w:szCs w:val="20"/>
          <w:color w:val="auto"/>
        </w:rPr>
      </w:pPr>
      <w:r>
        <w:rPr>
          <w:rFonts w:ascii="Times New Roman" w:cs="Times New Roman" w:eastAsia="Times New Roman" w:hAnsi="Times New Roman"/>
          <w:sz w:val="18"/>
          <w:szCs w:val="18"/>
          <w:color w:val="auto"/>
        </w:rPr>
        <w:t>In neuromuscular disease, we are initially focused on the development of disease-modifying treatments for DMD. DMD is a monogenic X-linked disease caused by mutations in the DMD gene, which encodes for the protein dystrophin. We estimate that DMD occurs in approximately one in every 3,500 to 5,000 live male births and that the patient population is approximately 30,000 patients in the aggregate in the United States and Europe. Approximately 80% of patients have mutations amenable to exon skipping in the nucleus. We are developing therapeutic candidates to address the genetic basis, at the exon-specific level, of DMD. EEV oligonucleotides are designed to promote the skipping of exon mutations associated with DMD, enabling muscle cells to create a functional dystrophin at a level that we believe may slow, stop or even reverse DMD progression. Our most advanced programs include ENTR-601-44, for the 7.6% of patients with DMD that are exon 44 skipping amenable, ENTR-601-45 for the 8.1% of DMD patients who are exon 45 skipping amenable and ENTR-601-50 for the 3.8% of patients with DMD that are exon 50 skipping amenable. There is a robust data set supporting the development of these programs.</w:t>
      </w:r>
    </w:p>
    <w:p>
      <w:pPr>
        <w:spacing w:after="0" w:line="172" w:lineRule="exact"/>
        <w:rPr>
          <w:sz w:val="20"/>
          <w:szCs w:val="20"/>
          <w:color w:val="auto"/>
        </w:rPr>
      </w:pPr>
    </w:p>
    <w:p>
      <w:pPr>
        <w:ind w:firstLine="583"/>
        <w:spacing w:after="0" w:line="237" w:lineRule="auto"/>
        <w:rPr>
          <w:sz w:val="20"/>
          <w:szCs w:val="20"/>
          <w:color w:val="auto"/>
        </w:rPr>
      </w:pPr>
      <w:r>
        <w:rPr>
          <w:rFonts w:ascii="Times New Roman" w:cs="Times New Roman" w:eastAsia="Times New Roman" w:hAnsi="Times New Roman"/>
          <w:sz w:val="18"/>
          <w:szCs w:val="18"/>
          <w:color w:val="auto"/>
        </w:rPr>
        <w:t xml:space="preserve">On July 24, 2023, we received authorization from the MHRA for our Phase 1 clinical trial in healthy volunteers, ENTR-601-44-101. The Phase 1 clinical trial's primary objective is to evaluate the safety and tolerability of a single dose of ENTR-601-44 in healthy volunteers, with a target enrollment of approximately 40 participants. The trial will also evaluate pharmacokinetics and target engagement as measured by exon skipping in the skeletal muscle, bearing the Company's recent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showed that exon skipping was approximately 10-40x higher in dystrophic muscle compared to healthy muscle, suggesting that data from healthy normal volunteers may substantially underestimate potential potency. On March 13, 2024, we announced that the first, second and third cohorts of participants had been successfully dosed and we expect to report data from the Phase 1 clinical trial in the second half of 2024. The data from this trial will inform our global clinical development strategy, and if favorable, support regulatory filings to open a global multiple ascending dose (MAD) Phase 2 trial in Duchenne patients who are exon 44 skipping amenable in the fourth quarter of 2024. It is expected that countries will be included in the trial on a rolling basis, as dependent on discussions with individual regulators.</w:t>
      </w:r>
    </w:p>
    <w:p>
      <w:pPr>
        <w:spacing w:after="0" w:line="212"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18"/>
          <w:szCs w:val="18"/>
          <w:color w:val="auto"/>
        </w:rPr>
        <w:t>On December 16, 2022, the U.S. FDA Office of Orphan Products Development (OOPD) granted orphan drug designation for ENTR-601-44 for the treatment of DMD. The FDA's OOPD grants orphan drug status to support drug candidates in development for underserved patient populations or rare disorders that affect fewer than 200,000 people in the United States. Orphan drug designation provides certain benefits, including market exclusivity upon FDA approval, exemption of FDA application fees, and tax credits for qualified clinical trials.</w:t>
      </w:r>
    </w:p>
    <w:p>
      <w:pPr>
        <w:spacing w:after="0" w:line="198" w:lineRule="exact"/>
        <w:rPr>
          <w:sz w:val="20"/>
          <w:szCs w:val="20"/>
          <w:color w:val="auto"/>
        </w:rPr>
      </w:pPr>
    </w:p>
    <w:p>
      <w:pPr>
        <w:ind w:right="180" w:firstLine="583"/>
        <w:spacing w:after="0" w:line="242" w:lineRule="auto"/>
        <w:rPr>
          <w:sz w:val="20"/>
          <w:szCs w:val="20"/>
          <w:color w:val="auto"/>
        </w:rPr>
      </w:pPr>
      <w:r>
        <w:rPr>
          <w:rFonts w:ascii="Times New Roman" w:cs="Times New Roman" w:eastAsia="Times New Roman" w:hAnsi="Times New Roman"/>
          <w:sz w:val="18"/>
          <w:szCs w:val="18"/>
          <w:color w:val="auto"/>
        </w:rPr>
        <w:t>On January 9, 2023, we announced the selection of a second clinical candidate within our Duchenne franchise, ENTR-601-45 for the potential treatment of people living with DMD who are exon 45 skipping amenable. We plan to submit regulatory applications in the fourth quarter of 2024 for the global Phase 2 clinical development of ENTR-601-45 in Duchenne patients who are exon 45 skipping amenable.</w:t>
      </w:r>
    </w:p>
    <w:p>
      <w:pPr>
        <w:spacing w:after="0" w:line="211" w:lineRule="exact"/>
        <w:rPr>
          <w:sz w:val="20"/>
          <w:szCs w:val="20"/>
          <w:color w:val="auto"/>
        </w:rPr>
      </w:pPr>
    </w:p>
    <w:p>
      <w:pPr>
        <w:ind w:right="40" w:firstLine="583"/>
        <w:spacing w:after="0" w:line="245" w:lineRule="auto"/>
        <w:rPr>
          <w:sz w:val="20"/>
          <w:szCs w:val="20"/>
          <w:color w:val="auto"/>
        </w:rPr>
      </w:pPr>
      <w:r>
        <w:rPr>
          <w:rFonts w:ascii="Times New Roman" w:cs="Times New Roman" w:eastAsia="Times New Roman" w:hAnsi="Times New Roman"/>
          <w:sz w:val="18"/>
          <w:szCs w:val="18"/>
          <w:color w:val="auto"/>
        </w:rPr>
        <w:t xml:space="preserve">On November 7, 2023, we announced the selection of a third clinical candidate within our Duchenne franchise, ENTR-601-50 for the potential treatment of people living with DMD who are exon 50 skipping amenable. The selection of ENTR-501-50 is based 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preclinical data that demonstrated robust exon 50 skipping across cardiac and skeletal muscle groups. We plan to submit regulatory applications to initiate a global Phase 2 trial in Duchenne patients who are exon 50 skipping amendable in 2025.</w:t>
      </w:r>
    </w:p>
    <w:p>
      <w:pPr>
        <w:spacing w:after="0" w:line="19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Beyond exploring exon 44, exon 45 and exon 50 skipping amenable candidates, we have also launched research efforts to develop EEV-PMO for exon 51 skipping amenable populations. The exon 51 skipping amenable population is the largest single Duchenne sub-population, representing approximately 14% of patients. Our goal is to identify a therapeutic candidate for exon 51 skipping amenable patients in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DMD Background and Market Opportunity</w:t>
      </w:r>
    </w:p>
    <w:p>
      <w:pPr>
        <w:spacing w:after="0" w:line="227"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DMD, also commonly referred to as Duchenne, is a monogenic, X-linked disease caused by mutations in the DMD gene, which encodes for the dystrophin protein. Dystrophin is essential to maintaining the structural integrity and normal function of muscle cells for walking, breathing and cardiac function. In patients with Duchenne, mutations in the DMD gene can lead to certain exons being misread, resulting in a failure to produce sufficient functional dystrophin. The reduction or absence of functional dystrophin leads to damage to muscle cell membranes, resulting in muscle cell death and progressive loss of muscle function.</w:t>
      </w:r>
    </w:p>
    <w:p>
      <w:pPr>
        <w:spacing w:after="0" w:line="18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symptoms of Duchenne typically manifest in the first few years of life. Patients experience progressive muscle weakness and muscle wasting and have difficulty standing up, climbing stairs, running, breathing and performing daily functions. As the disease progresses, the severity of damage to skeletal and cardiac muscles results in most patients experiencing total loss of ambulation in the pre-teenage or early teenage years. Progressive loss of upper extremity function is often observed in the mid-to-late teens followed by paralysis, respiratory and/or cardiac failure, resulting in early mortality in the third or fourth decade of life.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We estimate that DMD occurs in approximately one in every 3,500 to 5,000 patients and that the patient population is approximately 30,000 patients in the aggregate in the United States and Europe. Approximately 80% of patients have mutations amenable to exon skipping in the nucleus. Approximately 43% of patients with Duchenne have mutations amenable to exon skipping of exons 44, 45, 50, 51 and 53, as illustrated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111760</wp:posOffset>
            </wp:positionV>
            <wp:extent cx="5726430" cy="2674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2643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Treatment Landscape and Limitations</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Corticosteroids are the current standard of care. However, chronic use of corticosteroids, particularly in pediatric populations, is challenging due to side effects including growth impairment, immune suppression, obesity and other endocrine-related disorders. There are four FDA-approved PMO-based oligonucleotide skipping therapies, each addressing a specific mutation: casimersen (exon 45), eteplirsen (exon 51), golodirsen (exon 53) and viltolarsen (exon 53). These products have all been approved using the accelerated approval pathway on the basis of dystrophin production. Currently approved exon skipping therapeutics have demonstrated a modest improvement in dystrophin levels ranging from approximately 1-6%. However, the FDA-approved labels for all four drugs state that continued approval may be contingent upon the verification of a clinical benefit in confirmatory clinical trials. None of the products are approved by the European Medicines Agency (EMA) due to insufficient evidence of clinical benefit. A fifth drug, ataluren, was conditionally approved outside of the United States in certain territories for nonsense mutations in ambulatory patients with DMD aged five years and older. However the EMA has recently decided not to renew the drugs marketing authorization and as a result ataluren is expected to be removed from the market. Finally, these therapies require weekly intravenous infusions which is suboptimal from a patient perspective. In summary, each of these approved products also seeks to address DMD through exon skipping, but to date, the clinical benefits of these products have not been confirmed.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w:t>
      </w:r>
    </w:p>
    <w:p>
      <w:pPr>
        <w:spacing w:after="0" w:line="22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DMD program is designed to address the genetic basis of Duchenne by promoting the skipping of specific DMD exons in the nucleus, allowing muscle cells to create a functional dystrophin protein. Our EEV Platform is designed to enable high cellular uptake and robust cytosolic delivery of EEV therapeutic candidates, resulting in a greater amount of the oligonucleotide being able to reach its intended target in the nucleus. Based on preclinical data, we have shown that our proprietary oligonucleotide is then able to promote enhanced exon skipping and dystrophin production.</w:t>
      </w:r>
    </w:p>
    <w:p>
      <w:pPr>
        <w:spacing w:after="0" w:line="180"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In preclinical models, we have observed that conjugation of an oligonucleotide to our EEV results in multi-fold greater exon skipping and dystrophin production than the oligonucleotide alone, with such results indicating dystrophin production comparable to wild-type levels in certain tissues. We have observed substantial improvement in dystrophin production in both skeletal and cardiac muscle, as well as uniform dystrophin production within tissues that we believe may be attributable to the unique mechanism of action of our EEV Platform and the broad biodistribution of our oligonucleotide conjugates. We have observed deep and uniform penetration of EEV-PMOs as compared to unconjugated oligonucleotides in our preclinical models, as illustrated below.</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531495</wp:posOffset>
            </wp:positionV>
            <wp:extent cx="4714875" cy="18859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1487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Importantly, we believe an increased level of dystrophin production in the heart may translate to improved cardiac function in patients with DMD.</w:t>
      </w:r>
    </w:p>
    <w:p>
      <w:pPr>
        <w:spacing w:after="0" w:line="225"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Our preclinical data have demonstrated 50% to 100% correction of exon skipping in the D2-mdx model, which mimics human disease, and in a human dystrophin mouse model which enables us to evaluate our lead sequence directly. In an initial NHP model, we have observed almost 90% target exon skipping in skeletal muscles. We have generated promising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data in cardiac and skeletal muscles (including the diaphragm) across a range of disease and wild-type models (both murine and NHP). We believe the observed increase in dystrophin production is sufficient to protect muscle from progressive functional decline in treated mice and the improvement in functional outcomes versus controls observed in the D2-mdx model supports this belief.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Preclinical Data</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Our early data in mouse and NHP models have been consistent and robust. We have observed substantial exon skipping and dystrophin production in various tissues of </w:t>
      </w:r>
      <w:r>
        <w:rPr>
          <w:rFonts w:ascii="Times New Roman" w:cs="Times New Roman" w:eastAsia="Times New Roman" w:hAnsi="Times New Roman"/>
          <w:sz w:val="18"/>
          <w:szCs w:val="18"/>
          <w:i w:val="1"/>
          <w:iCs w:val="1"/>
          <w:color w:val="auto"/>
        </w:rPr>
        <w:t>mdx</w:t>
      </w:r>
      <w:r>
        <w:rPr>
          <w:rFonts w:ascii="Times New Roman" w:cs="Times New Roman" w:eastAsia="Times New Roman" w:hAnsi="Times New Roman"/>
          <w:sz w:val="18"/>
          <w:szCs w:val="18"/>
          <w:color w:val="auto"/>
        </w:rPr>
        <w:t xml:space="preserve"> mice. The </w:t>
      </w:r>
      <w:r>
        <w:rPr>
          <w:rFonts w:ascii="Times New Roman" w:cs="Times New Roman" w:eastAsia="Times New Roman" w:hAnsi="Times New Roman"/>
          <w:sz w:val="18"/>
          <w:szCs w:val="18"/>
          <w:i w:val="1"/>
          <w:iCs w:val="1"/>
          <w:color w:val="auto"/>
        </w:rPr>
        <w:t>mdx</w:t>
      </w:r>
      <w:r>
        <w:rPr>
          <w:rFonts w:ascii="Times New Roman" w:cs="Times New Roman" w:eastAsia="Times New Roman" w:hAnsi="Times New Roman"/>
          <w:sz w:val="18"/>
          <w:szCs w:val="18"/>
          <w:color w:val="auto"/>
        </w:rPr>
        <w:t xml:space="preserve"> mouse is the canonical model used in DMD research and carries a spontaneous nonsense mutation in exon 23 of the DMD gene. Although this does not allow for the testing of oligonucleotides specific to human mutations, it does enable measurement of tissue concentration of oligonucleotides, exon 23 skipping levels and the corresponding dystrophin production. This allowed us to extrapolate anticipated dystrophin production from exon-skipping observations as we move to NHP models. We were also able to show in both single-dose and multiple-dose experiments that the EEV-PMOs has greater activity than unconjugated PMOs. </w:t>
      </w:r>
      <w:r>
        <w:rPr>
          <w:rFonts w:ascii="Times New Roman" w:cs="Times New Roman" w:eastAsia="Times New Roman" w:hAnsi="Times New Roman"/>
          <w:sz w:val="18"/>
          <w:szCs w:val="18"/>
          <w:color w:val="231F20"/>
        </w:rPr>
        <w:t>Similarly, EEV-PMOs had greater activity than alternative cell-penetrating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peptide conjugates in our preclinical studies. We also observed corresponding and significant improvements in functional outcomes as measured in the exon 23 specific D2-</w:t>
      </w:r>
      <w:r>
        <w:rPr>
          <w:rFonts w:ascii="Times New Roman" w:cs="Times New Roman" w:eastAsia="Times New Roman" w:hAnsi="Times New Roman"/>
          <w:sz w:val="18"/>
          <w:szCs w:val="18"/>
          <w:i w:val="1"/>
          <w:iCs w:val="1"/>
          <w:color w:val="231F20"/>
        </w:rPr>
        <w:t>mdx</w:t>
      </w:r>
      <w:r>
        <w:rPr>
          <w:rFonts w:ascii="Times New Roman" w:cs="Times New Roman" w:eastAsia="Times New Roman" w:hAnsi="Times New Roman"/>
          <w:sz w:val="18"/>
          <w:szCs w:val="18"/>
          <w:color w:val="231F20"/>
        </w:rPr>
        <w:t xml:space="preserve"> mouse. In particular, we observed meaningful tissue uptake and exon skipping, ranging from approximately 60% to 95% depending on the tissue. In this model, EEV-PMO treated tissues have substantial restoration of both dystrophin and alpha sarcoglycan. Importantly, we see an accumulation of exon skipping and dystrophin production after subsequent doses of EEV-PMO in the D2-</w:t>
      </w:r>
      <w:r>
        <w:rPr>
          <w:rFonts w:ascii="Times New Roman" w:cs="Times New Roman" w:eastAsia="Times New Roman" w:hAnsi="Times New Roman"/>
          <w:sz w:val="18"/>
          <w:szCs w:val="18"/>
          <w:i w:val="1"/>
          <w:iCs w:val="1"/>
          <w:color w:val="231F20"/>
        </w:rPr>
        <w:t>mdx</w:t>
      </w:r>
      <w:r>
        <w:rPr>
          <w:rFonts w:ascii="Times New Roman" w:cs="Times New Roman" w:eastAsia="Times New Roman" w:hAnsi="Times New Roman"/>
          <w:sz w:val="18"/>
          <w:szCs w:val="18"/>
          <w:color w:val="231F20"/>
        </w:rPr>
        <w:t xml:space="preserve"> mouse spaced 6 weeks apart, and WT levels of dystophin positive fibers</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Our preclinical studies have also demonstrated reductions in serum CK to wild-type levels in D2-mdx model. Serum CK is a commonly-used biomarker of systemic muscle breakdown. Correction of CK is believed to be a strong indicator of pharmacodynamic activity and a marker of muscle integrity restoration. We observed extended half-life and high levels (almost 90% in the biceps) of exon skipping in a NHP with ENTR-601-44</w:t>
      </w:r>
      <w:r>
        <w:rPr>
          <w:rFonts w:ascii="Times New Roman" w:cs="Times New Roman" w:eastAsia="Times New Roman" w:hAnsi="Times New Roman"/>
          <w:sz w:val="18"/>
          <w:szCs w:val="18"/>
          <w:color w:val="000000"/>
        </w:rPr>
        <w:t>. Finally, we have shown, in the same model, exon skipping levels of over 90% with ENTR-601-45 and more importantly an ability to optimize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PMO conjugate and deliver a multi-fold improvement in exon skipping over the commercially available sequence, even when that sequence is conjugated to an EEV.</w:t>
      </w:r>
    </w:p>
    <w:p>
      <w:pPr>
        <w:spacing w:after="0" w:line="19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In the data below, unless otherwise noted, we used reverse transcription-polymerase chain reaction to assess exon skipping and Western Blot to assess dystrophin production. Our preclinical studies have demonstrated durable dystrophin production over a period of up to eight weeks, and accumulation of dystrophin after doses spaced six weeks apart suggesting the possibility of infrequent dosing. Immunohistochemistry and morphometric analysis confirm that the protein is broadly distributed across tissues, which is necessary if the muscle is to maintain function.</w:t>
      </w:r>
    </w:p>
    <w:p>
      <w:pPr>
        <w:spacing w:after="0" w:line="180"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For each of our preclinical studies that were powered for statistical significance, we have so indicated with the p or p-values presented. In the description of our preclinical studies below and elsewhere in this Annual Report, p or p-values represent the probability that random chance caused the result. For instance, a p-value of 0.001 means that there is a 0.1%</w:t>
      </w:r>
    </w:p>
    <w:p>
      <w:pPr>
        <w:sectPr>
          <w:pgSz w:w="11900" w:h="16838" w:orient="portrait"/>
          <w:cols w:equalWidth="0" w:num="1">
            <w:col w:w="11220"/>
          </w:cols>
          <w:pgMar w:left="320" w:top="60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probability that the difference between the placebo group and the treatment group is purely due to random chance. A p-value of less than or equal to 0.05 is a commonly used threshold for identifying statistically significant outcomes.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mdx Mouse Dystrophin Distribution Analyzed via Immunofluorescence After Four Injections of EEV-PMO at 10 mg/kg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155575</wp:posOffset>
            </wp:positionV>
            <wp:extent cx="4286250" cy="16548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86250" cy="165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the experiment above, </w:t>
      </w:r>
      <w:r>
        <w:rPr>
          <w:rFonts w:ascii="Times New Roman" w:cs="Times New Roman" w:eastAsia="Times New Roman" w:hAnsi="Times New Roman"/>
          <w:sz w:val="18"/>
          <w:szCs w:val="18"/>
          <w:i w:val="1"/>
          <w:iCs w:val="1"/>
          <w:color w:val="auto"/>
        </w:rPr>
        <w:t>mdx</w:t>
      </w:r>
      <w:r>
        <w:rPr>
          <w:rFonts w:ascii="Times New Roman" w:cs="Times New Roman" w:eastAsia="Times New Roman" w:hAnsi="Times New Roman"/>
          <w:sz w:val="18"/>
          <w:szCs w:val="18"/>
          <w:color w:val="auto"/>
        </w:rPr>
        <w:t xml:space="preserve"> mice were injected with weekly doses of either saline, unconjugated exon 23 skipping PMO or an EEV conjugated to the same exon 23 skipping PMO over the course of four weeks. Samples were taken one week after the fourth dose. The EEV-PMO-DMD substantially increased dystrophin production and accumulation in the heart, with approximately 40% of the cardiac tissue staining positive for dystrophin (in red). This compares favorably to the PMO alone, where at even double the dose virtually no dystrophin can be seen. Endothelial cells are stained green, and as shown in the image, dystrophin can be observed distributing broadly and deep into the cardiac tissue. We believe this experiment suggests that at low doses an EEV oligonucleotide has the potential to substantially improve on treatment with unconjugated oligonucleotides. We also believe these heart results suggest the possibility that EEV-PMOs may address cardiomyopathy in patients with DMD, which is a major complication and leading cause of death associated with the disease. We believe this could therefore potentially improve survival rates.</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This improvement in dystrophin production at 10 mg/kg is also associated with an observed improvement in measured serum creatin kinase (CK) levels. Serum CK is a commonly-used biomarker for systemic muscle breakdown. CK is released from muscles with damaged and porous sarcolemma, which, in the case of DMD, is due to a lack of functional dystrophin. Normalization of serum CK indicates broad correction of dystrophin and protection of the sarcolemma throughout the body, which can further imply a potential restoration of function.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Normalization of Serum CK Levels in mdx and Wild-Type (BL10)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155575</wp:posOffset>
            </wp:positionV>
            <wp:extent cx="2143125" cy="1783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4312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In the experiment above </w:t>
      </w:r>
      <w:r>
        <w:rPr>
          <w:rFonts w:ascii="Times New Roman" w:cs="Times New Roman" w:eastAsia="Times New Roman" w:hAnsi="Times New Roman"/>
          <w:sz w:val="18"/>
          <w:szCs w:val="18"/>
          <w:i w:val="1"/>
          <w:iCs w:val="1"/>
          <w:color w:val="auto"/>
        </w:rPr>
        <w:t>mdx</w:t>
      </w:r>
      <w:r>
        <w:rPr>
          <w:rFonts w:ascii="Times New Roman" w:cs="Times New Roman" w:eastAsia="Times New Roman" w:hAnsi="Times New Roman"/>
          <w:sz w:val="18"/>
          <w:szCs w:val="18"/>
          <w:color w:val="auto"/>
        </w:rPr>
        <w:t xml:space="preserve"> mice were injected with weekly doses of either saline, unconjugated exon 23 skipping PMO or an EEV conjugated to the same exon 23 skipping PMO over the course of four weeks. Samples were taken one week after the fourth dose.</w:t>
      </w:r>
    </w:p>
    <w:p>
      <w:pPr>
        <w:spacing w:after="0" w:line="160"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We have also observed that tissue concentration of EEV-PMO in the cell correlates with the level of exon skipping, which correlates with dystrophin production.</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High Levels of Exon 23 Skipping and Tissue Concentration Observed in Various Muscle Groups at Three Different Doses of EEV-PMO in mdx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155575</wp:posOffset>
            </wp:positionV>
            <wp:extent cx="5657850" cy="1183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the </w:t>
      </w:r>
      <w:r>
        <w:rPr>
          <w:rFonts w:ascii="Times New Roman" w:cs="Times New Roman" w:eastAsia="Times New Roman" w:hAnsi="Times New Roman"/>
          <w:sz w:val="18"/>
          <w:szCs w:val="18"/>
          <w:i w:val="1"/>
          <w:iCs w:val="1"/>
          <w:color w:val="auto"/>
        </w:rPr>
        <w:t>md</w:t>
      </w:r>
      <w:r>
        <w:rPr>
          <w:rFonts w:ascii="Times New Roman" w:cs="Times New Roman" w:eastAsia="Times New Roman" w:hAnsi="Times New Roman"/>
          <w:sz w:val="18"/>
          <w:szCs w:val="18"/>
          <w:color w:val="auto"/>
        </w:rPr>
        <w:t xml:space="preserve">x mouse model illustrated above, exon skipping and tissue concentration in various muscle groups have been quantified one week after a single 20, 30 or 40 mg/kg intravenous (IV) dose of an EEV conjugate to an exon 23 skipping PMO in </w:t>
      </w:r>
      <w:r>
        <w:rPr>
          <w:rFonts w:ascii="Times New Roman" w:cs="Times New Roman" w:eastAsia="Times New Roman" w:hAnsi="Times New Roman"/>
          <w:sz w:val="18"/>
          <w:szCs w:val="18"/>
          <w:i w:val="1"/>
          <w:iCs w:val="1"/>
          <w:color w:val="auto"/>
        </w:rPr>
        <w:t>mdx</w:t>
      </w:r>
      <w:r>
        <w:rPr>
          <w:rFonts w:ascii="Times New Roman" w:cs="Times New Roman" w:eastAsia="Times New Roman" w:hAnsi="Times New Roman"/>
          <w:sz w:val="18"/>
          <w:szCs w:val="18"/>
          <w:color w:val="auto"/>
        </w:rPr>
        <w:t xml:space="preserve"> mice. A dose-dependent effect was seen, both with respect to tissue concentrations and exon 23 skipping levels, which ranged from approximately 80%-100% at the highest IV dose of 40 mg/kg, depending on the tissue sampled. These dose-dependent tissue concentrations and the correlation with exon skipping suggest active target engagement in heart, diaphragm and other skeletal muscles.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High Levels of Exon 23 Skipping and Dystrophin Correction Observed up to 8 Weeks After a Single IV Dose of EEV-PMO in mdx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155575</wp:posOffset>
            </wp:positionV>
            <wp:extent cx="5383530" cy="18859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8353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Following dose-ranging experiments, exon 23 skipping and dystrophin production in various muscle groups were quantified one week, two weeks, four weeks and eight weeks after a single IV dosage of 40 mg/kg in </w:t>
      </w:r>
      <w:r>
        <w:rPr>
          <w:rFonts w:ascii="Times New Roman" w:cs="Times New Roman" w:eastAsia="Times New Roman" w:hAnsi="Times New Roman"/>
          <w:sz w:val="18"/>
          <w:szCs w:val="18"/>
          <w:i w:val="1"/>
          <w:iCs w:val="1"/>
          <w:color w:val="auto"/>
        </w:rPr>
        <w:t>mdx</w:t>
      </w:r>
      <w:r>
        <w:rPr>
          <w:rFonts w:ascii="Times New Roman" w:cs="Times New Roman" w:eastAsia="Times New Roman" w:hAnsi="Times New Roman"/>
          <w:sz w:val="18"/>
          <w:szCs w:val="18"/>
          <w:color w:val="auto"/>
        </w:rPr>
        <w:t xml:space="preserve"> mice. We selected the highest dose based on the magnitude of exon skipping observed.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Normalization of Serum CK Levels in mdx and Wild-Type (BL10)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155575</wp:posOffset>
            </wp:positionV>
            <wp:extent cx="2237105" cy="131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3710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this experiment, untreated wild-type (BL10) mice were compared to </w:t>
      </w:r>
      <w:r>
        <w:rPr>
          <w:rFonts w:ascii="Times New Roman" w:cs="Times New Roman" w:eastAsia="Times New Roman" w:hAnsi="Times New Roman"/>
          <w:sz w:val="18"/>
          <w:szCs w:val="18"/>
          <w:i w:val="1"/>
          <w:iCs w:val="1"/>
          <w:color w:val="auto"/>
        </w:rPr>
        <w:t>mdx</w:t>
      </w:r>
      <w:r>
        <w:rPr>
          <w:rFonts w:ascii="Times New Roman" w:cs="Times New Roman" w:eastAsia="Times New Roman" w:hAnsi="Times New Roman"/>
          <w:sz w:val="18"/>
          <w:szCs w:val="18"/>
          <w:color w:val="auto"/>
        </w:rPr>
        <w:t xml:space="preserve"> mice treated with EEV-PMO and </w:t>
      </w:r>
      <w:r>
        <w:rPr>
          <w:rFonts w:ascii="Times New Roman" w:cs="Times New Roman" w:eastAsia="Times New Roman" w:hAnsi="Times New Roman"/>
          <w:sz w:val="18"/>
          <w:szCs w:val="18"/>
          <w:i w:val="1"/>
          <w:iCs w:val="1"/>
          <w:color w:val="auto"/>
        </w:rPr>
        <w:t>mdx</w:t>
      </w:r>
      <w:r>
        <w:rPr>
          <w:rFonts w:ascii="Times New Roman" w:cs="Times New Roman" w:eastAsia="Times New Roman" w:hAnsi="Times New Roman"/>
          <w:sz w:val="18"/>
          <w:szCs w:val="18"/>
          <w:color w:val="auto"/>
        </w:rPr>
        <w:t xml:space="preserve"> mice treated with phosphate-buffered saline (PBS). Serum CK from </w:t>
      </w:r>
      <w:r>
        <w:rPr>
          <w:rFonts w:ascii="Times New Roman" w:cs="Times New Roman" w:eastAsia="Times New Roman" w:hAnsi="Times New Roman"/>
          <w:sz w:val="18"/>
          <w:szCs w:val="18"/>
          <w:i w:val="1"/>
          <w:iCs w:val="1"/>
          <w:color w:val="auto"/>
        </w:rPr>
        <w:t>mdx</w:t>
      </w:r>
      <w:r>
        <w:rPr>
          <w:rFonts w:ascii="Times New Roman" w:cs="Times New Roman" w:eastAsia="Times New Roman" w:hAnsi="Times New Roman"/>
          <w:sz w:val="18"/>
          <w:szCs w:val="18"/>
          <w:color w:val="auto"/>
        </w:rPr>
        <w:t xml:space="preserve"> mice was analyzed one week after a single 40 mg/kg IV dose of EEV-PMO skipping exon 23 or of PBS. Treatment with EEV-PMO normalized serum CK levels in the </w:t>
      </w:r>
      <w:r>
        <w:rPr>
          <w:rFonts w:ascii="Times New Roman" w:cs="Times New Roman" w:eastAsia="Times New Roman" w:hAnsi="Times New Roman"/>
          <w:sz w:val="18"/>
          <w:szCs w:val="18"/>
          <w:i w:val="1"/>
          <w:iCs w:val="1"/>
          <w:color w:val="auto"/>
        </w:rPr>
        <w:t>mdx</w:t>
      </w:r>
    </w:p>
    <w:p>
      <w:pPr>
        <w:sectPr>
          <w:pgSz w:w="11900" w:h="16838" w:orient="portrait"/>
          <w:cols w:equalWidth="0" w:num="1">
            <w:col w:w="11220"/>
          </w:cols>
          <w:pgMar w:left="320" w:top="60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mice, suggesting restoration of muscle integrity. In contrast, no significant correction of serum CK was seen in the PBS control arm.</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EEV-PMO Significantly Improved Exon 23 Skipping After 3 Days in mdx Mice as Compared to R6-PMO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155575</wp:posOffset>
            </wp:positionV>
            <wp:extent cx="4714875" cy="13373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14875"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To compare the exon 23 skipping of an EEV against an alternative published linear peptide, we synthesized a 6 arginine (R6) cell-penetrating peptide and conjugated it to the exon 23 skipping oligonucleotide. We then compared the activity of this molecule to EEV-PMO, by conjugating the same oligonucleotide to one of our EEVs. After a single 40 mg/kg IV dose of the EEV-PMO or the R6-PMO, the EEV-PMO exhibited profound effects, with near complete exon skipping in the diaphragm and the quadriceps and approximately 60% exon skipping in the heart. The R6-PMO results were very limited in the skeletal muscle and virtually no pharmacodynamic effects were seen in the heart.</w:t>
      </w:r>
    </w:p>
    <w:p>
      <w:pPr>
        <w:spacing w:after="0" w:line="18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i w:val="1"/>
          <w:iCs w:val="1"/>
          <w:color w:val="auto"/>
        </w:rPr>
        <w:t>Superior Correction of Exon 23 Skipping in the D2-mdx Model Versus Unconjugated PMO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155575</wp:posOffset>
            </wp:positionV>
            <wp:extent cx="4714875" cy="13544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14875"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have employed a methodical and robust approach to candidate qualification by generating data in the canonical </w:t>
      </w:r>
      <w:r>
        <w:rPr>
          <w:rFonts w:ascii="Times New Roman" w:cs="Times New Roman" w:eastAsia="Times New Roman" w:hAnsi="Times New Roman"/>
          <w:sz w:val="18"/>
          <w:szCs w:val="18"/>
          <w:i w:val="1"/>
          <w:iCs w:val="1"/>
          <w:color w:val="auto"/>
        </w:rPr>
        <w:t>mdx</w:t>
      </w:r>
      <w:r>
        <w:rPr>
          <w:rFonts w:ascii="Times New Roman" w:cs="Times New Roman" w:eastAsia="Times New Roman" w:hAnsi="Times New Roman"/>
          <w:sz w:val="18"/>
          <w:szCs w:val="18"/>
          <w:color w:val="auto"/>
        </w:rPr>
        <w:t xml:space="preserve"> mouse, as well as in a mouse model with a more severe phenotype known as the D2-</w:t>
      </w:r>
      <w:r>
        <w:rPr>
          <w:rFonts w:ascii="Times New Roman" w:cs="Times New Roman" w:eastAsia="Times New Roman" w:hAnsi="Times New Roman"/>
          <w:sz w:val="18"/>
          <w:szCs w:val="18"/>
          <w:i w:val="1"/>
          <w:iCs w:val="1"/>
          <w:color w:val="auto"/>
        </w:rPr>
        <w:t>mdx</w:t>
      </w:r>
      <w:r>
        <w:rPr>
          <w:rFonts w:ascii="Times New Roman" w:cs="Times New Roman" w:eastAsia="Times New Roman" w:hAnsi="Times New Roman"/>
          <w:sz w:val="18"/>
          <w:szCs w:val="18"/>
          <w:color w:val="auto"/>
        </w:rPr>
        <w:t xml:space="preserve"> mouse. While the approach remains focused on exon 23 skipping, the D2-</w:t>
      </w:r>
      <w:r>
        <w:rPr>
          <w:rFonts w:ascii="Times New Roman" w:cs="Times New Roman" w:eastAsia="Times New Roman" w:hAnsi="Times New Roman"/>
          <w:sz w:val="18"/>
          <w:szCs w:val="18"/>
          <w:i w:val="1"/>
          <w:iCs w:val="1"/>
          <w:color w:val="auto"/>
        </w:rPr>
        <w:t>mdx</w:t>
      </w:r>
      <w:r>
        <w:rPr>
          <w:rFonts w:ascii="Times New Roman" w:cs="Times New Roman" w:eastAsia="Times New Roman" w:hAnsi="Times New Roman"/>
          <w:sz w:val="18"/>
          <w:szCs w:val="18"/>
          <w:color w:val="auto"/>
        </w:rPr>
        <w:t xml:space="preserve"> mouse model more closely represents human disease as these animals develop more inflammation, fibrosis and exhibit less muscle regeneration over time when compared to the </w:t>
      </w:r>
      <w:r>
        <w:rPr>
          <w:rFonts w:ascii="Times New Roman" w:cs="Times New Roman" w:eastAsia="Times New Roman" w:hAnsi="Times New Roman"/>
          <w:sz w:val="18"/>
          <w:szCs w:val="18"/>
          <w:i w:val="1"/>
          <w:iCs w:val="1"/>
          <w:color w:val="auto"/>
        </w:rPr>
        <w:t>mdx</w:t>
      </w:r>
      <w:r>
        <w:rPr>
          <w:rFonts w:ascii="Times New Roman" w:cs="Times New Roman" w:eastAsia="Times New Roman" w:hAnsi="Times New Roman"/>
          <w:sz w:val="18"/>
          <w:szCs w:val="18"/>
          <w:color w:val="auto"/>
        </w:rPr>
        <w:t xml:space="preserve"> model. In the study above, we compare exon skipping in the quadriceps, diaphragm and heart as generated by either the EEV-PMO skipping exon 23 or the PMO alone skipping exon 23. The lack of response from unconjugated PMO illustrates the difficulty in generating pharmacodynamic responses in the D2-</w:t>
      </w:r>
      <w:r>
        <w:rPr>
          <w:rFonts w:ascii="Times New Roman" w:cs="Times New Roman" w:eastAsia="Times New Roman" w:hAnsi="Times New Roman"/>
          <w:sz w:val="18"/>
          <w:szCs w:val="18"/>
          <w:i w:val="1"/>
          <w:iCs w:val="1"/>
          <w:color w:val="auto"/>
        </w:rPr>
        <w:t>mdx</w:t>
      </w:r>
      <w:r>
        <w:rPr>
          <w:rFonts w:ascii="Times New Roman" w:cs="Times New Roman" w:eastAsia="Times New Roman" w:hAnsi="Times New Roman"/>
          <w:sz w:val="18"/>
          <w:szCs w:val="18"/>
          <w:color w:val="auto"/>
        </w:rPr>
        <w:t xml:space="preserve"> model, and further reinforces the importance of EEV conjugation. The animals were given a single 40 mg/kg IV dose of either the PMO or the EEV-PMO. We were able to demonstrate approximately 50% to 95% exon skipping from the mice dosed with EEV-PMO, depending on the tissue sampled.</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Subsequent to the single dose study above, a separate repeat dose study was conducted as shown below. D2-mdx mice were treated with three IV doses at monthly intervals of either 20 mg/kg of a saline vehicle, PMO-23, or EEV-PMO-23 (n=6 per cohort). We compared exon skipping by one-step reverse transcription-polymerase chain reaction in the heart, diaphragm, tibialis anterior (TiA) and triceps as generated by either the EEV-PMO-23 skipping exon 23 or the PMO-23 alone skipping exon 23. We believe the significant difference in exon skipping observed between the EEV-PMO-23 and the PMO-23 in the D2-</w:t>
      </w:r>
      <w:r>
        <w:rPr>
          <w:rFonts w:ascii="Times New Roman" w:cs="Times New Roman" w:eastAsia="Times New Roman" w:hAnsi="Times New Roman"/>
          <w:sz w:val="18"/>
          <w:szCs w:val="18"/>
          <w:i w:val="1"/>
          <w:iCs w:val="1"/>
          <w:color w:val="auto"/>
        </w:rPr>
        <w:t>mdx</w:t>
      </w:r>
      <w:r>
        <w:rPr>
          <w:rFonts w:ascii="Times New Roman" w:cs="Times New Roman" w:eastAsia="Times New Roman" w:hAnsi="Times New Roman"/>
          <w:sz w:val="18"/>
          <w:szCs w:val="18"/>
          <w:color w:val="auto"/>
        </w:rPr>
        <w:t xml:space="preserve"> model at a lower dose further reinforces the potential importance of EEV conjugation. We were able to demonstrate approximately 60% to over 95% exon skipping from the mice dosed with EEV-PMO-23 depending on the tissue sampled.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Superior Correction of Exon 23 Skipping at 22 Weeks Using an EEV-PMO in the D2-mdx Model Versus an Unconjugated PMO At 20 mg/kg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155575</wp:posOffset>
            </wp:positionV>
            <wp:extent cx="5743575" cy="12344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43575"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A durable CK response was observed in EEV-PMO-23 treated mice versus both vehicle and PMO-23 treated mice. In this experiment D2-</w:t>
      </w:r>
      <w:r>
        <w:rPr>
          <w:rFonts w:ascii="Times New Roman" w:cs="Times New Roman" w:eastAsia="Times New Roman" w:hAnsi="Times New Roman"/>
          <w:sz w:val="18"/>
          <w:szCs w:val="18"/>
          <w:i w:val="1"/>
          <w:iCs w:val="1"/>
          <w:color w:val="auto"/>
        </w:rPr>
        <w:t>mdx</w:t>
      </w:r>
      <w:r>
        <w:rPr>
          <w:rFonts w:ascii="Times New Roman" w:cs="Times New Roman" w:eastAsia="Times New Roman" w:hAnsi="Times New Roman"/>
          <w:sz w:val="18"/>
          <w:szCs w:val="18"/>
          <w:color w:val="auto"/>
        </w:rPr>
        <w:t xml:space="preserve"> mice were treated with 4 monthly doses of either vehicle, 20 mg/kg PMO or 20 mg/kg PMO equivalent of EEV-PMO, and the data were collected 4 weeks after the last dose. No significant difference was seen between CK levels measured in wild type control mice and EEV-PMO-23 treated mice. We believe that this observation of reduced skeletal muscle breakdown resulted in improved functional outcomes for EEV-PMO-23 treated mice as evidenced by measurement of both wire hang time and a normalization of grip strength. In each case a significant difference (p&lt;0.05 for wire hang time, p&lt;0.001 for grip strength) between PMO-23 treated mice and EEV-PMO-23 treated mice was observed.</w:t>
      </w:r>
    </w:p>
    <w:p>
      <w:pPr>
        <w:spacing w:after="0" w:line="182" w:lineRule="exact"/>
        <w:rPr>
          <w:sz w:val="20"/>
          <w:szCs w:val="20"/>
          <w:color w:val="auto"/>
        </w:rPr>
      </w:pPr>
    </w:p>
    <w:p>
      <w:pPr>
        <w:jc w:val="center"/>
        <w:ind w:left="340" w:right="60"/>
        <w:spacing w:after="0" w:line="284" w:lineRule="auto"/>
        <w:rPr>
          <w:sz w:val="20"/>
          <w:szCs w:val="20"/>
          <w:color w:val="auto"/>
        </w:rPr>
      </w:pPr>
      <w:r>
        <w:rPr>
          <w:rFonts w:ascii="Times New Roman" w:cs="Times New Roman" w:eastAsia="Times New Roman" w:hAnsi="Times New Roman"/>
          <w:sz w:val="18"/>
          <w:szCs w:val="18"/>
          <w:i w:val="1"/>
          <w:iCs w:val="1"/>
          <w:color w:val="auto"/>
        </w:rPr>
        <w:t>Repeat EEV-PMO-23 Treatment Normalized Serum CK Levels and Showed Significant Improvements in Muscle Function When Compared to PMO Alone After Four Monthly IV Doses in D2-mdx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wp:posOffset>
            </wp:positionV>
            <wp:extent cx="5657850" cy="16541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the same experiment, dystrophin expression was assessed four weeks post last injection via immunofluorescent staining, shown in the representative gastrocnemius sections shown in bright green below. The untreated wild type mice and the EEV-PMO-23 treated D2-</w:t>
      </w:r>
      <w:r>
        <w:rPr>
          <w:rFonts w:ascii="Times New Roman" w:cs="Times New Roman" w:eastAsia="Times New Roman" w:hAnsi="Times New Roman"/>
          <w:sz w:val="18"/>
          <w:szCs w:val="18"/>
          <w:i w:val="1"/>
          <w:iCs w:val="1"/>
          <w:color w:val="auto"/>
        </w:rPr>
        <w:t>mdx</w:t>
      </w:r>
      <w:r>
        <w:rPr>
          <w:rFonts w:ascii="Times New Roman" w:cs="Times New Roman" w:eastAsia="Times New Roman" w:hAnsi="Times New Roman"/>
          <w:sz w:val="18"/>
          <w:szCs w:val="18"/>
          <w:color w:val="auto"/>
        </w:rPr>
        <w:t xml:space="preserve"> mice show broad and appropriate dystrophin expression, while the D2-</w:t>
      </w:r>
      <w:r>
        <w:rPr>
          <w:rFonts w:ascii="Times New Roman" w:cs="Times New Roman" w:eastAsia="Times New Roman" w:hAnsi="Times New Roman"/>
          <w:sz w:val="18"/>
          <w:szCs w:val="18"/>
          <w:i w:val="1"/>
          <w:iCs w:val="1"/>
          <w:color w:val="auto"/>
        </w:rPr>
        <w:t>mdx</w:t>
      </w:r>
      <w:r>
        <w:rPr>
          <w:rFonts w:ascii="Times New Roman" w:cs="Times New Roman" w:eastAsia="Times New Roman" w:hAnsi="Times New Roman"/>
          <w:sz w:val="18"/>
          <w:szCs w:val="18"/>
          <w:color w:val="auto"/>
        </w:rPr>
        <w:t xml:space="preserve"> mice treated with vehicle control and the D2-</w:t>
      </w:r>
      <w:r>
        <w:rPr>
          <w:rFonts w:ascii="Times New Roman" w:cs="Times New Roman" w:eastAsia="Times New Roman" w:hAnsi="Times New Roman"/>
          <w:sz w:val="18"/>
          <w:szCs w:val="18"/>
          <w:i w:val="1"/>
          <w:iCs w:val="1"/>
          <w:color w:val="auto"/>
        </w:rPr>
        <w:t>mdx</w:t>
      </w:r>
      <w:r>
        <w:rPr>
          <w:rFonts w:ascii="Times New Roman" w:cs="Times New Roman" w:eastAsia="Times New Roman" w:hAnsi="Times New Roman"/>
          <w:sz w:val="18"/>
          <w:szCs w:val="18"/>
          <w:color w:val="auto"/>
        </w:rPr>
        <w:t xml:space="preserve"> animals treated with PMO-23 show little to no dystrophin expression.</w:t>
      </w:r>
    </w:p>
    <w:p>
      <w:pPr>
        <w:spacing w:after="0" w:line="178" w:lineRule="exact"/>
        <w:rPr>
          <w:sz w:val="20"/>
          <w:szCs w:val="20"/>
          <w:color w:val="auto"/>
        </w:rPr>
      </w:pPr>
    </w:p>
    <w:p>
      <w:pPr>
        <w:jc w:val="center"/>
        <w:ind w:left="340" w:right="200"/>
        <w:spacing w:after="0" w:line="284" w:lineRule="auto"/>
        <w:rPr>
          <w:sz w:val="20"/>
          <w:szCs w:val="20"/>
          <w:color w:val="auto"/>
        </w:rPr>
      </w:pPr>
      <w:r>
        <w:rPr>
          <w:rFonts w:ascii="Times New Roman" w:cs="Times New Roman" w:eastAsia="Times New Roman" w:hAnsi="Times New Roman"/>
          <w:sz w:val="18"/>
          <w:szCs w:val="18"/>
          <w:i w:val="1"/>
          <w:iCs w:val="1"/>
          <w:color w:val="auto"/>
        </w:rPr>
        <w:t>D2-mdx Mouse Dystrophin Expression Analyzed via Immunofluorescence Is Enhanced After IV Administration of EEV-PMO Versus PMO Alone at 20 mg/kg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113030</wp:posOffset>
            </wp:positionV>
            <wp:extent cx="4286250" cy="12433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286250" cy="1243330"/>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160" w:firstLine="648"/>
        <w:spacing w:after="0" w:line="267" w:lineRule="auto"/>
        <w:rPr>
          <w:sz w:val="20"/>
          <w:szCs w:val="20"/>
          <w:color w:val="auto"/>
        </w:rPr>
      </w:pPr>
      <w:r>
        <w:rPr>
          <w:rFonts w:ascii="Times New Roman" w:cs="Times New Roman" w:eastAsia="Times New Roman" w:hAnsi="Times New Roman"/>
          <w:sz w:val="18"/>
          <w:szCs w:val="18"/>
          <w:color w:val="auto"/>
        </w:rPr>
        <w:t>Muscle histopathology was also assessed four weeks after the last injection. The D2-</w:t>
      </w:r>
      <w:r>
        <w:rPr>
          <w:rFonts w:ascii="Times New Roman" w:cs="Times New Roman" w:eastAsia="Times New Roman" w:hAnsi="Times New Roman"/>
          <w:sz w:val="18"/>
          <w:szCs w:val="18"/>
          <w:i w:val="1"/>
          <w:iCs w:val="1"/>
          <w:color w:val="auto"/>
        </w:rPr>
        <w:t>mdx</w:t>
      </w:r>
      <w:r>
        <w:rPr>
          <w:rFonts w:ascii="Times New Roman" w:cs="Times New Roman" w:eastAsia="Times New Roman" w:hAnsi="Times New Roman"/>
          <w:sz w:val="18"/>
          <w:szCs w:val="18"/>
          <w:color w:val="auto"/>
        </w:rPr>
        <w:t xml:space="preserve"> animals treated with vehicle control and those treated with PMO-23 show clear signs of fibrosis and muscle damage. This stands in contrast to healthy samples from both the normal, wild type mice and the EEV-PMO-23 treated D2-mdx mice shown on the far left and far right panels below.</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Correction of D2-mdx Mouse Histopathology is Enhanced after IV Administration of EEV-PMO Versus PMO Alone at 20 mg/kg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155575</wp:posOffset>
            </wp:positionV>
            <wp:extent cx="4286250" cy="12433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8625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231F20"/>
        </w:rPr>
        <w:t>In the same experiment we also observed similarly dramatic results when comparing the wild type, control and treated images of both dystrophin and histology in the heart, as shown below.</w:t>
      </w:r>
    </w:p>
    <w:p>
      <w:pPr>
        <w:spacing w:after="0" w:line="16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i w:val="1"/>
          <w:iCs w:val="1"/>
          <w:color w:val="231F20"/>
        </w:rPr>
        <w:t>Repeat EEV-PMO-23 Treatment Corrected Dystrophin Expression and Pathology in the Heart After Four Monthly IV Doses in D2-mdx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155575</wp:posOffset>
            </wp:positionV>
            <wp:extent cx="4200525" cy="17227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200525"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231F20"/>
        </w:rPr>
        <w:t>Further analysis of the previous experiment showed EEV-PMO treated tissues have almost normalized the level and the localization of both dystrophin and α-sarcoglycan. In striated muscle, sarcoglycans interact with dystrophin and other dystrophin-associated proteins to form the dystrophin-associated glycoprotein complex which protects the sarcolemma from contraction-induced injury. In the absence of dystrophin, α-sarcoglycan fails to correctly localize to the dystrophin-glycoprotein complex (DGC) causing weakening of the plasma membrane. Loss of dystrophin leads to loss in alpha-sarcoglycan in the D2-</w:t>
      </w:r>
      <w:r>
        <w:rPr>
          <w:rFonts w:ascii="Times New Roman" w:cs="Times New Roman" w:eastAsia="Times New Roman" w:hAnsi="Times New Roman"/>
          <w:sz w:val="18"/>
          <w:szCs w:val="18"/>
          <w:i w:val="1"/>
          <w:iCs w:val="1"/>
          <w:color w:val="231F20"/>
        </w:rPr>
        <w:t>mdx</w:t>
      </w:r>
      <w:r>
        <w:rPr>
          <w:rFonts w:ascii="Times New Roman" w:cs="Times New Roman" w:eastAsia="Times New Roman" w:hAnsi="Times New Roman"/>
          <w:sz w:val="18"/>
          <w:szCs w:val="18"/>
          <w:color w:val="231F20"/>
        </w:rPr>
        <w:t xml:space="preserve"> tissue. In the figure below PMO treated mice had limited restoration of dystrophin as well as alpha-sarcoglycan. In contrast, EEV-PMO treated tissues have almost complete restoration of both dystrophin and alpha-sarcoglycan.</w:t>
      </w:r>
    </w:p>
    <w:p>
      <w:pPr>
        <w:sectPr>
          <w:pgSz w:w="11900" w:h="16838" w:orient="portrait"/>
          <w:cols w:equalWidth="0" w:num="1">
            <w:col w:w="11100"/>
          </w:cols>
          <w:pgMar w:left="320" w:top="607"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607" w:right="47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360" w:right="860" w:hanging="3124"/>
        <w:spacing w:after="0" w:line="284" w:lineRule="auto"/>
        <w:rPr>
          <w:sz w:val="20"/>
          <w:szCs w:val="20"/>
          <w:color w:val="auto"/>
        </w:rPr>
      </w:pPr>
      <w:r>
        <w:rPr>
          <w:rFonts w:ascii="Times New Roman" w:cs="Times New Roman" w:eastAsia="Times New Roman" w:hAnsi="Times New Roman"/>
          <w:sz w:val="18"/>
          <w:szCs w:val="18"/>
          <w:i w:val="1"/>
          <w:iCs w:val="1"/>
          <w:color w:val="231F20"/>
        </w:rPr>
        <w:t>Repeat EEV-PMO-23 Treatment Resulted in Functional Restoration of Dystrophin and DGC Protein α-sarcoglycan After Four Monthly IV Doses in D2-mdx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113030</wp:posOffset>
            </wp:positionV>
            <wp:extent cx="4286250" cy="2305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86250"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120" w:firstLine="648"/>
        <w:spacing w:after="0" w:line="267" w:lineRule="auto"/>
        <w:rPr>
          <w:sz w:val="20"/>
          <w:szCs w:val="20"/>
          <w:color w:val="auto"/>
        </w:rPr>
      </w:pPr>
      <w:r>
        <w:rPr>
          <w:rFonts w:ascii="Times New Roman" w:cs="Times New Roman" w:eastAsia="Times New Roman" w:hAnsi="Times New Roman"/>
          <w:sz w:val="18"/>
          <w:szCs w:val="18"/>
          <w:color w:val="auto"/>
        </w:rPr>
        <w:t>We also conducted a repeat dose efficacy study in D2.</w:t>
      </w:r>
      <w:r>
        <w:rPr>
          <w:rFonts w:ascii="Times New Roman" w:cs="Times New Roman" w:eastAsia="Times New Roman" w:hAnsi="Times New Roman"/>
          <w:sz w:val="18"/>
          <w:szCs w:val="18"/>
          <w:i w:val="1"/>
          <w:iCs w:val="1"/>
          <w:color w:val="auto"/>
        </w:rPr>
        <w:t>mdx</w:t>
      </w:r>
      <w:r>
        <w:rPr>
          <w:rFonts w:ascii="Times New Roman" w:cs="Times New Roman" w:eastAsia="Times New Roman" w:hAnsi="Times New Roman"/>
          <w:sz w:val="18"/>
          <w:szCs w:val="18"/>
          <w:color w:val="auto"/>
        </w:rPr>
        <w:t xml:space="preserve"> (n=8) mice which received one, two, or three injections of vehicle or 80 mg/kg, EEV-PMO-23 once every six weeks. Muscle contractility, grip strength, and wire hang time were determined at 6, 12, and 18 weeks. Exon skipping, dystrophin protein, contractile function, and histological analysis were performed 6 weeks following administration of the last dose in each group.</w:t>
      </w:r>
    </w:p>
    <w:p>
      <w:pPr>
        <w:spacing w:after="0" w:line="173" w:lineRule="exact"/>
        <w:rPr>
          <w:sz w:val="20"/>
          <w:szCs w:val="20"/>
          <w:color w:val="auto"/>
        </w:rPr>
      </w:pPr>
    </w:p>
    <w:p>
      <w:pPr>
        <w:ind w:left="3240" w:right="140" w:hanging="2435"/>
        <w:spacing w:after="0" w:line="284" w:lineRule="auto"/>
        <w:rPr>
          <w:sz w:val="20"/>
          <w:szCs w:val="20"/>
          <w:color w:val="auto"/>
        </w:rPr>
      </w:pPr>
      <w:r>
        <w:rPr>
          <w:rFonts w:ascii="Times New Roman" w:cs="Times New Roman" w:eastAsia="Times New Roman" w:hAnsi="Times New Roman"/>
          <w:sz w:val="18"/>
          <w:szCs w:val="18"/>
          <w:i w:val="1"/>
          <w:iCs w:val="1"/>
          <w:color w:val="231F20"/>
        </w:rPr>
        <w:t>Significant Increases of Exon 23 Skipping and Dystrophin Expression Following One, Two and Three Doses of 80 mg/k EEV-PMO-23 in Three Cohorts of D2-mdx Mice As Measured Six Weeks After Each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113030</wp:posOffset>
            </wp:positionV>
            <wp:extent cx="5657850" cy="25031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the figure above the exon skipping (as measured by ddPCR) and dystrophin levels (as measured by western blot were assessed in three different groups of D2-mdx mice. Each cohort was assessed six weeks after receiving the last dose. Not only were very high levels of both exon skipping and dystrophin production demonstrated, but both exon skipping and dystophin accumulated despite the six-week gap between doses. This is important as it supports our expected clinical dosing of no more that every six weeks (detailed below in the clinical trial description). In addition to the accumulation of dystrophin production, we also saw an increase in the percentage of dystrophin positive fibers, reaching wild type levels after only two doses as shown below.</w:t>
      </w:r>
    </w:p>
    <w:p>
      <w:pPr>
        <w:spacing w:after="0" w:line="18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i w:val="1"/>
          <w:iCs w:val="1"/>
          <w:color w:val="auto"/>
        </w:rPr>
        <w:t>Cumulative Increase In Dystrophin Expression After Repeat Doses of EEV-PMO-23 In D2-mdx Mice</w:t>
      </w:r>
    </w:p>
    <w:p>
      <w:pPr>
        <w:sectPr>
          <w:pgSz w:w="11900" w:h="16838" w:orient="portrait"/>
          <w:cols w:equalWidth="0" w:num="1">
            <w:col w:w="11220"/>
          </w:cols>
          <w:pgMar w:left="320" w:top="60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531495</wp:posOffset>
            </wp:positionV>
            <wp:extent cx="5246370" cy="22459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4637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finding is important as a higher percentage of dystrophin positive fibers suggests a more robust, and potentially functional muscle.</w:t>
      </w:r>
    </w:p>
    <w:p>
      <w:pPr>
        <w:spacing w:after="0" w:line="223"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mdx</w:t>
      </w:r>
      <w:r>
        <w:rPr>
          <w:rFonts w:ascii="Times New Roman" w:cs="Times New Roman" w:eastAsia="Times New Roman" w:hAnsi="Times New Roman"/>
          <w:sz w:val="18"/>
          <w:szCs w:val="18"/>
          <w:color w:val="auto"/>
        </w:rPr>
        <w:t xml:space="preserve"> mouse model, the most commonly used mouse model for DMD, carries a spontaneous nonsense mutation in exon 23 of the DMD gene. While this model has been useful to show proof-of-concept of the exon skipping approach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it does not allow for the testing of human-specific oligonucleotides. Consequently, we also used transgenic mice carrying an integrated copy of the full-length human DMD gene with an exon 44 skipping amenable mutation. While these mice do not exhibit the DMD phenotype, the model does allow for an assessment of exon skipping levels. The mice were given a single IV dose of an EEV conjugated to an exon 44 skipping PMO (a combination thereof defined as EEV-PMO-44) at 15 mg/kg and near 100% exon skipping was observed. This result is notable because the mice in this model have intact muscle cells, which have historically been more difficult for therapeutics to access than the damaged cells seen in a </w:t>
      </w:r>
      <w:r>
        <w:rPr>
          <w:rFonts w:ascii="Times New Roman" w:cs="Times New Roman" w:eastAsia="Times New Roman" w:hAnsi="Times New Roman"/>
          <w:sz w:val="18"/>
          <w:szCs w:val="18"/>
          <w:i w:val="1"/>
          <w:iCs w:val="1"/>
          <w:color w:val="auto"/>
        </w:rPr>
        <w:t>mdx</w:t>
      </w:r>
      <w:r>
        <w:rPr>
          <w:rFonts w:ascii="Times New Roman" w:cs="Times New Roman" w:eastAsia="Times New Roman" w:hAnsi="Times New Roman"/>
          <w:sz w:val="18"/>
          <w:szCs w:val="18"/>
          <w:color w:val="auto"/>
        </w:rPr>
        <w:t xml:space="preserve"> model. We believe that these robust exon skipping results suggest the potential for our EEV-PMO to expand into additional neuromuscular diseases in which uptake into intact muscle is crucial to demonstrating clinical activity.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Exon 44 Skipping Activity of EEV-PMO-44 as Compared to a R6 Conjugated Exon 44 Skipping PMO (Single IV Dose of 15 mg/kg in hDystrophin Mice)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conjugated our lead exon 44 skipping sequence to an EEV from our candidate library, which we refer to as EEV-PMO-44, as mentioned above. Human dystrophic mice were IV dosed with 15 mg/kg of either EEV-PMO-44 or a R6 linear peptide conjugated to the same exon 44 skipping PMO. We observed exon skipping of between 60% to approximately 95% in the EEV-PMO-DMD-44 mice, compared to exon skipping of less than 20% in the R6-PMO-44-dosed mice.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ENTR-601-44</w:t>
      </w:r>
    </w:p>
    <w:p>
      <w:pPr>
        <w:spacing w:after="0" w:line="22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Following the exon 44 skipping preclinical work depicted above, we completed lead optimization work and initiated experiments for ENTR-601-44 in patient derived cells, humanized mice, and NHPs. The results of these studies are described below.</w:t>
      </w:r>
    </w:p>
    <w:p>
      <w:pPr>
        <w:sectPr>
          <w:pgSz w:w="11900" w:h="16838" w:orient="portrait"/>
          <w:cols w:equalWidth="0" w:num="1">
            <w:col w:w="11220"/>
          </w:cols>
          <w:pgMar w:left="320" w:top="60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Dose-Dependent Levels of Exon Skipping and Significant Dystrophin Restoration Observed in Patient Derived Cells Treated With ENTR-601-44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155575</wp:posOffset>
            </wp:positionV>
            <wp:extent cx="5837555" cy="1808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3755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the experiment depicted above, patient derived cells were treated with the EEV-PMO-44, or ENTR-601-44. Dose-dependent exon 44 skipping and dystrophin protein restoration was observed (up to 100% and 43.7% respectively) in DMD patient-derived muscle cells treated with ENTR-601-44 compared with both untreated patient derived cells 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healthy cells. ENTR-601-44 was then studied in the humanized mouse model to assess uptake in tissue and exon skipping potential.</w:t>
      </w:r>
    </w:p>
    <w:p>
      <w:pPr>
        <w:spacing w:after="0" w:line="223" w:lineRule="exact"/>
        <w:rPr>
          <w:sz w:val="20"/>
          <w:szCs w:val="20"/>
          <w:color w:val="auto"/>
        </w:rPr>
      </w:pPr>
    </w:p>
    <w:p>
      <w:pPr>
        <w:jc w:val="center"/>
        <w:ind w:left="360"/>
        <w:spacing w:after="0" w:line="284" w:lineRule="auto"/>
        <w:rPr>
          <w:sz w:val="20"/>
          <w:szCs w:val="20"/>
          <w:color w:val="auto"/>
        </w:rPr>
      </w:pPr>
      <w:r>
        <w:rPr>
          <w:rFonts w:ascii="Times New Roman" w:cs="Times New Roman" w:eastAsia="Times New Roman" w:hAnsi="Times New Roman"/>
          <w:sz w:val="18"/>
          <w:szCs w:val="18"/>
          <w:i w:val="1"/>
          <w:iCs w:val="1"/>
          <w:color w:val="auto"/>
        </w:rPr>
        <w:t>ENTR-601-44 Associated Dose (IV)-Dependent Tissue Exposure and Exon Skipping in a Transgenic Murine Model Carrying the Full-Length Human DMD Gene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113030</wp:posOffset>
            </wp:positionV>
            <wp:extent cx="5837555" cy="16459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3755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this experiment, the transgenic mice carrying an integrated copy of the full- length human DMD gene were administered ascending IV doses of ENTR-601-44 at various levels ranging from 10 mg/kg to 80 mg/kg. Exon skipping and tissue exposure were each assessed five days after dosing. We observed dose dependent levels of tissue exposure of up to 80% and exon skipping up to 100% with translationally relevant doses. At a single dose of 60 mg/kg, this exon skipping was sustained through twelve weeks as shown below.</w:t>
      </w:r>
    </w:p>
    <w:p>
      <w:pPr>
        <w:sectPr>
          <w:pgSz w:w="11900" w:h="16838" w:orient="portrait"/>
          <w:cols w:equalWidth="0" w:num="1">
            <w:col w:w="11220"/>
          </w:cols>
          <w:pgMar w:left="320" w:top="60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i w:val="1"/>
          <w:iCs w:val="1"/>
          <w:color w:val="auto"/>
        </w:rPr>
        <w:t>Exon Skipping Sustained for up to 12 weeks after a single IV Administration of ENTR-601-44 at 60 mg/kg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155575</wp:posOffset>
            </wp:positionV>
            <wp:extent cx="5837555" cy="28803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3755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results from our transgenic mouse study, we initiated studies in NHPs.</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Extended Circulating Half-Life for ENTR-601-44 Observed in Non-Human Primate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155575</wp:posOffset>
            </wp:positionV>
            <wp:extent cx="2802890" cy="2297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0289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the study depicted above, an IV dose of 30 mg/kg was administered over the course of one hour. The NHP was assessed at regular intervals, and an extended circulating half-life was observed. ENTR-601-44 was detectable in plasma up to 50 hours later. This pharmacokinetic profile suggests an opportunity for intended tissue exposure, target engagement and pharmacodynamic effects.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i w:val="1"/>
          <w:iCs w:val="1"/>
          <w:color w:val="auto"/>
        </w:rPr>
        <w:t>Meaningful Levels of Exon Skipping Observed After 7 Days in NHP after IV Administration of ENTR-601-44 at a dose of 30 mg/kg</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531495</wp:posOffset>
            </wp:positionV>
            <wp:extent cx="4011930" cy="2708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01193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240" w:firstLine="648"/>
        <w:spacing w:after="0" w:line="236" w:lineRule="auto"/>
        <w:rPr>
          <w:sz w:val="20"/>
          <w:szCs w:val="20"/>
          <w:color w:val="auto"/>
        </w:rPr>
      </w:pPr>
      <w:r>
        <w:rPr>
          <w:rFonts w:ascii="Times New Roman" w:cs="Times New Roman" w:eastAsia="Times New Roman" w:hAnsi="Times New Roman"/>
          <w:sz w:val="18"/>
          <w:szCs w:val="18"/>
          <w:color w:val="auto"/>
        </w:rPr>
        <w:t>Building upon this, in a separate experiment ENTR-601-44 further demonstrated robust exon 44 skipping in NHP biceps through 12 weeks following a single intravenous (IV) infusion, demonstrating durability of response. In this case two cohorts of NHPs were dosed at 35 mg/kg, and robust exon 44 skipping was observed in biceps in the ENTR-601-44 treated NHP (n=3 per cohort) for at least 12 weeks.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Robust Exon 44 Skipping Observed in Biceps in the ENTR-601-44 Treated NHPs For at Least 12 Weeks After a Single IV Dose of 35 mg/kg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301625</wp:posOffset>
            </wp:positionV>
            <wp:extent cx="4534535" cy="2468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53453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Finally, we assessed the potential difference between exon skipping in healthy volunteers (see description of the ongoing single ascending dose trial below) and Duchenne patients. In the </w:t>
      </w:r>
      <w:r>
        <w:rPr>
          <w:rFonts w:ascii="Times New Roman" w:cs="Times New Roman" w:eastAsia="Times New Roman" w:hAnsi="Times New Roman"/>
          <w:sz w:val="18"/>
          <w:szCs w:val="18"/>
          <w:i w:val="1"/>
          <w:iCs w:val="1"/>
          <w:u w:val="single" w:color="auto"/>
          <w:color w:val="auto"/>
        </w:rPr>
        <w:t>in vitro</w:t>
      </w:r>
      <w:r>
        <w:rPr>
          <w:rFonts w:ascii="Times New Roman" w:cs="Times New Roman" w:eastAsia="Times New Roman" w:hAnsi="Times New Roman"/>
          <w:sz w:val="18"/>
          <w:szCs w:val="18"/>
          <w:color w:val="auto"/>
        </w:rPr>
        <w:t xml:space="preserve"> experiment depicted below healthy cells and patient derived cells were dosed with between 0.03 mmol to 3 mmol of ENTR-601-44. At each given dose exon skipping in patient cells was significantly higher (up to 40-fold).</w:t>
      </w:r>
    </w:p>
    <w:p>
      <w:pPr>
        <w:spacing w:after="0" w:line="17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i w:val="1"/>
          <w:iCs w:val="1"/>
          <w:color w:val="auto"/>
        </w:rPr>
        <w:t>Exon 44 Skipping in Healthy and Patient Myoblasts Treated with ENTR-601-44</w:t>
      </w:r>
    </w:p>
    <w:p>
      <w:pPr>
        <w:sectPr>
          <w:pgSz w:w="11900" w:h="16838" w:orient="portrait"/>
          <w:cols w:equalWidth="0" w:num="1">
            <w:col w:w="11220"/>
          </w:cols>
          <w:pgMar w:left="320" w:top="60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531495</wp:posOffset>
            </wp:positionV>
            <wp:extent cx="3042920" cy="1945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04292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summary, a single 30 mg/kg IV dose of ENTR-601-44 resulted in meaningful levels of exon skipping in both skeletal and heart muscles and a single dose of 35 mg/kg resulted in sustained exon skipping for twelve weeks. These levels of exon skipping appear to correlate with the exon skipping observed with ENTR-601-44 in the transgenic mouse and the exon 23 skipping observed in the mdx and the D2-mdx mouse. We believe that these data, together with the correlation between exon skipping and dystrophin production in PPMO clinical trials, are encouraging as to the translational potential of ENTR-601-44. We further believe that these data provide support for the potential of the EEV Platform to address additional DMD populations.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Clinical Development Plan</w:t>
      </w:r>
    </w:p>
    <w:p>
      <w:pPr>
        <w:spacing w:after="0" w:line="214" w:lineRule="exact"/>
        <w:rPr>
          <w:sz w:val="20"/>
          <w:szCs w:val="20"/>
          <w:color w:val="auto"/>
        </w:rPr>
      </w:pPr>
    </w:p>
    <w:p>
      <w:pPr>
        <w:ind w:firstLine="583"/>
        <w:spacing w:after="0" w:line="242" w:lineRule="auto"/>
        <w:rPr>
          <w:sz w:val="20"/>
          <w:szCs w:val="20"/>
          <w:color w:val="auto"/>
        </w:rPr>
      </w:pPr>
      <w:r>
        <w:rPr>
          <w:rFonts w:ascii="Times New Roman" w:cs="Times New Roman" w:eastAsia="Times New Roman" w:hAnsi="Times New Roman"/>
          <w:sz w:val="18"/>
          <w:szCs w:val="18"/>
          <w:color w:val="auto"/>
        </w:rPr>
        <w:t xml:space="preserve">On July 24, 2023, we received authorization from the MHRA for our Phase 1 clinical trial in healthy volunteers, ENTR-601-44-101. The Phase 1 clinical trial's primary objective is to evaluate the safety and tolerability of a single dose of ENTR-601-44 in healthy volunteers, with a target enrollment of approximately 40 participants. The trial will also evaluate pharmacokinetics and target engagement as measured by exon skipping in the skeletal muscle, bearing the Company's recent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showed that exon skipping was approximately 10-40x higher in dystrophic muscle compared to healthy muscle, suggesting that data from healthy normal volunteers may substantially underestimate potential potency.</w:t>
      </w:r>
    </w:p>
    <w:p>
      <w:pPr>
        <w:spacing w:after="0" w:line="185" w:lineRule="exact"/>
        <w:rPr>
          <w:sz w:val="20"/>
          <w:szCs w:val="20"/>
          <w:color w:val="auto"/>
        </w:rPr>
      </w:pPr>
    </w:p>
    <w:p>
      <w:pPr>
        <w:ind w:right="60" w:firstLine="583"/>
        <w:spacing w:after="0"/>
        <w:rPr>
          <w:sz w:val="20"/>
          <w:szCs w:val="20"/>
          <w:color w:val="auto"/>
        </w:rPr>
      </w:pPr>
      <w:r>
        <w:rPr>
          <w:rFonts w:ascii="Times New Roman" w:cs="Times New Roman" w:eastAsia="Times New Roman" w:hAnsi="Times New Roman"/>
          <w:sz w:val="18"/>
          <w:szCs w:val="18"/>
          <w:color w:val="auto"/>
        </w:rPr>
        <w:t>On March 13, 2024, we announced that the first, second and third cohorts of participants had been successfully dosed and we expect to report data from the Phase 1 clinical trial in the second half of 2024. The data from this trial will inform our global clinical development strategy, and if favorable, support regulatory filings to open a global multiple ascending dose (MAD) Phase 2 trial in the fourth quarter of 2024. It is expected that countries will be included in the trial on a rolling basis, as dependent on discussions with individual regulators.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137160</wp:posOffset>
            </wp:positionV>
            <wp:extent cx="5915025" cy="22199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1502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ENTR-601-45</w:t>
      </w:r>
    </w:p>
    <w:p>
      <w:pPr>
        <w:sectPr>
          <w:pgSz w:w="11900" w:h="16838" w:orient="portrait"/>
          <w:cols w:equalWidth="0" w:num="1">
            <w:col w:w="11180"/>
          </w:cols>
          <w:pgMar w:left="320" w:top="60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07" w:right="3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90"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ENTR-601-45 is the third novel clinical candidate from Entrada’s growing pipeline of EEV-therapeutics and our second therapeutic candidate for Duchenne patients. The selection of ENTR-601-45 is based on robust in vitro exon skipping and dystrophin restoration observed in patient derived skeletal and cardiac muscle cells as well as in vivo preclinical data that demonstrated exon skipping levels of over 90% in skeletal muscle in a hDMD mouse model. Entrada presented data in support of ENTR-601-45 at the Muscular Dystrophy Association (MDA) Clinical &amp; Scientific Conference in March 2024.</w:t>
      </w: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ENTR-601-45 Showed Robust Exon Skipping and Dystrophin Production in vitro in Patient-derived Skeletal and Cardiac Muscle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172720</wp:posOffset>
            </wp:positionV>
            <wp:extent cx="5503545" cy="21348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03545"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40" w:firstLine="648"/>
        <w:spacing w:after="0"/>
        <w:rPr>
          <w:sz w:val="20"/>
          <w:szCs w:val="20"/>
          <w:color w:val="auto"/>
        </w:rPr>
      </w:pPr>
      <w:r>
        <w:rPr>
          <w:rFonts w:ascii="Times New Roman" w:cs="Times New Roman" w:eastAsia="Times New Roman" w:hAnsi="Times New Roman"/>
          <w:sz w:val="18"/>
          <w:szCs w:val="18"/>
          <w:color w:val="auto"/>
        </w:rPr>
        <w:t>Within Entrada’s growing neuromuscular franchise, each EEV-PMO therapeutic candidate has an oligonucleotide sequence designed and optimized for the specific subpopulation of interest. In the figure below we demonstrated that when conjugated to the same EEV, a single dose of our proprietary exon 45 skipping sequence resulted significantly higher levels of exon skipping than a control sequence based on the currently approved therapy casimersen. The Company plans to submit an IND application for ENTR-601-45 in the fourth quarter of 2024.</w:t>
      </w:r>
    </w:p>
    <w:p>
      <w:pPr>
        <w:spacing w:after="0" w:line="210" w:lineRule="exact"/>
        <w:rPr>
          <w:sz w:val="20"/>
          <w:szCs w:val="20"/>
          <w:color w:val="auto"/>
        </w:rPr>
      </w:pPr>
    </w:p>
    <w:p>
      <w:pPr>
        <w:jc w:val="center"/>
        <w:ind w:left="400" w:right="100"/>
        <w:spacing w:after="0" w:line="268" w:lineRule="auto"/>
        <w:rPr>
          <w:sz w:val="20"/>
          <w:szCs w:val="20"/>
          <w:color w:val="auto"/>
        </w:rPr>
      </w:pPr>
      <w:r>
        <w:rPr>
          <w:rFonts w:ascii="Times New Roman" w:cs="Times New Roman" w:eastAsia="Times New Roman" w:hAnsi="Times New Roman"/>
          <w:sz w:val="18"/>
          <w:szCs w:val="18"/>
          <w:i w:val="1"/>
          <w:iCs w:val="1"/>
          <w:color w:val="auto"/>
        </w:rPr>
        <w:t>A Single IV Dose of ENTR-601-45 Showed High Levels of Exon Skipping in hDMD Mouse Skeletal and Heart Muscle After One Week When Compared With an EEV Conjugated Control Exon Skipping Sequence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139700</wp:posOffset>
            </wp:positionV>
            <wp:extent cx="5863590" cy="2708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6359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Clinical Development Plan</w:t>
      </w:r>
    </w:p>
    <w:p>
      <w:pPr>
        <w:sectPr>
          <w:pgSz w:w="11900" w:h="16838" w:orient="portrait"/>
          <w:cols w:equalWidth="0" w:num="1">
            <w:col w:w="11180"/>
          </w:cols>
          <w:pgMar w:left="320" w:top="60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07" w:right="3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90" w:lineRule="exact"/>
        <w:rPr>
          <w:sz w:val="20"/>
          <w:szCs w:val="20"/>
          <w:color w:val="auto"/>
        </w:rPr>
      </w:pPr>
    </w:p>
    <w:p>
      <w:pPr>
        <w:ind w:right="60" w:firstLine="648"/>
        <w:spacing w:after="0" w:line="272" w:lineRule="auto"/>
        <w:rPr>
          <w:sz w:val="20"/>
          <w:szCs w:val="20"/>
          <w:color w:val="auto"/>
        </w:rPr>
      </w:pPr>
      <w:r>
        <w:rPr>
          <w:rFonts w:ascii="Times New Roman" w:cs="Times New Roman" w:eastAsia="Times New Roman" w:hAnsi="Times New Roman"/>
          <w:sz w:val="17"/>
          <w:szCs w:val="17"/>
          <w:color w:val="auto"/>
        </w:rPr>
        <w:t>We plan to submit regulatory applications in the fourth quarter of 2024 for the global Phase 2 clinical development of ENTR-601-45 in Duchenne patients who are exon 45 skipping amenable. We plan to then initiate a Phase 2b study to assess safety and tolerability as well as evaluate PK. We expect the study will measure changes in dystrophin levels as the primary efficacy endpoint, and a variety of clinical measures as secondary endpoints.</w:t>
      </w:r>
    </w:p>
    <w:p>
      <w:pPr>
        <w:spacing w:after="0" w:line="1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ENTR-601-50</w:t>
      </w:r>
    </w:p>
    <w:p>
      <w:pPr>
        <w:spacing w:after="0" w:line="239" w:lineRule="exact"/>
        <w:rPr>
          <w:sz w:val="20"/>
          <w:szCs w:val="20"/>
          <w:color w:val="auto"/>
        </w:rPr>
      </w:pPr>
    </w:p>
    <w:p>
      <w:pPr>
        <w:ind w:right="40" w:firstLine="583"/>
        <w:spacing w:after="0" w:line="245" w:lineRule="auto"/>
        <w:rPr>
          <w:sz w:val="20"/>
          <w:szCs w:val="20"/>
          <w:color w:val="auto"/>
        </w:rPr>
      </w:pPr>
      <w:r>
        <w:rPr>
          <w:rFonts w:ascii="Times New Roman" w:cs="Times New Roman" w:eastAsia="Times New Roman" w:hAnsi="Times New Roman"/>
          <w:sz w:val="18"/>
          <w:szCs w:val="18"/>
          <w:color w:val="auto"/>
        </w:rPr>
        <w:t xml:space="preserve">On November 7, 2023, we announced the selection of a third clinical candidate within our Duchenne franchise, ENTR-601-50 for the potential treatment of people living with DMD who are exon 50 skipping amenable. The selection of ENTR-501-50 is based 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preclinical data which demonstrated robust exon 50 skipping across cardiac and skeletal muscle groups. We plan to submit regulatory applications to initiate a global Phase 2 trial in Duchenne patients who are exon 50 skipping amendable in 2025.</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Future DMD Franchise Programs</w:t>
      </w:r>
    </w:p>
    <w:p>
      <w:pPr>
        <w:spacing w:after="0" w:line="22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Beyond exploring exon 44, exon 45 and exon 50 skipping amenable candidates, we have also launched research efforts to develop EEV-PMO for exon 51 skipping amenable populations. The exon 51 skipping amenable population represents the largest single Duchenne sub-population, representing approximately 14% of patients. Our goal is to identify a therapeutic candidate for exon 51 skipping amenable patients in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DM1</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DM1 is a rare disease, commonly estimated to affect approximately 110,000 people in the United States and Europe. The disease is caused by a mutation driven alteration of normal RNA structure manifesting as an increase in the number of CTG triplet repeats found in the 3’ non-coding region of the DM1 protein kinase (DMPK) gene. The number of repeats ranges from up to approximately 35 copies in healthy individuals to many thousands in patients with DM1. The resulting transcripts, which contain an expanded CUG tract, aggregate in discrete foci in the nuclei of DM patient cells. The excessive number of CUG repeats form large hairpin loops that entrap the DMPK pre-mRNA in the nucleus and impart toxic activity, referred to as a toxic gain-of-function. Specifically, mutant DMPK pre-mRNA sequesters a critical CUG-binding protein, muscle blind-like protein 1 (MBNL1), forming nuclear foci and inhibiting its ability to perform its normal function of guiding pre-mRNA processing of gene transcription for many other genes. These genes, among others, include insulin receptor signaling (INSR), Ras receptor signaling which is implicated in cell growth (SOS1), Bridging Integrator-1 (BIN1) which is implicated in cardiac development, and LIM domain binding 3 (LDB3) which plays a role in stabilizing the sarcomere (the basic units of muscles) during contraction. As a result, multiple pre-mRNAs that encode key proteins are misprocessed and this contributes to the multisystemic nature of the disease. These abnormal proteins ultimately cause DM1. The progression of DM1 may depend on the growth of the expanded repeat over time, suggesting that stabilization of the repeat is a means to postpone the onset or slow the progression.</w:t>
      </w:r>
    </w:p>
    <w:p>
      <w:pPr>
        <w:spacing w:after="0" w:line="19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DM1 is typically categorized based on age of onset and severity of symptoms into various phenotypes: 75% classical (adult-onset in the second to fourth decade of life); 10% childhood; and 15% congenital. All forms of DM1, except the late-onset form, are associated with high levels of disease burden and in the most severe cases can be associated with premature mortality. Life expectancy ranges from 45 years to 60 years. Seventy percent of early mortality is caused by cardiorespiratory complications. Respiratory failure due to muscle weakness (especially diaphragmatic weakness) causes at least 40% of early mortality, and cardiac abnormalities account for approximately 30%. The clinical course of DM1 is usually slowly progressive, but may become extremely disabling, especially when more generalized limb weakness and respiratory muscle impairment develops. Systemic manifestations such as fatigue, gastrointestinal (GI) complications, cataracts, incontinence and excessive daytime sleepiness greatly impact a patient’s quality of life. As a result, DM1 leads to physical impairment, activity limitations and decreased participation in social activities and work.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Treatment Landscape and Limitations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are currently no approved therapies to treat DM1 and treatment is focused largely on symptom management, which is tailored to the system affected and can therefore range from diet modification and physical therapy to surgery and ventilatory support. A previous attempt at treating patients with DM1 with an unconjugated antisense oligonucleotide was discontinued due to lack of efficacy. Therefore, there remains a high unmet medical need for new disease modifying therapies.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VX-670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VX-670 is designed to address the underlying cause of the disease by targeting and blocking the extra CUG triplet repeats occurring in the DMPK mRNA. CAG-repeat antisense oligonucleotides bind CUG repeat RNA and have been shown to block RNA-protein interactions as well as reduce the level of CUG transcription. VX-670 is comprised of a PMO conjugated to an EEV (the same EEV being used in Entrada's DMD programs), which we would expect to sterically block CUG repeats and relieve or prevent the sequestration MBNL1 while leaving DMPK mRNA unaffected and leaving healthy levels of DMPK intact. We are collaborating with Vertex to support the development of VX-670. The Vertex Agreement also includes a four-year global research collaboration whereby Entrada will continue to advance and receive payments for certain research activities related to VX-670, as well as additional DM1-related research activities. Vertex will be responsible for global development, manufacturing and commercialization of VX-670 and any additional programs stemming from Entrada’s DM1 research efforts.</w:t>
      </w:r>
    </w:p>
    <w:p>
      <w:pPr>
        <w:spacing w:after="0" w:line="178"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231F20"/>
        </w:rPr>
        <w:t>On January 7, 2024 Vertex announced authorization from the MHRA of a clinical trial application for VX-670 for patients with DM1 and initiation of a Phase 1/2 clinical trial in patients with DM1 in Canada and that it will initiate the study in the UK in the near-term. Vertex also noted that they submitted an IND application to the FDA for VX-670. The FDA requested additional information, which resulted in a clinical hold. Vertex is working to address the FDA's comments in order to initiate the study in the U.S.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Additional Preclinical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Neuromuscular Diseases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Pompe disease is a rare, autosomal recessive lysosomal storage disease caused by a mutation in the gene that encodes for glucosidase alpha acid (GAA), which results in an absence or deficiency of GAA protein. Normally, the body uses GAA to break down the complex carbohydrate glycogen and convert it into glucose. Failure to achieve proper breakdown and abnormalities in glycogen metabolism result in the excessive accumulation of glycogen in the body’s cells, particularly in cardiac, smooth, and skeletal muscle cells, which can lead to impairment and degradation of normal tissue and organ function. Patients with Pompe disease experience serious muscle-related problems, including progressive muscle weakness throughout the body, especially in the legs, trunk and diaphragm. As the disorder progresses, breathing problems can lead to respiratory failure.</w:t>
      </w:r>
    </w:p>
    <w:p>
      <w:pPr>
        <w:spacing w:after="0" w:line="187" w:lineRule="exact"/>
        <w:rPr>
          <w:sz w:val="20"/>
          <w:szCs w:val="20"/>
          <w:color w:val="auto"/>
        </w:rPr>
      </w:pPr>
    </w:p>
    <w:p>
      <w:pPr>
        <w:ind w:right="280" w:firstLine="648"/>
        <w:spacing w:after="0" w:line="312" w:lineRule="auto"/>
        <w:rPr>
          <w:sz w:val="20"/>
          <w:szCs w:val="20"/>
          <w:color w:val="auto"/>
        </w:rPr>
      </w:pPr>
      <w:r>
        <w:rPr>
          <w:rFonts w:ascii="Times New Roman" w:cs="Times New Roman" w:eastAsia="Times New Roman" w:hAnsi="Times New Roman"/>
          <w:sz w:val="17"/>
          <w:szCs w:val="17"/>
          <w:color w:val="auto"/>
        </w:rPr>
        <w:t>To date, more than 300 pathogenic mutations have been identified in GAA. Pompe disease is commonly estimated to affect between 5,000 and 10,000 patients in the aggregate in the United States and Europe; however, the advent of newborn screening suggests the disease is underdiagnosed.</w:t>
      </w:r>
    </w:p>
    <w:p>
      <w:pPr>
        <w:spacing w:after="0" w:line="14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Based on the age of onset and severity of symptoms, Pompe disease is typically classified as either infantile-onset Pompe disease (IOPD) or late-onset Pompe disease (LOPD). IOPD is characterized by severe muscle weakness and abnormally diminished muscle tone and usually manifests within the first few months of life. If left untreated, IOPD is often fatal due to progressive cardiac failure, respiratory distress or malnutrition resulting from feeding difficulties. LOPD presents in childhood, adolescence or adulthood. Patients with LOPD typically have milder symptoms, such as reduced mobility and respiratory problems. Patients with LOPD experience progressive difficulty walking and respiratory decline. Initial symptoms of LOPD may be subtle and go unrecognized for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Treatment Landscape and Limitations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only currently approved therapies for Pompe disease are alglucosidase alfa (Lumizyme in the United States, Myozyme in other geographies), avalglucosidase alfa-ngpt (Nexviazyme in the United States) and cipaglucosidase alfa-atga + miglustat (stabilizer) for patients who are not improving on their current enzyme replacement therapy. All rely upon GAA delivered via IV infusions to break down glycogen. Although infantile patients treated with ERT for Pompe disease have demonstrated improved survival, ERT is not curative, and many patients in long-term observational studies continue to have increased risk of both cardiomyopathy and heart failure. These patients also experience residual muscle weakness, including difficulties swallowing and the attendant increased risk of aspiration. ERT is particularly limited in its ability to improve skeletal muscle myopathy and respiratory dysfunction, primarily due to its inability to penetrate key tissues affected by the disease, a lack of activity in the cytosol and potential immunogenicity. Despite the availability of ERT, there remains significant unmet medical need in patients with either IOPD or LOPD.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Pompe disease program focuses on the development of a potentially disease-modifying treatment, which mitigates the production of glycogen in the cytosol of the cell. Leveraging the modularity of our EEV Platform, we are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utilizing oligonucleotides that target the mRNA that encodes glycogen synthetase 1 (GYS1), a protein required for the synthesis of glycogen in muscle cells. Our EEV-PMO is expected to provide a complementary mechanism of action to GAA replacement, which increases glycogen processing in the lysosome. We are also developing conjugated constructs that combine both GYS1 knockdown and ERT. Together these therapies may improve therapeutic outcomes.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an EEV-therapeutics based approach is well suited for the treatment of patients with either IOPD or LOPD.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Preclinical Data</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therapeutic strategy involves EEV-PMO induced exon skipping, which is similar to our DMD strategy. We believe the more advanced DMD programs lay the foundation for the potential clinical success of our Pompe disease program. The approach in Pompe disease involves knockdown of GYS1 expression by inducing exon skipping to shift the reading frame and induce the reading of a premature stop codon, as illustrated below, resulting in subsequent nonsense-mediated mRNA decay (NMD). NMD prevents the translation of protein production.</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231F20"/>
        </w:rPr>
        <w:t>GYS1 Knockdown Via Exon Skipping, To Drive Premature Stop Codon Presentation And mRNA Decay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155575</wp:posOffset>
            </wp:positionV>
            <wp:extent cx="2880360" cy="14744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80360"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GYS1/GAA double knockout mice, when compared to the GAA single knockout mice, have exhibited a profound reduction in the amount of glycogen in the heart and skeletal muscles, a significant decrease in lysosomal swelling and autophagic build-up. These cellular-level changes lead to cardiomegaly correction, normalization of glucose metabolism and correction of muscle atrophy. We believe, and medical literature suggests, that, despite the absence of GAA, the elimination of GYS1 plays an important role in glycogen metabolism. Furthermore, this mouse model allows us to test the more general utility of NMD and the more specific goal of GYS1 knockdown by an EEV-PMO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Dose-Dependent EEV-PMO Knockdown of GYS1 Gene Expression and Protein Production in Skeletal and Cardiac Muscles Versus PMO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155575</wp:posOffset>
            </wp:positionV>
            <wp:extent cx="3429000" cy="21685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00" cy="216852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In the experiment above, GAA knockout mice (GAA-/-) were injected with a single IV dose of either 13.5 mg/kg of EEV-PMO, 27 mg/kg of EEV-PMO, 27 mg/kg of PMO or a negative control (vehicle). GYS1 mRNA and protein levels were measured one-week post-injection and a significant knockdown of both was observed in both the EEV-PMO arms, but not in the unconjugated PMO arm. This pharmacodynamic result is notable given that this is a single dose experiment administered at very low doses, and it suggests that GYS1 is an addressable target. We further demonstrated that these protein level reductions were durable up to eight weeks post IV dose of 13.5 mg/kg EEV-PMO.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128270</wp:posOffset>
            </wp:positionV>
            <wp:extent cx="5657850" cy="13030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We believe this result demonstrates the potential of using exon skipping to drive NMD, which potentially opens a broad range of therapeutic indications where a downregulation of gene expression is needed.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considerations for GYS1 (Pompe disease and beyond)</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plan to continue studying both GYS1 knockdown and the combination of GYS1 knockdown and enzyme replacement in Pompe disease. Although ERT is an effective treatment for some patients, many will fail to adequately respond, or appear to lose response over time. The expectation is that an ability to retard excess glycogen storage regardless of the source may result in a more effective and durable therapeutic alternative for a wider range of patients.</w:t>
      </w:r>
    </w:p>
    <w:p>
      <w:pPr>
        <w:spacing w:after="0" w:line="18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Beyond Pompe disease, we continue to explore a number of additional diseases where GYS1 knockdown is relevant. </w:t>
      </w:r>
      <w:r>
        <w:rPr>
          <w:rFonts w:ascii="Times New Roman" w:cs="Times New Roman" w:eastAsia="Times New Roman" w:hAnsi="Times New Roman"/>
          <w:sz w:val="18"/>
          <w:szCs w:val="18"/>
          <w:color w:val="231F20"/>
        </w:rPr>
        <w:t>In addition, we continue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assess other neuromuscular diseases</w:t>
      </w:r>
      <w:r>
        <w:rPr>
          <w:rFonts w:ascii="Times New Roman" w:cs="Times New Roman" w:eastAsia="Times New Roman" w:hAnsi="Times New Roman"/>
          <w:sz w:val="18"/>
          <w:szCs w:val="18"/>
          <w:color w:val="000000"/>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Beyond Neuromuscular Disease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Ocular Disease</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High unmet need continues to exist across a wide range of ocular diseases including macular dystrophies, photoreceptor diseases, optic neuropathies among others. Many of these are of genetic origin and potentially addressable via RNA based therapeutics including exon skipping approaches. Despite the benefits of both local delivery and immune privilege many of these diseases have proven to be difficult to treat, as evidenced by a number of clinical failures. The retina is a complex structure consisting of multiple layers of tissue and a range of different cell types. A consistent challenge for developers has been the distribution and uptake of therapeutic candidates broadly, throughout the various layers and cell types across the retina. We believe our EEV-therapeutics can more effectively engage disease specific targets within these tissue layers opening the door to the development of new therapeutic candidates. As such we have preclinical efforts ongoing with the goal of further elucidating the benefits of EEV conjugation. Our lead ocular program targets an indication which results in blindness and affects several thousand exon skipping amenable patients in the United States alone. There are no approved therapies that address the underlying cause of disease. Lead optimization work on both novel oligonucleotide sequences and fit for purpose EEVs is on-going.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 Preclinical Development and Discovery Programs</w:t>
      </w:r>
    </w:p>
    <w:p>
      <w:pPr>
        <w:spacing w:after="0" w:line="22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231F20"/>
        </w:rPr>
        <w:t>We are leveraging the modularity of our EEV Platform to develop opportunities as diverse as EEV-LNP enabled CRISPR-Cas delivery for gene editing, EEV-LNP based delivery of mRNA, EEV-antibody and peptide drug conjugates, EEV-therapeutic opportunities for central nervous system (CNS) and peripheral nervous system (PNS) disorders, EEV-antibody oligonucleotide conjugates for enhanced tissue tropism in immunology and oncology, as well as for blood brain barrier carriage, EEV-therapeutics with enhanced distribution in retinal tissue for ocular indications, and novel ERT therapies. We regularly explore strategic opportunities to develop potential therapies for patients with devastating diseases</w:t>
      </w:r>
      <w:r>
        <w:rPr>
          <w:rFonts w:ascii="Times New Roman" w:cs="Times New Roman" w:eastAsia="Times New Roman" w:hAnsi="Times New Roman"/>
          <w:sz w:val="18"/>
          <w:szCs w:val="18"/>
          <w:color w:val="000000"/>
        </w:rPr>
        <w:t>.</w:t>
      </w:r>
    </w:p>
    <w:p>
      <w:pPr>
        <w:sectPr>
          <w:pgSz w:w="11900" w:h="16838" w:orient="portrait"/>
          <w:cols w:equalWidth="0" w:num="1">
            <w:col w:w="11200"/>
          </w:cols>
          <w:pgMar w:left="320" w:top="60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Genetic Medicine Example</w:t>
      </w:r>
    </w:p>
    <w:p>
      <w:pPr>
        <w:spacing w:after="0" w:line="239" w:lineRule="exact"/>
        <w:rPr>
          <w:sz w:val="20"/>
          <w:szCs w:val="20"/>
          <w:color w:val="auto"/>
        </w:rPr>
      </w:pPr>
    </w:p>
    <w:p>
      <w:pPr>
        <w:ind w:firstLine="648"/>
        <w:spacing w:after="0" w:line="228" w:lineRule="auto"/>
        <w:rPr>
          <w:sz w:val="20"/>
          <w:szCs w:val="20"/>
          <w:color w:val="auto"/>
        </w:rPr>
      </w:pPr>
      <w:r>
        <w:rPr>
          <w:rFonts w:ascii="Times New Roman" w:cs="Times New Roman" w:eastAsia="Times New Roman" w:hAnsi="Times New Roman"/>
          <w:sz w:val="18"/>
          <w:szCs w:val="18"/>
          <w:color w:val="auto"/>
        </w:rPr>
        <w:t xml:space="preserve">Lipid nanoparticle (LNP) technology has emerged as a promising delivery method for nucleic acids therapeutics, including mRNA vaccines, small interfering RNA and gene editing modalities. Despite tremendous success, LNP delivery platforms still face major challenges, such as limited tissue tropism and poor delivery efficiency due to low endosomal escape. Endosomal escape is especially important for the chronic use of mRNA therapeutics for applications beyond vaccination. We found that EEV-modified LNP (EEV-LNP) significantly enhanced the efficiency of mRNA delivery and gene editing compared to unconjugated LNP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Through mechanistic studies, we further established the mechanism of uptake for EEV-LNP and observed its ability to target a broad range of cell types and tissues. Overall, these results support the potential of our EEV-LNP platform for improved functional delivery of genomic medicines, with applications in the areas of mRNA delivery and gene editing.</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Enzyme Replacement Example</w:t>
      </w:r>
    </w:p>
    <w:p>
      <w:pPr>
        <w:spacing w:after="0" w:line="225"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ENTR-501, an intracellular thymidine phosphorylase (TP) enzyme replacement therapyl (ERT), program is in development for the treatment of mitochondrial neurogastrointestinal encephalomyopathy (MNGIE). MNGIE is a slowly progressive, rare disease characterized by elevated levels of thymidine. Preliminary preclinical studies have demonstrated that ENTR-501 reduces toxic thymidine levels below those observed in wild-type mice. We have completed IND-enabling studies for the MNGIE program, including pharmacodynamic and pharmacokinetic studies in mice, and pharmacokinetic and chronic toxicology in NHPs. In July 2023, the Company and Pierrepont Therapeutics, Inc. (Pierrepont) entered into a license agreement (the Pierrepont Agreement) to advance the development and commercialization of ENTR-501. Pierrepont will control development and commercialization of the drug candidate while Entrada retains the right to specified milestones and royalty payments.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continue to explore additional enzyme replacement opportunities to address a wide range of high unmet need metabolic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154305</wp:posOffset>
            </wp:positionV>
            <wp:extent cx="5246370" cy="23399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4637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biotechnology and biopharmaceutical industries generally, and the neuromuscular disease field specifically, are characterized by rapidly advancing technologies, intense competition and a strong emphasis on proprietary products. While we believe that our technology, the expertise of our team, and our development experience and scientific knowledge in the field of muscle diseases, oligonucleotide therapeutics and manufacturing provide us with competitive advantages, we face potential competition from many different sources, including major pharmaceutical, specialty pharmaceutical and biotechnology companies, academic institutions, governmental agencies and public and private research institutions. Any therapeutic candidates that we successfully develop and commercialize may compete with existing therapies and new therapies that may become available in the future.</w:t>
      </w:r>
    </w:p>
    <w:p>
      <w:pPr>
        <w:spacing w:after="0" w:line="174"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Currently, patients with DMD are treated with corticosteroids to manage the inflammatory component of the disease. EMFLAZA (deflazacort) is an FDA-approved corticosteroid marketed by PTC Therapeutics, Inc. (PTC). In addition, there are four FDA-approved exon skipping drugs: EXONDYS 51 (eteplirsen), VYONDYS 53 (golodirsen), and AMONDYS 45 (casimersen), which are PMOs approved for the treatment of patients with DMD who are amenable to</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90"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 xml:space="preserve">exon 51, exon 53 and exon 45 skipping, respectively, and are marketed by Sarepta Therapeutics, Inc. (Sarepta), and VILTEPSO (vitolarsen), a PMO approved for the treatment of patients with DMD who are amenable to exon 53 skipping, which is marketed by Nippon Shinyaku Co. Ltd. Companies focused on developing treatments for DMD that target dystrophin mechanisms, as does our DMD program, include Sarepta with SRP -5051, a peptide-linked PMO currently being evaluated following a Phase 2 clinical trial for patients amenable to exon 51 skipping along with additional exons in preclinical development, </w:t>
      </w:r>
      <w:r>
        <w:rPr>
          <w:rFonts w:ascii="Times New Roman" w:cs="Times New Roman" w:eastAsia="Times New Roman" w:hAnsi="Times New Roman"/>
          <w:sz w:val="18"/>
          <w:szCs w:val="18"/>
          <w:color w:val="333333"/>
        </w:rPr>
        <w:t>Nippon Shinyaku Co. Ltd., which recently completed a Phase 1/2 clinical trial for patients amenable to exon 44 skipping in Japan,</w:t>
      </w:r>
      <w:r>
        <w:rPr>
          <w:rFonts w:ascii="Times New Roman" w:cs="Times New Roman" w:eastAsia="Times New Roman" w:hAnsi="Times New Roman"/>
          <w:sz w:val="18"/>
          <w:szCs w:val="18"/>
          <w:color w:val="auto"/>
        </w:rPr>
        <w:t xml:space="preserve"> PTC with ataluren, a small molecule targeting nonsense mutations in a Phase 3 clinical trial, Avidity Biosciences, Inc. (Avidity), which announced the preliminary data from its ongoing Phase 1/2 clinical trial with antibody oligonucleotide conjugates for exon 44 (AOC-1044), and has similar programs for patients amenable to exon 45, and exon 51 skipping in preclinical development, Wave Life Sciences Ltd., which is clinically evaluating WVE-N531, a splicing clinical candidate that is designed to target exon 53 within the dystrophin gene, Dyne Therapeutics, Inc. (Dyne), which is pursuing antibody fragment-oligonucleotide conjugates for exons 44, 45, 51 (clinical candidate DYNE-251), and 53, PepGen, Inc. with PGN-EDO51, a clinical candidate designed to address exon 51, along with discovery programs targeting exons 53, 44, and 45, and BioMarin Pharmaceutical Inc., which is in preclinical development with BMN 351, an antisense oligonucleotide therapy for exon 51. In addition, several companies are developing gene therapies to treat DMD, including Pfizer Inc. (PF-06939926), Sarepta (SRP-9001; delandistrogene moxeparvovec-rokl approved for ambulatory 4-5 year old patients), Solid Biosciences Inc. (SGT-003), and REGENXBIO (RGX-202). Gene editing treatments that are in preclinical development are also being pursued by Vertex and Sarepta. We are also aware of several companies targeting non-dystrophin mechanisms for the treatment of DMD.</w:t>
      </w:r>
    </w:p>
    <w:p>
      <w:pPr>
        <w:spacing w:after="0" w:line="223" w:lineRule="exact"/>
        <w:rPr>
          <w:sz w:val="20"/>
          <w:szCs w:val="20"/>
          <w:color w:val="auto"/>
        </w:rPr>
      </w:pPr>
    </w:p>
    <w:p>
      <w:pPr>
        <w:ind w:right="160" w:firstLine="583"/>
        <w:spacing w:after="0" w:line="255" w:lineRule="auto"/>
        <w:rPr>
          <w:sz w:val="20"/>
          <w:szCs w:val="20"/>
          <w:color w:val="auto"/>
        </w:rPr>
      </w:pPr>
      <w:r>
        <w:rPr>
          <w:rFonts w:ascii="Times New Roman" w:cs="Times New Roman" w:eastAsia="Times New Roman" w:hAnsi="Times New Roman"/>
          <w:sz w:val="18"/>
          <w:szCs w:val="18"/>
          <w:color w:val="auto"/>
        </w:rPr>
        <w:t>We expect to face competition from existing products and products in development for each of our therapeutic candidates. There are currently no approved therapies to treat the underlying cause of DM1. Therapeutic candidates currently in development to treat DM1 include: tideglusib, a GSK3-ß inhibitor in late-stage clinical development by AMO Pharma Ltd. for the congenital phenotype of DM1; AOC-1001, an antibody linked siRNA in clinical development by Avidity; DYNE-101, an antibody fragment conjugated to an ASO targeting DM1 protein kinase knockdown in clinical development by Dyne; EDODM1, a linear peptide conjugated to a PMO targeting CUG repeats in clinical development by PepGen, Inc.; a small molecule targeting GTG repeats in preclinical development by Design Therapeutics, Inc.; an RNA-targeting gene therapy in preclinical development by Locana, Inc.; and small molecules interacting with RNA in preclinical development by Expansion Therapeutics, Inc.</w:t>
      </w:r>
    </w:p>
    <w:p>
      <w:pPr>
        <w:spacing w:after="0" w:line="216" w:lineRule="exact"/>
        <w:rPr>
          <w:sz w:val="20"/>
          <w:szCs w:val="20"/>
          <w:color w:val="auto"/>
        </w:rPr>
      </w:pPr>
    </w:p>
    <w:p>
      <w:pPr>
        <w:ind w:right="140" w:firstLine="583"/>
        <w:spacing w:after="0" w:line="258" w:lineRule="auto"/>
        <w:rPr>
          <w:sz w:val="20"/>
          <w:szCs w:val="20"/>
          <w:color w:val="auto"/>
        </w:rPr>
      </w:pPr>
      <w:r>
        <w:rPr>
          <w:rFonts w:ascii="Times New Roman" w:cs="Times New Roman" w:eastAsia="Times New Roman" w:hAnsi="Times New Roman"/>
          <w:sz w:val="18"/>
          <w:szCs w:val="18"/>
          <w:color w:val="auto"/>
        </w:rPr>
        <w:t>The only currently-approved therapies for Pompe disease are alglucosidase alfa (Lumizyme in the United States, Myozyme in other geographies), avalglucosidase alfa-ngpt (Nexviazyme in the United States) and cipaglucosidase alfa-atga + miglustat, which rely on the delivery of GAA via IV infusions. There is one GYS1 inhibitor in clinical development from Maze Therapeutics Inc. and another from Aro Biotherapeutics. There are four gene therapies in the early stages of clinical development from Astellas Pharma Inc., Bayer AG, Roche Holding AG and Lacerta Therapeutics, Inc. There are gene therapies in preclinical development from AVROBIO, Inc. and Amicus Therapeutics.</w:t>
      </w:r>
    </w:p>
    <w:p>
      <w:pPr>
        <w:spacing w:after="0" w:line="183"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Many of our competitors, either independently or with strategic partners, have substantially greater financial, technical and human resources than we do. Accordingly, our competitors may be more successful than we are in research and development, manufacturing, preclinical testing, conducting clinical trials, obtaining regulatory approval for treatments and achieving widespread market acceptance.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w:t>
      </w:r>
    </w:p>
    <w:p>
      <w:pPr>
        <w:spacing w:after="0" w:line="18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commercial potential could be substantially limited if our competitors develop and commercialize products that are more effective, safer, less toxic, more convenient or less expensive than any products we may develop. In geographies that are critical to our commercial success, competitors may also obtain regulatory approvals before us, resulting in our competitors building a strong market position in advance of the entry of our products. In addition, our ability to compete may be affected in many cases by insurers or other third-party payers seeking to encourage the use of other drugs. The key competitive factors affecting the success of any products we may develop are likely to be their efficacy, safety, convenience, price and availability of reimbursement.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strive to protect our proprietary technology, inventions, improvements, platforms, program candidates, therapeutic candidates and components thereof, their methods of use and processes for their manufacture that we believe are important to our business, including by obtaining, maintaining, defending and enforcing patent and other intellectual property rights for the foregoing in the United States and in foreign jurisdictions. We also rely on trade secrets and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confidentiality agreements to protect our confidential information and know-how and other aspects of our business that are not amenable to, or that we do not consider appropriate for, patent protection.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future commercial success depends in part on our ability to:</w:t>
      </w:r>
    </w:p>
    <w:p>
      <w:pPr>
        <w:spacing w:after="0" w:line="225" w:lineRule="exact"/>
        <w:rPr>
          <w:sz w:val="20"/>
          <w:szCs w:val="20"/>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enforce and defend patent and other intellectual property rights for our important technology, inventions and know-how; preserve the confidentiality of our trade secrets and other confidential information;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licenses to use and exploit intellectual property owned or controlled by third parties;</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misappropriating or otherwise violating any valid and enforceable patents and other intellectual property rights of third parties; and</w:t>
      </w:r>
    </w:p>
    <w:p>
      <w:pPr>
        <w:spacing w:after="0" w:line="161"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against challenges and assertions by third parties challenging the validity or enforceability of our intellectual property rights, or our rights in our intellectual property, or asserting that the operation of our business infringes, misappropriates or otherwise violates their intellectual property rights.</w:t>
      </w:r>
    </w:p>
    <w:p>
      <w:pPr>
        <w:spacing w:after="0" w:line="17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portfolio consists of owned and exclusively licensed patents and applications. As of March 6, 2024, there are 65 distinct patent families (39 families with non-provisional applications and 26 families with pending provisional applications) covering compositions of matter, manufacturing and uses related to our business. Among these patent families, we have 238 pending applications (including PCT, provisional and non-provisional applications) in the U.S. and Europe,as well as other countries of strategic value; and 73 granted patents in the U.S., Europe, China, India, Japan, and Hong Kong (including a total of 45 member state validations of three European patents). Of these pending applications and granted patents, the licensed patent applications are pending in U.S., Europe, China, Canada, Hong Kong, Japan, and Taiwan; and licensed patents are granted in the U.S., Europe, China, Japan, Taiwan, and Hong Kong.</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owned and licensed patent estate covers various aspects of our programs and technology, including various embodiments of our EEV Platform; proprietary enzyme, peptide, oligonucleotide and CRISPR conjugates; methods of treatment; and aspects of manufacturing. The portfolio includes patents covering certain embodiments of the EEV Platform that don’t relate to our lead therapeutic candidates with granted patents in the U.S. (3), India, Japan, China, Hong Kong and Europe (including 37 European validation states). The extent to which any patents, if and when granted, will cover our therapeutic candidates is uncertain. Any U.S. or foreign patents issued from national stage filings of our PCT patent applications and any U.S. patents issued from non-provisional applications we have filed or may file in connection with our provisional patent applications would be scheduled to expire on various dates from 2036 through 2044, without taking into account any possible patent term adjustments or extensions and assuming payment of all appropriate maintenance, renewal, annuity and other governmental fees.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Prosecution</w:t>
      </w:r>
    </w:p>
    <w:p>
      <w:pPr>
        <w:spacing w:after="0" w:line="227"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A PCT patent application is not eligible to become an issued patent until, among other things, we file one or more national stage patent applications in the jurisdictions in which we seek patent protection and do so within prescribed timelines of the PCT patent application’s priority date. These prescribed timelines are generally 30 months, 31 months or 32 months, depending on the jurisdiction. If we do not timely file any national stage patent applications, we may lose our priority date and any potential patent protection on the inventions disclosed in such PCT patent application.</w:t>
      </w:r>
    </w:p>
    <w:p>
      <w:pPr>
        <w:spacing w:after="0" w:line="180"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18"/>
          <w:szCs w:val="18"/>
          <w:color w:val="auto"/>
        </w:rPr>
        <w:t>Moreover, a provisional patent application is not eligible to become an issued patent. A provisional patent application may serve as a priority filing for a non-provisional patent application we file within 12 months of such provisional patent application. If we do not timely file non-provisional patent applications, we may lose our priority date with respect to our existing provisional patent applications and any potential patent protection on the inventions disclosed in our provisional patent applications.</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While we intend to timely file additional provisional patent applications, as well as national stage and non-provisional patent applications relating to our provisional applications or PCT patent applications, we cannot predict whether any of our patent applications will result in the issuance of patents. If we do not successfully obtain patent protection, or if the scope of the patent protection we or our licensors obtain with respect to our therapeutic candidates or technology is insufficient, we will be unable to use patent protection to prevent others from using our technology or from developing or commercializing technology and products similar or identical to ours or other similar competing products and technologies. Our ability to stop third parties from making, using, selling, offering to sell, importing or otherwise</w:t>
      </w:r>
    </w:p>
    <w:p>
      <w:pPr>
        <w:sectPr>
          <w:pgSz w:w="11900" w:h="16838" w:orient="portrait"/>
          <w:cols w:equalWidth="0" w:num="1">
            <w:col w:w="11220"/>
          </w:cols>
          <w:pgMar w:left="320" w:top="60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commercializing any of our technology, inventions and improvements, either directly or indirectly, will depend in part on our success in obtaining, maintaining, defending and enforcing patent claims that cover our technology, inventions and improvements.</w:t>
      </w:r>
    </w:p>
    <w:p>
      <w:pPr>
        <w:spacing w:after="0" w:line="16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patent positions of companies like ours are generally uncertain and involve complex legal and factual questions. The protection afforded by a patent varies on a product-by-product basis, from jurisdiction-to-jurisdiction, and depends upon many factors, including the type of patent, the scope of its coverage, the availability of patent term adjustments and regulatory-related patent term extensions, the availability of legal remedies in a particular jurisdiction, and the validity and enforceability of the patent. Patent laws and related enforcement in various jurisdictions outside of the United States are uncertain and may not protect our rights to the same extent as the laws of the United States. Changes in the patent laws and rules, whether by legislation, judicial decisions or regulatory interpretation, in the United States and other jurisdictions may have uncertain affects that could improve or diminish our ability to protect our inventions and obtain, maintain, defend and enforce our patent rights, and could therefore affect the value of our business in uncertain ways.</w:t>
      </w:r>
    </w:p>
    <w:p>
      <w:pPr>
        <w:spacing w:after="0" w:line="19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area of patent and other intellectual property rights in biotechnology is evolving and has many risks and uncertainties, and third parties may have blocking patents and other intellectual property that could be used to prevent us from commercializing our platform and therapeutic candidates and practicing our proprietary technology. Our patent rights may be challenged, narrowed, circumvented, invalidated or ruled unenforceable, which could limit our ability to stop third parties from marketing and commercializing related platforms or therapeutic candidates or limit the term of patents that cover our platform and any therapeutic candidates. In addition, the rights granted under any issued patents may not provide us with protection or competitive advantages against third parties with similar technology, and third parties may independently develop similar technologies.</w:t>
      </w:r>
    </w:p>
    <w:p>
      <w:pPr>
        <w:spacing w:after="0" w:line="18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Moreover, because of the extensive time required for development, testing and regulatory review of a potential product, it is possible that before any of our therapeutic candidates can be commercialized, any related patent may expire or remain in force for only a short period following commercialization, thereby reducing any competitive advantage provided by the patent. For this and other risks related to our proprietary technology, inventions, improvements, platforms and therapeutic candidates and intellectual property rights related to the foregoing, please see the section entitled “Risk Factors—Risks Related to Our Intellectual Property.”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Term</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term of individual patents depends upon the laws of the jurisdictions in which they are obtained. In most jurisdictions in which we file, the patent term is 20 years from the filing date of a PCT patent application or, if a PCT application is not filed, the earliest date of filing of the first non-provisional patent application to which the patent claims priority. However, the term of U.S. patents may be extended or adjusted for delays incurred due to compliance with FDA requirements or by delays encountered during prosecution that are caused by the United States Patent and Trademark Office (USPTO). For example, in the United States, a patent claiming a new chemical entity or biologic product, its method of use or its method of manufacture may be eligible for a limited patent term extension under the Drug Price Competition and Patent Term Restoration Act of 1984 (the Hatch-Waxman Act) for up to five years beyond the normal expiration date of the patent. Patent term extension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and within 60 days of FDA approval of the product. A patent that covers multiple products for which approval is sought can only be extended in connection with one of the approvals. During the period of extension, if granted, the scope of exclusivity is limited to the approved product for approved uses. Some foreign jurisdictions, including Europe and Japan, have analogous patent term extension provisions, which allow for extension of the term of a patent that covers a drug approved by the applicable foreign regulatory agency. For more information on patent term extensions, see “Business—Government Regulation—Patent Term Restoration and Extension and Marketing Exclusivity.” In the future, if and when any therapeutic candidates we may develop receive FDA approval, we expect to apply for patent term extensions on issued patents covering those therapeutic candidates. Moreover, we intend to seek patent term adjustments and extensions for any of our issued patents in any jurisdiction where such adjustments and extensions are available. However, there is no guarantee that the applicable authorities, including the USPTO and the FDA, will agree with our assessment of whether such adjustments and extensions should be granted, and even if granted, the length of such adjustments and extensions.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 Secrets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we also rely on trade secrets, know-how, unpatented technology and other proprietary information to strengthen our competitive position. We currently, and may continue in the future continue to, rely on third parties to assist us in developing and manufacturing our products. Accordingly, we must, at times, share trade secrets, know-how, unpatented technology and other proprietary information, including those related to our platform, with them. We may in the future also enter into research and development collaborations with third parties that may require us to share trade secrets, know-how, unpatented technology and other proprietary information under the terms of research and development partnerships or similar agreements. Nonetheless, we take steps to protect and preserve our trade secrets and other confidential and proprietary information and prevent the unauthorized disclosure of the foregoing, including by entering into non-disclosure and invention assignment agreements with parties who have access to our trade secrets or other confidential and proprietary information, such as employees, consultants, outside scientific collaborators, contract research and manufacturing organizations, sponsored researchers and other advisors, at the commencement of their employment, consulting or other relationships with us. In addition, we take other appropriate precautions, such as maintaining physical security of our premises and physical and electronic security of our information technology systems, to guard against any misappropriation or unauthorized disclosure of our trade secrets and other confidential and proprietary information by third parties.</w:t>
      </w:r>
    </w:p>
    <w:p>
      <w:pPr>
        <w:spacing w:after="0" w:line="19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Despite these efforts, third parties may independently develop substantially equivalent proprietary information and techniques or otherwise gain access to our trade secrets or other confidential or proprietary information. In addition, we cannot provide any assurances that all of the foregoing non-disclosure and invention assignment agreements have been duly executed, and any of the counterparties to such agreements may breach them and disclose our trade secrets and other confidential and proprietary information. Although we have confidence in the measures we take to protect and preserve our trade secrets and other confidential and proprietary information, they may be inadequate, our agreements or security measures may be breached, and we may not have adequate remedies for such breaches. Moreover, to the extent that our employees, contractors, consultants, collaborators and advisors use intellectual property owned by others in their work for us, disputes may arise as to our rights in any know-how or inventions arising out of such work. For more information, please see the section entitled “Risk Factors—Risks Related to Our Intellectual Property.”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 with The Ohio State University</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May 12, 2017, we entered into an option agreement with Ohio State Innovation Foundation (OSIF), an affiliate of The Ohio State University (OSU) responsible for the commercialization of technology developed at or created by or for OSU, in which the Company obtained an option (OSIF Option Agreement) to license all patents and patent applications involving technologies using cell-penetrating peptides arising out of or related to specified invention disclosures or through a sponsored research agreement executed with OSU on the same date (OSU SRA). On September 26, 2018, we exercised our option pursuant to the terms of the OSIF Option Agreement, and on December 14, 2018, we entered into a license agreement (OSIF License Agreement) for an exclusive, worldwide, sublicensable license under these patents and patent rights, and a non-exclusive, worldwide, sublicensable license under certain related know-how, to develop, commercialize or otherwise exploit products based on these cell-penetrating technologies for the treatment, prevention and diagnosis of any and all diseases or conditions. In addition, the OSIF License Agreement grants a worldwide, perpetual, irrevocable, fully-paid, royalty-free, sublicensable, exclusive license to any rights held by OSIF, OSU or its affiliates covering specifically identified cell-penetrating platform technology.</w:t>
      </w:r>
    </w:p>
    <w:p>
      <w:pPr>
        <w:spacing w:after="0" w:line="19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term of the OSIF License Agreement will continue until the later of (a) the expiration of the last to expire of the exclusively licensed patent rights, or (b) the end of our obligation to pay royalties under the OSIF License Agreement. Such obligation ends, on a licensed product-by-licensed product and country-by-country basis, on the later of (1) expiration of the last to expire of the valid claims of the exclusively licensed patent rights covering such licensed product in such country, or (2) ten (10) years after the first commercial sale of such licensed product in such country. The last to expire exclusively licensed patent rights and valid claim of such exclusively licensed patent rights are estimated to expire by 2042, excluding any patent term adjustments or extensions. Upon expiration of the OSIF License Agreement at the end of the royalty term, the Company will maintain all license rights as a perpetual and fully paid-up license. Both parties have the right to terminate under certain enumerated circumstances. At our option, we may terminate the OSIF License Agreement for any reason with ninety days’ (90) written notice, or if OSIF is in material breach, after providing thirty (30) days’ notice of termination. OSIF may terminate the agreement at its option immediately upon delivery of written notice if any specified events occur, including failure by the Company to make payments due under the agreement and if the Company is in material breach, in each case pursuant to specified cure periods.</w:t>
      </w:r>
    </w:p>
    <w:p>
      <w:pPr>
        <w:spacing w:after="0" w:line="194"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We have typical diligence obligations under the OSIF License Agreement, including the obligation to use commercially reasonable efforts to develop and commercialize at least one licensed product. We may also be obligated to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pay aggregate milestone payments of up to $7,950,000, tiered royalties on sales at low single digit percentages, a license maintenance fee of $25,000 per year beginning in 2021 and continuing until the first year in which commercial sales of a licensed product pursuant to the agreement commence. After such commercialization, we are required to make minimum annual payments of $125,000. In addition, in the event of a sublicense, under certain circumstances we may be required to pay up to 15% of non-royalty sublicensing consideration.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Excluding ENTR-501 and VX-670, we intend to retain significant development and commercial rights to our potential therapeutic candidates and, if marketing approval is obtained, to commercialize our therapeutic candidates on our own, or potentially with a partner, in the United States and other regions. We currently have no sales, marketing, or commercial product distribution capabilities. We intend to build the necessary infrastructure and capabilities over time for the United States, and potentially other regions, following further advancement of our therapeutic candidates. We believe that such a focused sales and marketing organization will be able to address the key specialists in treating the patient populations for which our therapeutic candidates are being developed. Clinical data, the size of the addressable patient population, and the size of the commercial infrastructure and manufacturing needs may all influence or alter our commercialization plans. The responsibilities of the marketing organization would include developing educational initiatives with respect to approved products and establishing relationships with researchers and practitioners in relevant fields of medicine.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do not own or operate manufacturing facilities. We currently rely on third-party contract manufacturing organizations (CMOs), and suppliers for EEVs, including linkers, and nucleotides that comprise ENTR-601-44, ENTR 601-45, ENTR-601-50, VX-670, our other potential therapeutic candidates, and the conjugation of these components, and we expect to continue to do so to support our IND-enabling studies and our clinical trials and commercial activities. However, we may seek to establish our own manufacturing facility for IND-enabling studies, clinical studies and long-term commercial supply. As we scale manufacturing, we intend to continue to expand and strengthen our network of CMOs. We believe there are multiple sources for all of the materials required for the manufacture of our therapeutic candidates, as well as multiple CMOs who could assemble the aforementioned components that comprise our potential therapeutic candidates.</w:t>
      </w:r>
    </w:p>
    <w:p>
      <w:pPr>
        <w:spacing w:after="0" w:line="18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Manufacturing is subject to extensive regulations that impose procedural and documentation requirements. These regulations govern record keeping, manufacturing processes and controls, personnel, quality control and quality assurance. Our CMOs are required to comply with these regulations and are assessed through regular monitoring and formal audits. Our third-party manufacturers are required to manufacture any therapeutic candidates we develop under current Good Manufacturing Practice (cGMP), requirements and other applicable laws and regulations.</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have personnel with extensive technical, manufacturing, analytical and quality experience to oversee all contracted manufacturing and testing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pricing, reimbursement, sales, quality control, approval, packaging, storage, recordkeeping, labeling, advertising, promotion, distribution, marketing, post-approval monitoring and reporting and import and export of drugs and biological products such as those we are developing. The processes for obtaining marketing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Licensure and Regulation of Drugs and Biologics in the United States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the United States, where we are initially focusing our product development, the FDA regulates drugs under the Federal Food, Drug, and Cosmetic Act (FDCA), and biologics under the FDCA and the Public Health Service Act (PHSA), and their implementing regulations. Both drugs and biologics are also subject to other federal, state and local statutes and regulations. Our therapeutic candidates are early-stage and have not been approved by the FDA for marketing in the United States. Based on our novel therapeutic approach and the broad potential applicability of our EEV Platform to deliver a variety of therapeutic modalities into cells, we are developing therapeutic candidates that would be regulated under the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FDCA, and/or the PHSA, and their implementing regulations, as drugs or biologics, depending on the modality of each product candidate. The failure to comply with the applicable U.S. requirements at any time during the product development process, including preclinical testing, clinical testing, the approval process, or post-approval process, may subject an applicant to delays in the conduct of the study, regulatory review and approval and/or administrative or judicial sanctions. These sanctions may include, but are not limited to, the FDA’s refusal to allow an applicant to proceed with clinical testing, refusal to approve pending applications, license suspension, or revocation, withdrawal of an approval, warning letters, adverse publicity, product recalls, product seizures, total or partial suspension of production or distribution, injunctions, fines and civil or criminal investigations and penalties brought by the FDA or the Department of Justice (DOJ), and other governmental entities, including state agencies.</w:t>
      </w:r>
    </w:p>
    <w:p>
      <w:pPr>
        <w:spacing w:after="0" w:line="18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An applicant seeking approval to market and distribute a new drug or biologic in the United States generally must satisfactorily complete each of the following steps: preclinical laboratory tests, animal studies and formulation studies all performed in accordance with the FDA’s Good Laboratory Practices (GLP) regulations, as applicable; completion of the manufacture, under current Good Manufacturing Practices (cGMP) conditions, of the drug substance and drug product that the sponsor intends to use in human clinical trials along with required analytical and stability testing; submission to the FDA of an IND, for human clinical testing, which must become effective before human clinical trials may begin; approval by an independent institutional review board (IRB), representing each clinical trial site before each clinical trial site may be initiated; performance of adequate and well-controlled human clinical trials, in accordance with current Good Clinical Practices (GCP), and any additional nonclinical studies required to establish the safety, efficacy, potency and purity of the product candidate for each proposed indication; preparation and submission to the FDA of a new drug application (NDA), or a Biologics License Application (BLA), for a biologic product, requesting marketing for one or more proposed indications, including submission of detailed information on the manufacture and composition of the product in clinical development and proposed labelling; review of the product by an FDA advisory committee, where appropriate or if applicable; satisfactory completion of one or more FDA inspections of the manufacturing facility or facilities, including those of third parties, at which the product, or components thereof, are produced to assess compliance with cGMP and to assure that the facilities, methods and controls are adequate to preserve the product’s identity, strength, quality and purity; satisfactory completion of any FDA audits of the preclinical studies and clinical trial sites to assure compliance with GLP, as applicable, and GCP, and the integrity of clinical data in support of the NDA or BLA; payment of user fees under the Prescription Drug User Fee Act (PDUFA); securing FDA approval of the NDA or BLA; and compliance with any post-approval requirements, including the potential requirement to implement a Risk Evaluation and Mitigation Strategy (REMS), and any post-approval studies or other post-marketing commitments required by the FDA.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 and IND Application</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Before testing any therapeutic product candidate in humans, the product candidate must undergo preclinical testing. Preclinical tests include laboratory evaluations of product chemistry, formulation and stability, as well as studies to evaluate the potential for efficacy and toxicity in animal studies. The conduct of the preclinical tests and formulation of the compounds for testing must comply with federal regulations and requirements. The results of the preclinical tests, together with manufacturing information and analytical data, are submitted to the FDA as part of an IND application.</w:t>
      </w:r>
    </w:p>
    <w:p>
      <w:pPr>
        <w:spacing w:after="0" w:line="180"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An IND is an exemption from the FDCA that allows an unapproved product candidate to be shipped in interstate commerce for use in a clinical trial and a request for FDA authorization to administer such investigational product to humans. The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In that case, the IND sponsor and the FDA must resolve any outstanding FDA concerns before the clinical trials can begin or recommence.</w:t>
      </w:r>
    </w:p>
    <w:p>
      <w:pPr>
        <w:spacing w:after="0" w:line="183"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As a result, submission of the IND may result in the FDA not allowing the trials to commence or allowing the trial to commence on the terms originally specified by the sponsor in the IND. If the FDA raises concerns or questions either during this initial 30-day period, or at any time during the IND review process, it may choose to impose a partial or complete clinical hold. Clinical holds may be imposed by the FDA when there is concern for patient safety, and may be a result of new data, findings, or developments in clinical, preclinical and/or chemistry, manufacturing and controls or where there is non-compliance with regulatory requirements. This order issued by the FDA would delay either a proposed clinical trial or cause suspension of an ongoing trial, until all outstanding concerns have been adequately addressed and the FDA has notified the company that investigations may proceed. A separate submission to an existing IND must also be made for each successive clinical trial conducted during drug development, and the FDA must grant permission, either explicitly or implicitly by not objecting, before each clinical trial can begin.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Clinical Trials in Support of an NDA or BLA</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candidate to healthy volunteers or patients with the disease or condition to be treated under the supervision of qualified investigators in accordance with GCP requirements. Clinical trials are conducted under protocols detailing, among other things, the objectives of the trial, inclusion and exclusion criteria, the parameters to be used in monitoring safety, and the effectiveness criteria to be evaluated. A protocol for each clinical trial and any subsequent protocol amendments must be submitted to the FDA as part of the IND.</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 sponsor who wishes to conduct a clinical trial outside the United States may, but need not, obtain FDA authorization to conduct the clinical trial under an IND. When a foreign clinical trial is conducted under an IND, all FDA IND requirements must be met unless waived. The FDA will accept a well-designed and well-conducted foreign clinical study not conducted under an IND if the study was conducted in accordance with GCP requirements, and the FDA is able to validate the data through an onsite inspection if deemed necessary. The GCP requirements encompass both ethical and data integrity standards for clinical trials. The FDA’s regulations are intended to help ensure the protection of human subjects enrolled in non-IND foreign clinical trials, as well as the quality and integrity of the resulting data. They further help ensure that non-IND foreign trials are conducted in a manner comparable to that required for clinical trials in the United States.</w:t>
      </w:r>
    </w:p>
    <w:p>
      <w:pPr>
        <w:spacing w:after="0" w:line="18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Further,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 The FDA, IRB, or the clinical trial sponsor may suspend or discontinue a clinical trial at any time for various reasons, including a finding that the clinical trial is not being conducted in accordance with GCP requirements or that the participants are being exposed to an unacceptable health risk. Clinical testing also must satisfy extensive GCP rules and the requirements for informed consent.</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Additionally, some clinical trials are overseen by an independent group of qualified experts organized by the clinical trial sponsor, known as a data safety monitoring board (DSMB), or data monitoring committee (DMC). This group may recommend continuation of the trial as planned, changes in trial conduct, or cessation of the trial at designated check points based on certain available data from the trial to which only the DSMB/DMC has access. Finally, certain clinical trials involving recombinant or synthetic nucleic acid molecules may be subject to review and approval of an Institutional Biosafety Committee (IBC), in accordance with NIH Guidelines for Research Involving Recombinant or Synthetic Nucleic Acid Molecules (NIH Guidelines). An IBC is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for recombinant or synthetic nucleic acid molecule research, many companies and other institutions not otherwise subject to the NIH Guidelines voluntarily follow them.</w:t>
      </w:r>
    </w:p>
    <w:p>
      <w:pPr>
        <w:spacing w:after="0" w:line="194"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Clinical trials typically are conducted in three sequential phases, but the phases may overlap or be combined. Additional studies may be required after approval.</w:t>
      </w:r>
    </w:p>
    <w:p>
      <w:pPr>
        <w:spacing w:after="0" w:line="162" w:lineRule="exact"/>
        <w:rPr>
          <w:sz w:val="20"/>
          <w:szCs w:val="20"/>
          <w:color w:val="auto"/>
        </w:rPr>
      </w:pPr>
    </w:p>
    <w:p>
      <w:pPr>
        <w:ind w:left="660" w:right="6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clinical trials are initially conducted in a limited population to test the product candidate for safety, including adverse effects, dose tolerance, absorption, metabolism, distribution, excretion and pharmacodynamics in healthy subjects or patients.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clinical trials are generally conducted in a limited patient population to identify possible adverse effects and safety risks, evaluate the 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175"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 typically proceed if the Phase 2 clinical trials demonstrate that a dose range of the product candidate is potentially effective and has an acceptable safety profile. Phase 3 clinical trials are generally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trial may be designed to</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deliver the data that regulatory authorities will use to decide whether or not to approve, and, if approved, how to appropriately label a therapeutic.</w:t>
      </w:r>
    </w:p>
    <w:p>
      <w:pPr>
        <w:spacing w:after="0" w:line="22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some cases, the FDA may approve an NDA or BLA for a product but require the sponsor to conduct additional clinical trials to further assess the product’s safety and effectiveness after approval. Such post-approval trials are typically referred to as Phase 4 clinical trials. These studies are used to gain additional experience from the treatment of patients in the intended therapeutic indication and to document a clinical benefit for products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The failure to exercise due diligence with regard to conducting Phase 4 clinical trials could result in withdrawal of approval for products.</w:t>
      </w:r>
    </w:p>
    <w:p>
      <w:pPr>
        <w:spacing w:after="0" w:line="187" w:lineRule="exact"/>
        <w:rPr>
          <w:sz w:val="20"/>
          <w:szCs w:val="20"/>
          <w:color w:val="auto"/>
        </w:rPr>
      </w:pPr>
    </w:p>
    <w:p>
      <w:pPr>
        <w:ind w:right="1140" w:firstLine="648"/>
        <w:spacing w:after="0" w:line="282" w:lineRule="auto"/>
        <w:rPr>
          <w:sz w:val="20"/>
          <w:szCs w:val="20"/>
          <w:color w:val="auto"/>
        </w:rPr>
      </w:pPr>
      <w:r>
        <w:rPr>
          <w:rFonts w:ascii="Times New Roman" w:cs="Times New Roman" w:eastAsia="Times New Roman" w:hAnsi="Times New Roman"/>
          <w:sz w:val="18"/>
          <w:szCs w:val="18"/>
          <w:color w:val="auto"/>
        </w:rPr>
        <w:t>Information about applicable clinical trials must be submitted within specific timeframes to the NIH for public dissemination on its ClinicalTrials.gov website.</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Under the Pediatric Research Equity Act of 2003, an NDA,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The FDCA requires that a sponsor who is planning to submit a marketing application for a product that includes a new active ingredient, new indication, new dosage form, new dosing regimen or new route of administration submit an initial Pediatric Study Plan (PSP), within sixty days of an end-of-Phase 2 meeting or as may be agreed between the sponsor and FDA. Those plans must contain an outline of the proposed pediatric study or studies the applicant plans to conduct, including study objectives and design, any deferral or waiver requests, and other information required by regulation. The sponsor and the FDA must reach agreement on the PSP. The FDA or the applicant may request an amendment to the plan at any time.</w:t>
      </w:r>
    </w:p>
    <w:p>
      <w:pPr>
        <w:spacing w:after="0" w:line="19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the Food and Drug Administration Safety and Innovation Act. Unless otherwise required by regulation, the pediatric data requirements do not apply to products with orphan designation.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Expanded Access to an Investigational Drug for Treatment Use</w:t>
      </w:r>
    </w:p>
    <w:p>
      <w:pPr>
        <w:spacing w:after="0" w:line="227" w:lineRule="exact"/>
        <w:rPr>
          <w:sz w:val="20"/>
          <w:szCs w:val="20"/>
          <w:color w:val="auto"/>
        </w:rPr>
      </w:pPr>
    </w:p>
    <w:p>
      <w:pPr>
        <w:ind w:right="100" w:firstLine="648"/>
        <w:spacing w:after="0" w:line="274" w:lineRule="auto"/>
        <w:rPr>
          <w:sz w:val="20"/>
          <w:szCs w:val="20"/>
          <w:color w:val="auto"/>
        </w:rPr>
      </w:pPr>
      <w:r>
        <w:rPr>
          <w:rFonts w:ascii="Times New Roman" w:cs="Times New Roman" w:eastAsia="Times New Roman" w:hAnsi="Times New Roman"/>
          <w:sz w:val="17"/>
          <w:szCs w:val="17"/>
          <w:color w:val="auto"/>
        </w:rPr>
        <w:t>Expanded access, sometimes called “compassionate use,” is the use of investigational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products for patients who may benefit from investigational therapies. FDA regulations allow access to investigational products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investigational product under a treatment protocol or treatment IND application.</w:t>
      </w:r>
    </w:p>
    <w:p>
      <w:pPr>
        <w:spacing w:after="0" w:line="173"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Expanded access may be appropriate when all of the following criteria apply: patient(s) have a serious or immediately life-threatening disease or condition, and there is no comparable or satisfactory alternative therapy to diagnose, monitor, or treat the disease or condition; patient enrollment in a clinical trial is not possible; the potential patient benefit justifies the potential risks of the treatment and the potential risks are not unreasonable in the context or condition to be treated; and the expanded use of the investigational drug for the requested treatment will not interfere with initiation, conduct, or completion of clinical investigations that could support marketing approval of the product or otherwise compromise the potential development of the product. There is no obligation for a sponsor to make its drug products available for expanded access; however, as required by the 21</w:t>
      </w:r>
      <w:r>
        <w:rPr>
          <w:rFonts w:ascii="Times New Roman" w:cs="Times New Roman" w:eastAsia="Times New Roman" w:hAnsi="Times New Roman"/>
          <w:sz w:val="8"/>
          <w:szCs w:val="8"/>
          <w:color w:val="auto"/>
        </w:rPr>
        <w:t>st</w:t>
      </w:r>
      <w:r>
        <w:rPr>
          <w:rFonts w:ascii="Times New Roman" w:cs="Times New Roman" w:eastAsia="Times New Roman" w:hAnsi="Times New Roman"/>
          <w:sz w:val="18"/>
          <w:szCs w:val="18"/>
          <w:color w:val="auto"/>
        </w:rPr>
        <w:t xml:space="preserve"> Century Cures Act (Cures Act), a sponsor must make its policy regarding evaluating and responding to expanded access requests publicly available.</w:t>
      </w:r>
    </w:p>
    <w:p>
      <w:pPr>
        <w:spacing w:after="0" w:line="18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addition, on May 30, 2018, the Right to Try Act was signed into law. The law, among other things, provides a federal framework for certain patients to access certain investigational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no obligation for a manufacturer to make its investigational products available to eligible patients as a result of the Right to Try Act.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Compliance with cGMP Requirements</w:t>
      </w:r>
    </w:p>
    <w:p>
      <w:pPr>
        <w:spacing w:after="0" w:line="22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Before approving an NDA or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The PHSA emphasizes the importance of manufacturing controls for products like biologics whose attributes cannot be precisely defined.</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Manufacturers and others involved in the manufacture and distribution of approved drugs and biologics, and those supplying products, ingredients, and components of them, must also register their establishments with the FDA and certain state agencies. Both domestic and foreign manufacturing establishments must register and provide additional information to the FDA upon their initial participation in the manufacturing process. Any product manufactured by or imported from a facility that has not registered, whether foreign or domestic, is deemed misbranded under the FDCA. Establishments may be subject to periodic unannounced inspections by government authorities to ensure compliance with cGMPs and other laws. Noncompliance with such requirements can lead to adverse findings by the FDA during these inspections; in instances of significant or continued noncompliance, such adverse findings can serve as the basis for additional regulatory action by the FDA, including but not limited to warning and “untitled” letters.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Review and Approval of an NDA or BLA</w:t>
      </w:r>
    </w:p>
    <w:p>
      <w:pPr>
        <w:spacing w:after="0" w:line="227"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results of product candidate development, preclinical testing and clinical trials, including negative or ambiguous results as well as positive findings, are submitted to the FDA as part of an NDA or BLA requesting approval to market the product. The NDA or BLA must contain extensive manufacturing information and detailed information on the composition of the product and proposed labeling as well as payment of a user fee. Under federal law, the submission of most NDAs and BLAs are subject to an application user fee. The sponsor of an approved NDA or BLA is also subject to an annual program fee. Certain exceptions and waivers are available for some of these fees, such as an exception from the application fee for products with orphan designation and a waiver for certain small businesses.</w:t>
      </w:r>
    </w:p>
    <w:p>
      <w:pPr>
        <w:spacing w:after="0" w:line="18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FDA has 60 days after submission of the application to conduct an initial review to determine whether to accept it for filing based on the agency’s threshold determination that it is sufficiently complete to permit substantive review. Once the submission has been accepted for filing, the FDA begins an in-depth review of the application. Under the goals and policies agreed to by the FDA under PDUFA, the FDA has ten months in which to complete its initial review of a standard application and respond to the applicant, and six months for a priority review of the application. The FDA does not always meet its PDUFA goal dates for standard and priority NDAs and BLAs. The review process may be significantly extended by FDA requests for additional information or clarification. The review process and the PDUFA goal date may be extended by three months if the FDA requests or if the applicant otherwise provides additional information or clarification regarding information already provided in the submission within the last three months before the PDUFA goal date.</w:t>
      </w:r>
    </w:p>
    <w:p>
      <w:pPr>
        <w:spacing w:after="0" w:line="19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FDA reviews an NDA or BLA to determine, among other things, whether the product is safe and effective and whether the facility in which it is manufactured, processed, packaged or held meets standards designed to assure the product’s continued safety, quality and purity. On the basis of the FDA’s evaluation of the application and accompanying information, including the results of the inspection of the manufacturing facilities and any FDA audits of preclinical and clinical trial sites to assure compliance with GCPs, the FDA may issue an approval letter or a complete response letter. An approval letter authorizes commercial marketing of the product with specific prescribing information for specific indications. If the application is not approved, the FDA will issue a complete response letter, which will contain the conditions that must be met in order to secure final approval of the application, and when possible, will outline recommended actions the sponsor might take to obtain approval of the application. Sponsors that receive a complete response letter have one year to submit to the FDA information that represents a complete response to the issues identified by the FDA. The FDA will then re-review the application, taking into consideration the response. Failure to respond to a complete response letter will serve as a withdrawal of an application. The FDA will not approve an application until issues identified in any complete response letters have been addressed.</w:t>
      </w:r>
    </w:p>
    <w:p>
      <w:pPr>
        <w:spacing w:after="0" w:line="19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FDA may also refer the application to an advisory committee for review, evaluation and recommendation as to whether the application should be approved. In particular, the FDA may refer applications for novel products or products that present difficult questions of safety or efficacy to an advisory committee.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If the FDA approves a new product, it may limit the approved indication(s) for use of the product. It may also require that contraindications, warnings, or precautions be included in the product labeling. In addition, the FDA may call for post-approval studies, including Phase 4 clinical trials, to further assess the product’s efficacy and/or safety after approval. The agency may also require testing and surveillance programs to monitor the product after commercialization, or impose other conditions, including distribution restrictions or other risk management mechanisms, including a REMS program, to help ensure that the benefits of the product outweigh the potential risks. A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Fast Track, Breakthrough Therapy and Priority Review</w:t>
      </w:r>
    </w:p>
    <w:p>
      <w:pPr>
        <w:spacing w:after="0" w:line="227"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FDA provides programs intended to facilitate and expedite development and review of new products that are intended to address an unmet medical need in the treatment of a serious or life-threatening disease or condition. These programs are referred to as fast track designation, breakthrough therapy designation, and priority review designation. These designations are not mutually exclusive, and a product candidate may qualify for one or more of these programs. While these programs are intended to expedite product development and approval, they do not alter the standards for FDA approval.</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FDA may designate a product for fast track designation if it is intended, whether alone or in combination with one or more other products, for the treatment of a serious or life-threatening disease or condition, and it demonstrates the potential to address unmet medical needs for such a disease or condition. For products with fast track designation, sponsors may have greater interactions with the FDA, the product is potentially eligible for accelerated approval and priority review, if relevant criteria are met, and the FDA may initiate review of sections of a product with fast track designation application before the application is complete. This rolling review may be available if the FDA determines, after preliminary evaluation of clinical data submitted by the sponsor, that a product with fast track designation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8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senior managers in the review process; assigning a cross-disciplinary lead for the review team; and taking other steps to design the clinical trials in an efficient manner. Breakthrough designation may be rescinded if a product no longer meets the qualifying criteria.</w:t>
      </w:r>
    </w:p>
    <w:p>
      <w:pPr>
        <w:spacing w:after="0" w:line="18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and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Priority review designation may be rescinded if a product no longer meets the qualifying criteria.</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Accelerated Approval Pathway</w:t>
      </w:r>
    </w:p>
    <w:p>
      <w:pPr>
        <w:spacing w:after="0" w:line="22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For the purposes of accelerated approval, a surrogate endpoint is a marker, such as a laboratory measurement, radiographic image, physical sign, or other measure that is thought to predict clinical benefit but is not itself a measure of clinical benefit. The FDA may also grant accelerated approval for such a condition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 Products granted accelerated approval must meet the same statutory standards for safety and effectiveness as those granted traditional approval.</w:t>
      </w:r>
    </w:p>
    <w:p>
      <w:pPr>
        <w:spacing w:after="0" w:line="19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70"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Under the Food and Drug Omnibus Reform Act of 2022 (FDORA) the FDA is now permitted to require, as appropriate, that such trials be underway prior to approval or within a specific time period after the date of approval for a product granted accelerated approval. Sponsors are also required to send updates to the FDA every 180 days on the status of such studies, including progress toward enrollment targets, and the FDA must promptly post this information publicly. Under FDORA, the FDA has increased authority for expedited procedures to withdraw approval of a drug or indication approved under accelerated approval if, for example, the sponsor fails to conduct such studies in a timely manner and send the necessary updates to the FDA, or if a confirmatory trial fails to verify the predicted clinical benefit of the product. In addition, for products being considered for accelerated approval, the FDA generally requires, unless otherwise informed by the agency, that all advertising and promotional materials intended for dissemination or publication within 120 days of marketing approval be submitted to the agency for review during the pre-approval review period.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227"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Orphan drug designation in the United States is designed to encourage sponsors to develop products intended for treatment of rare diseases or conditions. In the United States, a rare disease or condition is statutorily defined as a condition that affects fewer than 200,000 individuals in the United States or that affects 200,000 or more individuals in the United States and for which there is no reasonable expectation that the cost of developing and making available the biologic for the disease or condition will be recovered from sales of the product in the United States.</w:t>
      </w:r>
    </w:p>
    <w:p>
      <w:pPr>
        <w:spacing w:after="0" w:line="180"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Orphan drug designation qualifies a company for tax credits and market exclusivity for seven years following the date of the product’s marketing approval if granted by the FDA. An application for designation as an orphan product can be made any time prior to the filing of an application for approval to market the product. After the FDA grants orphan designation, the product must then go through the review and approval process like any other product.</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another sponsor’s marketing application for the same product for the same indication for seven years, except in certain limited circumstances. If a product designated as an orphan drug ultimately receives marketing approval for an indication broader than what was designated in its orphan drug application, it may not be entitled to exclusivity.</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or the sponsor is unable to provide sufficient quantities.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Exclusivity</w:t>
      </w:r>
    </w:p>
    <w:p>
      <w:pPr>
        <w:spacing w:after="0" w:line="2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Pediatric exclusivity is another type of non-patent marketing exclusivity in the United States and, if granted, provides for the attachment of an additional six months of marketing protection to the term of any existing regulatory exclusivity, including orphan exclusivity, for all formulations, dosage forms, and indications of the active moiety and, for drugs, patent terms. This six-month exclusivity may be granted if an NDA or BLA sponsor submits pediatric data that in accordance with an FDA-issued written request from the FDA for such data, provided that at the time pediatric exclusivity is granted there is not less than nine months of term remaining.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that cover the product are extended by six months.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Patent Term Restoration and Extension and Marketing Exclusivity</w:t>
      </w:r>
    </w:p>
    <w:p>
      <w:pPr>
        <w:spacing w:after="0" w:line="2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the United States, a patent claiming a new biologic product, its method of use or its method of manufacture may be eligible for a limited patent term extension under the Hatch-Waxman Act, which permits a patent extension of up to five years for patent term lost during product development and FDA regulatory review. Assuming grant of the patent for which the extension is sought, the restoration period for a patent covering a product is typically one-half the time between the effective date of the IND and the submission date of the NDA or BLA, plus the time between the submission date of the NDA or BLA and the ultimate approval date, except that the review period is reduced by any time during which the applicant failed to exercise due diligence. Patent term restoration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 patent that covers multiple products for which approval is sought can only be extended in connection with one of the approvals. The USPTO reviews and approves the application for any patent term extension in consultation with the FDA.</w:t>
      </w:r>
    </w:p>
    <w:p>
      <w:pPr>
        <w:spacing w:after="0" w:line="18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Marketing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Biosimilars and Exclusivity</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of 2010 (collectively, the ACA), which was signed into law in March 2010, included a subtitle called the Biologics Price Competition and Innovation Act of 2009 (BPCIA). The BPCIA established a regulatory scheme authorizing the FDA to approve biosimilars and interchangeable biosimilars. A biosimilar is a biological product that is highly similar to an existing FDA-licensed “reference product.” The FDA has issued multiple guidance documents outlining an approach to review and approval of biosimilars. 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9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Since the passage of the BPCIA, many states have passed laws or amendments to laws, including laws governing pharmacy practices, which are state regulated, to regulate the use of biosimilars.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Regulation</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If regulatory approval for marketing of a product or new indication for an existing product is obtained, the sponsor will be required to comply with all regular post-approval regulatory requirements as well as any post-approval requirements that the FDA have imposed as part of the approval process. The sponsor will be required to report certain adverse reactions and production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and applicable product tracking and tracing requirements. Accordingly, the sponsor and its third-party manufacturers must continue to expend time, money and effort in the areas of production and quality control to maintain compliance with cGMP regulations and other regulatory requirements.</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 biological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83"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withdrawal of the product from the market or product recalls;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225"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seizure or detention, or refusal to permit the import or export of products;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or patient populations that are not approved by the FDA, as reflected in the product’s prescribing information (known as “off-label” use). In the United States, healthcare professionals are generally permitted to prescribe drugs for such off-label uses because the FDA does not regulate the practice of medicine. However, FDA regulations impose rigorous restrictions on manufacturers’ communications, prohibiting the promotion of off-label uses.</w:t>
      </w:r>
    </w:p>
    <w:p>
      <w:pPr>
        <w:spacing w:after="0" w:line="18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If a company, including any agent of the company or anyone speaking on behalf of the company, is found to have promoted off-label uses, the company may become subject to adverse public relations and administrative and judicial enforcement by the FDA, the DOJ,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and State Data Privacy and Security Laws</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Under the federal Health Insurance Portability and Accountability Act of 1996 (HIPAA), the U.S. Department of Health and Human Services (HHS), has issued regulations to protect the privacy and security of protected health information (PHI),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as amended by the Health Information Technology for Economic and Clinical Health Act of 2009 or HITECH, and their regulations, including the final omnibus rule published on January 25, 2013, also imposes certain obligations on the business associates of covered entities that obtain protected health information in providing services to or on behalf of covered entities. In addition to federal privacy regulations, there are a number of state laws governing confidentiality and security of health information that are applicable to our business. In addition to possible federal administrative, civil and criminal penalties for HIPAA violations, state attorneys general are authorized to file civil actions for damages or injunctions in federal courts to enforce HIPAA and seek attorney’s fees and costs associated with pursuing federal civil actions. Accordingly, state attorneys general have brought civil actions seeking injunctions and damages resulting from alleged violations of HIPAA’s privacy and security rules. New laws and regulations governing privacy and security may be adopted in the future as well.</w:t>
      </w:r>
    </w:p>
    <w:p>
      <w:pPr>
        <w:spacing w:after="0" w:line="19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Additionally, California and numerous other states have recently enacted, or have proposed enacting, comprehensive consumer privacy laws that grant rights to data subjects and place increased privacy and security obligations on entities handling personal data of consumers or households. These laws mark the beginning of a trend toward more stringent privacy legislation in the U.S. and may increase our potential liability as well as adversely affect our business.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under such laws, it is possible that some of our current or future business activities, including certain clinical research, sales and marketing practices and the provision of certain items and services to our customers, could be subject to challenge under one or more of such privacy and data security laws. The heightening compliance environment and the need to build and maintain robust and secure systems to comply with different privacy compliance and/or reporting requirements in multiple jurisdictions could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increase the possibility that we may fail to comply fully with one or more of these requirements. If our operations are found to be in violation of any applicable privacy or data security laws or regulations, we may be subject to penalties, including potentially significant criminal, civil and administrative penalties, damages, fines, imprisonment, contractual damages, reputational harm, diminished profits and future earnings, additional reporting requirements and/or oversight if we become subject to a consent decree or similar agreement to resolve allegations of non-compliance with these laws, and the curtailment or restructuring of our operations, any of which could adversely affect our ability to operate our business and our results of operations. To the extent that we collect or otherwise process personal information, we may be subject to privacy or data protection laws that are in effect in such third countries foreign laws.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and Procedures Governing Approval of Medicinal Products Outside the United States</w:t>
      </w:r>
    </w:p>
    <w:p>
      <w:pPr>
        <w:spacing w:after="0" w:line="227"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commence clinical trials or marketing of the product in those countries or jurisdictions. For example, the process governing approval of medicinal products in the European Union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(MAA) and granting of a marketing authorization by these authorities before the product can be marketed and sold in the European Union.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Approval</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April 2014, the European Union adopted the new Clinical Trials Regulation (EU) No 536/2014, which came into effect on January 31, 2022 and repealed the Clinical Trials Directive 2001/20/EC. The Clinical Trial Regulation overhauled the previous system of approvals for clinical trials in the European Union. Specifically, the new legislation, which is directly applicable in all EU Member States (meaning no national implementing legislation in each Member State is required), aims at simplifying and streamlining the approval of clinical trials in the European Union, simplifying adverse-event reporting procedures, improving the supervision of clinical trials and increasing their transparency. The main characteristics of the Clinical Trials Regulation include: a streamlined application procedure via a single-entry point through the Clinical Trials Information System (CTIS); a single set of documents to be prepared and submitted for the application as well as simplified reporting procedures for clinical trial sponsors; and a harmonized procedure for the assessment of applications for clinical trials, which is divided in two parts (Part I contains scientific and medicinal product documentation and Part II contains the national and patient-level documentation). Part I is assessed by a coordinated review by the competent authorities of all EU Member States in which an application for authorization of a clinical trial has been submitted (Member States concerned) of a draft report prepared by a Reference Member State. Part II is assessed separately by each Member State concerned. Strict deadlines have been established for the assessment of clinical trial applications. The role of the relevant ethics committees in the assessment procedure continues to be governed by the national law of the applicable Member State, however, overall related timelines are defined by the Clinical Trials Regulation. Parties conducting certain clinical trials must, as in the United States, post clinical trial information in the European Union through the CTIS.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PRIME Designation in the European Union</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March 2016, the EMA launched an initiative to facilitate development of therapeutic candidates in indications, often rare, for which few or no therapies currently exist. The PRIority MEdicines (PRIME), scheme is intended to encourage drug development in areas of unmet medical need and provides accelerated assessment of products representing substantial innovation reviewed under the centralized procedure. Eligible products must target conditions for which there is an unmet medical need (there is no satisfactory method of diagnosis, prevention or treatment in the EU or, if there is, the new medicine will bring a major therapeutic advantage) and they must demonstrate the potential to address the unmet medical need by introducing new methods of therapy or improving existing ones. Products from small- and medium-sized enterprises may qualify for earlier entry into the PRIME scheme than larger companies. Many benefits accrue to sponsors of therapeutic candidates with PRIME designation, including but not limited to, early and proactive regulatory dialogue with the EMA, frequent discussions on clinical trial designs and other development program elements, and accelerated marketing authorisation application (MAA) assessment once a dossier has been submitted. Importantly, a dedicated EMA contact and rapporteur from the Committee for Medicinal Products for Human Use (CHMP), or Committee for Advanced Therapies are appointed early in the PRIME scheme facilitating increased understanding of the product at the EMA’s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Committee level. A kick-off meeting initiates these relationships and includes a team of multidisciplinary experts at the EMA to provide guidance on the overall development and regulatory strategies. Where, during the course of development, a medicine no longer meets the eligibility criteria, support under the PRIME scheme may be withdrawn.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Authorization</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To obtain a marketing authorization for a product under the European Union regulatory system, an applicant must submit an MAA, either under a centralized procedure administered by the EMA or one of the procedures administered by competent authorities in European Union Member States (decentralized procedure, national procedure, or mutual recognition procedure). A marketing authorization may be granted only to an applicant established in the European Union. Regulation (EC) No 1901/2006 provides that prior to obtaining a marketing authorization in the European Union, an applicant must demonstrate compliance with all measures included in an EMA-approved Pediatric Investigation Plan (PIP), covering all subsets of the pediatric population, unless the EMA has granted a product-specific waiver, class waiver or a deferral for one or more of the measures included in the PIP. The Paediatric Committee of the EMA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This requirement also applies when a company wants to add a new indication, pharmaceutical form or route of administration for a medicine that is already authorized. Products that are granted a marketing authorization with the results of the pediatric clinical trials conducted in accordance with the PIP (even where such results are negative) are eligible for six months’ supplementary protection certificate extension.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184"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by the European Commission that is valid for all European Union Member States and in the additional Member States of the European Economic Area (EEA) (i.e. Iceland, Liechtenstein and Norway). Pursuant to Regulation (EC) No. 726/2004, the centralized procedure is compulsory for specific products, including for medicines produced by certain biotechnological processes, products designated as orphan medicinal products, advanced therapy medical products (gene therapy, somatic cell therapy and tissue-engineered medicines) and products with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European Union, or for products that constitute a significant therapeutic, scientific or technical innovation or which are in the interest of public health in the European Union.</w:t>
      </w:r>
    </w:p>
    <w:p>
      <w:pPr>
        <w:spacing w:after="0" w:line="20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Under the centralized procedure in the European Union, the CHMP established at the EMA is responsible for conducting an initial assessment of a product. The maximum timeframe for the evaluation of an MAA is 210 days, excluding clock stops when additional information or written or oral explanation is to be provided by the applicant in response to questions of the CHMP. Clock stops may extend the timeframe of evaluation of a MAA considerably beyond 210 days. Where the CHMP gives a positive opinion, the EMA provides the opinion together with supporting documentation to the European Commission, who make the final decision to grant a marketing authorization, which is issued within 67 days of receipt of the EMA’s recommendation. Accelerated evaluation may be granted by the CHMP in exceptional cases, when a medicinal product is of major interest from the viewpoint of public health and, in particular,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188"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(RMS). The competent authority of the RMS prepares a draft assessment report, a draft summary of the product characteristics (SmPC), and a draft of the labeling and package leaflet, which are sent to the other Member States (referred to as the Concerned Member States (CMSs)) for their approval. If the CMSs raise no objections, based on a potential serious risk to public health, to the assessment, SmPC, labeling, or packaging proposed by the RMS, the product is subsequently granted a national MA in all the Member States (i.e., in the RMS and the CMSs).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90"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Now that the UK (which comprises Great Britain and Northern Ireland) has left the European Union, Great Britain is no longer be covered by centralized MAs (under the Northern Ireland Protocol, centralized MAs currently continue to be recognized in Northern Ireland). All medicinal products with an existing centralized MA were automatically converted to Great Britain MAs on January 1, 2021. On January 1, 2024, a new international recognition framework was put in place by the MHRA, under which the MHRA may have regard to decisions on the approval of a marketing authorization made by the EMA and certain other regulators when considering an application for a UK marketing authorization.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Data Protection in the European Union</w:t>
      </w:r>
    </w:p>
    <w:p>
      <w:pPr>
        <w:spacing w:after="0" w:line="214"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In the European Union, innovative medicinal products approved on the basis of a complete and independent data package qualify for eight years of data exclusivity upon marketing authorization and an additional two years of market exclusivity pursuant to Regulation (EC) No 726/2004, as amended, and Directive 2001/83/EC, as amended. Data exclusivity if granted, prevents applicants for authorization of generics or biosimilars of these innovative products from referencing the innovator’s preclinical and clinical trial data contained in the dossier of the reference product when applying for a generic (abbreviated) or biosimilar authorization for a period of eight years from the date on which the reference product was first authorized in the European Union. During the additional two-year period of market exclusivity, a generic or biosimilar MAA can be submitted and authorized, and the innovator’s data may be referenced, but no generic or biosimilar medicinal product can be marketed until the expiration of the market exclusivity.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are held to bring a significant clinical benefit in comparison with existing therapies. Even if a compound is considered to be an innovative medicinal product so that the innovator gains the prescribed period of data exclusivity, another company may market another version of the product if such company obtained marketing authorization based on an MAA with a complete and independent data package of pharmaceutical tests, preclinical tests and clinical trials.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22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Regulation (EC) No 141/2000 and Regulation (EC) No. 847/2000 provide that a product can be designated as an orphan drug by the European Commission if its sponsor can establish: that the product is intended for the diagnosis, prevention or treatment of (1) a life-threatening or chronically debilitating condition affecting not more than five in ten thousand persons in the European Union when the application is made, or (2) a life-threatening, seriously debilitating or serious and chronic condition in the European Union and that without incentives it is unlikely that the marketing of the drug in the European Union would generate sufficient return to justify the necessary investment in its development. For either of these conditions, the applicant must demonstrate that there exists no satisfactory method of diagnosis, prevention or treatment of the condition in question that has been authorized in the European Union or, if such method exists, the drug product would be of significant benefit to those affected by that condition.</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An orphan designation provides a number of benefits, including fee reductions, regulatory assistance and the possibility to apply for a centralized European Union marketing authorization. Marketing authorization for an orphan medical product leads to a ten-year period of market exclusivity being granted following marketing authorization of the orphan medical product. During this market exclusivity period, the EMA the European Commission or the Member States may only grant a marketing authorization to a “similar medicinal product” for the same therapeutic indication if: (i) a second applicant can establish that its product, although similar to the authorized product, is safer, more effective or otherwise clinically superior; (ii) the marketing authorization holder for the authorized product consents to a second orphan medicinal product application; or (iii) the marketing authorization holder for the authorized product cannot supply enough orphan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designation because, for example, the product is sufficiently profitable not to justify market exclusivity. Orphan designation must be requested before submitting an application for marketing approval. Orphan designation does not convey any advantage in, or shorten the duration of, the regulatory review and approval process.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Term Extensions in the European Union and Other Jurisdictions</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European Union also provides for patent term extension through supplementary protection certificates (SPCs). The rules and requirements for obtaining a SPC are similar to those in the United States. An SPC may extend the term of a patent for up to five years after its originally scheduled expiration date and can provide up to a maximum of fifteen years of marketing exclusivity for a product. In certain circumstances, these periods may be extended for six</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additional months if pediatric exclusivity is obtained. Although SPCs are available throughout the European Union, sponsors must apply on a country-by-country basis. Similar patent term extension rights exist in certain other foreign jurisdictions outside the European Union.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Periods of Authorization and Renewals</w:t>
      </w:r>
    </w:p>
    <w:p>
      <w:pPr>
        <w:spacing w:after="0" w:line="214"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A marketing authorization has an initial validity for five years, in principle, and it may be renewed after five years on the basis of a re-evaluation of the risk-benefit balance by the EMA (for a centrally authorized product) or by the competent authority of the authorizing Member State (for a nationally authorized product). To that end, the marketing authorization holder must provide the EMA or the competent authority with a consolidated version of the file in respect of quality, safety and efficacy, including all variations introduced since the marketing authorization was granted, at least nine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product on the European Union market (for a centrally authorized product) or on the market of the authorizing Member State (for a nationally authorized product) within three years after authorization, or if the product is removed from the market for three consecutive years, ceases to be valid (the so-called sunset clause).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Requirements After Marketing Authorization</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Following approval, the holder of the marketing authorization is required to comply with a range of requirements applicable to the manufacturing, marketing, promotion and sale of the medicinal product, and must adhere in strict compliance with the applicable EU laws, regulations and guidance, including Directive 2001/83/EC, Directive- (EU) 2017/1572, Regulation (EC) No 726/2004 and the European Commission Guidelines for Good Manufacturing Practice. These include compliance with the European Union’s stringent pharmacovigilance or safety reporting rules, pursuant to which post-authorization studies and additional monitoring obligations can be imposed. In addition, the manufacturing of authorized products, for which a separate manufacturer’s license is mandatory, must also be conducted in strict compliance with the EMA’s GMP requirements and comparable requirements of other regulatory bodies in the European Union, which mandate the methods, facilities and controls used in manufacturing, processing and packing of medical products to assure their safety and identity.</w:t>
      </w:r>
    </w:p>
    <w:p>
      <w:pPr>
        <w:spacing w:after="0" w:line="19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Much like the Anti-Kickback Statue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induce or reward improper performance generally is usually governed by the national anti-bribery laws of European Union Member States, and the Bribery Act 2010 in the UK.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European Union.</w:t>
      </w:r>
    </w:p>
    <w:p>
      <w:pPr>
        <w:spacing w:after="0" w:line="19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aforementioned EU rules are generally applicable in the EEA.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Reform of the Regulatory Framework in the European Union</w:t>
      </w:r>
    </w:p>
    <w:p>
      <w:pPr>
        <w:spacing w:after="0" w:line="241"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The European Commission introduced legislative proposals in April 2023 that, if implemented, will replace the current regulatory framework in the European Union for all medicines (including those for rare diseases and for children). The European Commission has provided the legislative proposals to the European Parliament and the European Council for their review and approval. In October 2023, the European Parliament published draft reports proposing amendments to the legislative proposals, which will be debated by the European Parliament. Once the European Commission's legislative proposals are approved (with or without amendment), they will be adopted into European Union law.</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United Kingdom</w:t>
      </w:r>
    </w:p>
    <w:p>
      <w:pPr>
        <w:spacing w:after="0" w:line="214"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The UK formally left the European Union on January 31, 2020, and the EU and the UK have concluded a trade and cooperation agreement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currently continues to apply in Northern Ireland). Except in respect of the new EU Clinical Trials Regulation, the regulatory regime in Great Britain therefore largely aligns with EU regulations, however it is possible that these regimes will diverge more significantly in future now that Great Britain’s regulatory system is independent from the EU and the TCA does not provide for mutual recognition of UK and EU pharmaceutical legislation. However, notwithstanding that there is no wholesale recognition of EU pharmaceutical legislation under the TCA, under a new international recognition procedure mentioned above, the MHRA may take into account decisions on the approval of a marketing authorization from the EMA (and certain other regulators) when considering an application for a Great Britain marketing authorization.</w:t>
      </w:r>
    </w:p>
    <w:p>
      <w:pPr>
        <w:spacing w:after="0" w:line="213"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will be responsible for approving all medicinal products destined for the UK market (i.e., Great Britain and Northern Ireland), and the EMA will no longer have any role in approving medicinal products destined for Northern Ireland. A single UK-wide marketing authorization will be granted by the MHRA for all medicinal products to be sold in the UK, enabling products to be sold in a single pack and under a single authorization throughout the UK. The Windsor Framework was approved by the EU-UK Joint Committee on March 24, 2023, so the UK government and the EU will enact legislative measures to bring it into law. On June 9, 2023, the MHRA announced that the medicines aspects of the Windsor Framework will apply from January 1, 2025.</w:t>
      </w:r>
    </w:p>
    <w:p>
      <w:pPr>
        <w:spacing w:after="0" w:line="20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once we begin to conduct business in the United Kingdom, we will be subject to stringent data protection laws that are in effect in the United Kingdom. As of January 1, 2021, the United Kingdom’s European Union (Withdrawal) Act 2018 incorporated the GDPR (as it existed on December 31, 2020 but subject to certain UK specific amendments) into UK law, referred to as the UK GDPR. The UK GDPR and the UK Data Protection Act 2018 set out the United Kingdom’s data protection regime, which is independent from but aligned to the European Union’s data protection regime. Non-compliance with the UK GDPR may result in monetary penalties of up to £17.5 million or 4% of worldwide revenue, whichever is higher.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Data Protection Regulation</w:t>
      </w:r>
    </w:p>
    <w:p>
      <w:pPr>
        <w:spacing w:after="0" w:line="227"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Once we begin processing of personal data regarding individuals in the European Union, including personal health data, our activities will be subject to the GDPR. The GDPR is wide-ranging in scope and imposes numerous requirements on companies that process personal data, including requirements relating to ensuring an appropriate legal basis and/or condition applies to the processing of personal data, the processing of sensitive date (such as health data), where required by law obtaining consent of the individuals to whom the personal data relates, providing information to individuals regarding data processing activities, implementing safeguards to protect the security and confidentiality of personal data, providing notification of data breaches, conducting data protection impact assessments for high risk processing and taking certain measures when engaging third-party processors. The GDPR also imposes strict rules on the transfer of personal data to countries outside the European Union, including the United States. Compliance with the GDPR will be a rigorous and time-intensive process that may increase the cost of doing business or require us to change our business practices to ensure full compliance.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Coverage, Pricing and Reimbursement</w:t>
      </w:r>
    </w:p>
    <w:p>
      <w:pPr>
        <w:spacing w:after="0" w:line="22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therapeutic candidates for which we may seek regulatory approval by the FDA or other government authorities. In the United States and markets in other countries, patients who are prescribed treatments for their conditions and providers performing the prescribed services generally rely on third-party payers to reimburse all or part of the associated healthcare costs. Patients are unlikely to use any therapeutic candidates we may develop unless coverage is provided and reimbursement is adequate to cover a significant portion of the cost of such therapeutic candidates. Even if any therapeutic candidates we may develop are approved, sales of such therapeutic candidates will depend, in part, on the extent to which third-party payers, including government health programs in the United States such as Medicare and Medicaid, commercial health insurers and managed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care organizations, provide coverage and establish adequate reimbursement levels for, such therapeutic candidates. The process for determining whether a payer will provide coverage for a product may be separate from the process for setting the price or reimbursement rate that the payer will pay for the product once coverage is approved. Third-party payers are increasingly challenging the prices charged, examining the medical necessity, and reviewing the cost-effectiveness of medical products and services and imposing controls to manage costs. Third-party payers may limit coverage to specific products on an approved list, also known as a formulary, which might not include all of the approved products for a particular indication. For more information, see “Risks Related to Commercialization of Our Therapeutic Candidates”.</w:t>
      </w:r>
    </w:p>
    <w:p>
      <w:pPr>
        <w:spacing w:after="0" w:line="187"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therapeutic candidates may not be considered medically necessary or cost effective. A decision by a third-party payer not to cover any therapeutic candidates we may develop could reduce physician utilization of such therapeutic candidates once approved and have a material adverse effect on our sales, results of operations and financial condition. Additionally, a payer’s decision to provide coverage for a product does not imply that an adequate reimbursement rate will be approved. Further, one payer’s determination to provide coverage for a product does not assure that other payers will also provide coverage and reimbursement for the product, and the level of coverage and reimbursement can differ significantly from payer to payer. Third-party reimbursement and coverage may not be available to enable us to maintain price levels sufficient to realize an appropriate return on our investment in product development. In addition, any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any companion diagnostics.</w:t>
      </w:r>
    </w:p>
    <w:p>
      <w:pPr>
        <w:spacing w:after="0" w:line="192"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containment of healthcare costs also has become a priority of federal, state and foreign governments and the prices of pharmaceuticals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8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Outside the United States, ensuring adequate coverage and payment for any therapeutic candidates we may develop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any therapeutic candidates we may develop to other available therapies. The conduct of such a clinical trial could be expensive and result in delays in our commercialization efforts.</w:t>
      </w:r>
    </w:p>
    <w:p>
      <w:pPr>
        <w:spacing w:after="0" w:line="18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(so-called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(arbitrage between low-priced and high-priced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 Law and Regulation</w:t>
      </w:r>
    </w:p>
    <w:p>
      <w:pPr>
        <w:spacing w:after="0" w:line="227"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 For more information, see “Risks Related to Our Business Operations and Industry”.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 Reform</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 For more information, see “Risks Related to Our Business Operations and Industry”.</w:t>
      </w:r>
    </w:p>
    <w:p>
      <w:pPr>
        <w:spacing w:after="0" w:line="16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21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the demand for any of our product candidates, if approved;</w:t>
      </w:r>
    </w:p>
    <w:p>
      <w:pPr>
        <w:spacing w:after="0" w:line="13"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the level of taxes that we are required to pay; and</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the availability of capital.</w:t>
      </w:r>
    </w:p>
    <w:p>
      <w:pPr>
        <w:spacing w:after="0" w:line="211"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231F20"/>
        </w:rPr>
        <w:t>We expect that additional United States federal healthcare reform measures will be adopted in the future, any of which could limit the amounts that the United States federal government will pay for healthcare drugs and services, which could result in reduced demand for our drug candidates or additional pricing pressures. 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As of March 6, 2024, we had 159 full-time employees, including a total of 75 employees with doctoral degrees or above. Of these full-time employees, 126 employees are engaged in research and development. None of our employees are represented by labor unions or covered by collective bargaining agreements. We consider our relationship with our employees to be good.</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The principal purposes of our equity and cash incentive plans are to attract, retain and reward personnel, whether existing employees or new hires, through the granting of stock-based and cash-based compensation awards. We believe that this increases value to our stockholders and the success of our company by motivating such individuals to perform to the best of their abilities and achieve our objectives.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We have, since our inception, worked to create a high-performing, inclusive and diverse workforce, which is a core element of our operating culture. We have deliberately sought to secure top talent with a diversity of thought, experiences and backgrounds who are committed to making a difference in the lives of patients, their families and caregivers. We believe that, by embracing differences, we have a unique advantage in challenging the status quo to apply innovative thinking to long-existing medical challenges. As of March 6, 2024, our workforce was self-reportedly approximately 56% women and approximately 52% Asian, Hispanic, Latino, Black or African American, and women or minorities made up 50% of our senior leadership, reflecting the workforce we strive to create throughout the company.</w:t>
      </w:r>
    </w:p>
    <w:p>
      <w:pPr>
        <w:spacing w:after="0" w:line="18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As the success of our business is fundamentally connected to the well-being of our employees, we are committed to their health, safety and wellness. We provide our employees and their families with access to convenient health and wellness programs, including benefits that provide protection and security giving them peace of mind concerning events that may require time away from work or that impact their financial well-being; and that offer choices where possible so they can customize their benefits to meet their needs and the needs of their families.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maintain an internet website at www.entradatx.com and make available free of charge through our website our Annual Reports on Form 10-K, Quarterly Reports on Form 10-Q, Current Reports on Form 8-K, including exhibits and amendments to those reports filed or furnished pursuant to Sections 13(a) and 15(d) of the Exchange Act of 1934, or the Exchange Act. We make these reports available through our website as soon as reasonably practicable after we electronically file such reports with, or furnish such reports to, the SEC. You can review our electronically filed reports and other information that we file with the SEC on the SEC’s web site at http://www.sec.gov.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In addition, we regularly use our website to post information regarding our business, product development programs and governance, and we encourage investors to use our website, particularly the information in the section entitled “Investor Relations,” as a source of information about us.</w:t>
      </w:r>
    </w:p>
    <w:p>
      <w:pPr>
        <w:spacing w:after="0" w:line="18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information on our website is not incorporated by reference into this Annual Report on Form 10-K and should not be considered to be a part of this Annual Report on Form 10-K. Our website address is included in this Annual Report on Form 10-K as an inactive technical reference only.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applied for various trademarks that we use in connection with the operation of our business. This Annual Report may also contain trademarks, service marks and trade names of third parties, which are the property of their respective owners. Our use or display of third parties’ trademarks, service marks, trade names or products in this Annual Report is not intended to, and does not imply a relationship with, or endorsement or sponsorship by us. Solely for convenience, the trademarks, service marks and trade names referred to in this Annual Report may appear without the ®, TM or SM symbols, but the omission of such references is not intended to indicate, in any way, that we will not assert, to the fullest extent under applicable law, our rights or that the applicable owner of these trademarks, service marks and trade names will not assert, to the fullest extent under applicable law, its rights.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In evaluating the Company and our business, careful consideration should be given to the following risk factors, in addition to the other information set forth in this Annual Report on Form 10-K (Annual Report) and in other documents that we file with the Securities and Exchange Commission (SEC). Investing in our common stock involves a high degree of risk. If any of the following risks are realized, our business, financial condition, results of operations and prospects could be materially and adversely affected. In that event, the trading price of our common stock could decline and you could lose part or all of your investment. Unless otherwise indicated, reference in this section and elsewhere in this Annual Report to our business being adversely affected, negatively impacted or harmed will include an adverse effect on, or a negative impact or harm to, the business, reputation, financial condition, results of operations, revenue and our future prospects. The material and other risks and uncertainties summarized above and described below are not intended to be exhaustive and are not the only ones we face. Additional risks and uncertainties not presently known to us or that we currently deem immaterial may also impair our business operations. This Annual Report also contains forward-looking statements that involve risks and uncertainties. Our actual results could differ materially from those anticipated in the forward-looking</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statements as a result of a number of factors, including the risks described below. See the section titled “Cautionary Note Regarding Forward-Looking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212"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have incurred significant operating losses since our inception and expect to incur significant losses for the foreseeable future. We may never generate any revenue from product sales or become profitable or, if we achieve profitability, we may not be able to sustain it.</w:t>
      </w:r>
    </w:p>
    <w:p>
      <w:pPr>
        <w:spacing w:after="0" w:line="176"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Biopharmaceutical product development is a highly speculative undertaking and involves a substantial degree of risk. We are a biopharmaceutical company with a limited operating history upon which our stockholders can evaluate our business and prospects. Most of our development programs, with the exception of ENTR-601-44 and our partnered candidate VX-670, but including ENTR-601-45 and ENTR-601-50, are in preclinical development or in the drug discovery stage. We commenced operations in 2016, and to date, we have focused primarily on organizing and staffing our company, business planning, raising capital, developing our proprietary, highly versatile and modular Endosomal Escape Vehicle (EEV) platform (EEV Platform), identifying EEV therapeutic candidates, establishing our intellectual property portfolio and conducting research and preclinical studies. Our approach to the discovery and development of therapeutic candidates based on our EEV Platform is unproven, and we do not know whether we will be able to conduct clinical studies on any of our therapeutic candidates beyond ENTR-601-44, develop any therapeutic candidates that succeed in clinical development or produce products of commercial value. As an organization, we have not yet completed any clinical trials, obtained regulatory approvals, manufactured a clinical- or commercial-scale product, or arranged for a third party to do so on our behalf, or conducted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spacing w:after="0" w:line="190"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We do not have any products approved for sale and have not generated any product revenue since our inception. If our therapeutic candidates are not successfully developed and approved, we may never generate any significant revenue from product sales. We have incurred significant net losses since inception. As of December 31, 2023, we had an accumulated deficit of 195.0 million. Substantially all of our losses have resulted from expenses incurred in connection with our research and development programs and from general and administrative costs associated with our operations. All of our therapeutic candidates will require substantial additional development time and resources before we would be able to apply for or receive regulatory approvals and begin generating revenue from product sales. We expect to continue to incur losses for the foreseeable future, and we anticipate these losses will increase substantially as we continue our development of, seek regulatory approval for and potentially commercialize any of our therapeutic candidates.</w:t>
      </w:r>
    </w:p>
    <w:p>
      <w:pPr>
        <w:spacing w:after="0" w:line="187"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preclinical studies and clinical trials of our therapeutic candidates, identifying lead therapeutic candidates, discovering additional therapeutic candidates, conducting preclinical studies prior to submitting an Investigational new Drug (IND) application, obtaining clearance for INDs, obtaining regulatory approval for these therapeutic candidates and manufacturing, marketing and selling any products for which we may obtain regulatory approval. We are only in the preliminary stages of most of these activities. We may not succeed in completing necessary activities and regulatory approvals necessary to bring a product to market and, even if we do, may never generate revenues that are significant enough to achieve profitability. In addition, we have not yet demonstrated an ability to successfully overcome many of the risks and uncertainties frequently encountered by companies in new and rapidly evolving fields, particularly in the biopharmaceutical industry. Because of the numerous risks and uncertainties associated with biopharmaceutical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 efforts, diversify our therapeutic candidates or even continue our operations. A decline in the value of our company could also cause our stockholders to lose all or part of their investment.</w:t>
      </w:r>
    </w:p>
    <w:p>
      <w:pPr>
        <w:spacing w:after="0" w:line="189"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Our limited operating history may make it difficult to evaluate our technology and industry and predict our future performance. Though several groups have conducted or are conducting studies involving the intracellular delivery of therapeutic molecules, the relevance of those studies to the evaluation of therapeutic candidates developed using our EEV Platform may be difficult to ascertain. Our short history as an operating company and novel therapeutic approach make any assessment of our future success or viability subject to significant uncertainty. We will encounter risks and difficulties frequently experienced by earlier stage companies in rapidly evolving fields. Failure to address these risks successfully will cause our business to suffer. Similarly, we expect that our financial condition and operating results will fluctuate significantly from quarter to quarter and year to year due to a variety of factors, many of which are beyond our control. As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result, our stockholders should not rely upon the results of any quarterly or annual period as an indicator of future operating performance.</w:t>
      </w:r>
    </w:p>
    <w:p>
      <w:pPr>
        <w:spacing w:after="0" w:line="212"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In addition, as an early clinical-stage company, we have encountered unforeseen expenses, difficulties, complications, delays and other known and unknown circumstances. As we advance our EEV therapeutic candidates, we will need to continue our transition from a company with a research focus to a company supporting clinical development and if successful, capable of supporting commercial activities. We may not continue to be successful in our transition.</w:t>
      </w:r>
    </w:p>
    <w:p>
      <w:pPr>
        <w:spacing w:after="0" w:line="177"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financing to achieve our goals, and a failure to obtain this necessary capital when needed on acceptable terms, or at all, could force us to delay, limit, reduce or terminate our development programs, commercialization efforts or other operations.</w:t>
      </w:r>
    </w:p>
    <w:p>
      <w:pPr>
        <w:spacing w:after="0" w:line="158"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The development of biopharmaceutical therapeutic candidates is capital-intensive. We expect our expenses to increase in connection with our ongoing activities, particularly as we conduct our ongoing and planned preclinical studies of our development programs, continue to initiate clinical trials for our therapeutic candidates and seek regulatory approval for our current therapeutic candidates and any future therapeutic candidates we may develop. If we obtain regulatory approval for any of our therapeutic candidates, we also expect to incur significant commercialization expenses related to product manufacturing, marketing, sales and distribution. Because the outcome of any preclinical study or clinical trial is highly uncertain, we cannot reasonably estimate the actual amounts necessary to successfully complete the development and commercialization of our therapeutic candidates. Furthermore, we expect to incur additional costs associated with operating as a public company. Accordingly, we will need to obtain substantial additional funding in connection with our continuing operations. Failing to raise capital when needed or on attractive terms could force us to delay, reduce or eliminate our research and development programs or any future commercialization efforts.</w:t>
      </w:r>
    </w:p>
    <w:p>
      <w:pPr>
        <w:spacing w:after="0" w:line="18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We believe that our cash, cash equivalents and marketable securities as of December 31, 2023, together with ongoing research support and the anticipated achievement of certain milestones under the Vertex Agreement will be sufficient to extend our cash runway through the second quarter of 2026, supporting the Company's expansion and continued development of EEV therapeutic candidates targeting Duchenne muscular dystrophy and advance EEV-therapeutic candidates in indications beyond neuromuscular disease. We have based this estimate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 private equity or debt financings or other capital sources, including potentially additional collaborations, licenses and other similar arrangements. In addition, we may seek additional capital due to favorable market conditions or strategic considerations even if we believe we have sufficient funds for our current or future operating plans. For example, in September 2023, we entered into a sales agreement (the Sales Agreement) with Cowen and Company, LLC acting as our agent and/or principal (the Sales Agent), with respect to an "at the market offering" program under which we may offer and sell, from time to time, at our sole discretion, shares of common stock having an aggregate offering price of up to $150.0 million through the Sales Agent. However, there can be no assurance that the Sales Agent will be successful in consummating future sales based on prevailing market conditions or in the quantities or at the prices that we deem appropriate. Attempting to secure additional financing may divert our management from our day-to-day activities, which may adversely affect our ability to develop our therapeutic candidates. Our future capital requirements will depend on many factors, including, but not limited to:</w:t>
      </w:r>
    </w:p>
    <w:p>
      <w:pPr>
        <w:spacing w:after="0" w:line="80" w:lineRule="exact"/>
        <w:rPr>
          <w:sz w:val="20"/>
          <w:szCs w:val="20"/>
          <w:color w:val="auto"/>
        </w:rPr>
      </w:pPr>
    </w:p>
    <w:p>
      <w:pPr>
        <w:ind w:left="660" w:right="74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number, scope, progress, expansions, results, costs and timing of our preclinical studies and any clinical trials of the therapeutic candidates that we are pursuing or may choose to pursue in the future;</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development plans we establish for our EEV therapeutic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our therapeutic candidates and commercial manufacturing if any therapeutic candidate is approved;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and maintaining clinical and commercial supply for the development and manufacture of our therapeutic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therapeutic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establishing and maintaining collaborations, licenses and other similar arrangements;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obtaining, maintaining and enforcing our patents and other intellectual property rights;</w:t>
      </w:r>
    </w:p>
    <w:p>
      <w:pPr>
        <w:spacing w:after="0" w:line="90" w:lineRule="exact"/>
        <w:rPr>
          <w:rFonts w:ascii="Times New Roman" w:cs="Times New Roman" w:eastAsia="Times New Roman" w:hAnsi="Times New Roman"/>
          <w:sz w:val="18"/>
          <w:szCs w:val="18"/>
          <w:color w:val="auto"/>
        </w:rPr>
      </w:pPr>
    </w:p>
    <w:p>
      <w:pPr>
        <w:ind w:left="660" w:right="58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to satisfy our obligations as a public company, including enhanced internal controls over financial reporting;</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our preclinical and clinical activities increase;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collaboration agreements, if any;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if any therapeutic candidate is approved;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regulatory approval, revenue, if any, received from commercial sales of our therapeutic candidates;</w:t>
      </w:r>
    </w:p>
    <w:p>
      <w:pPr>
        <w:spacing w:after="0" w:line="10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establishing and maintaining collaborations, licenses and other similar arrangements;</w:t>
      </w:r>
    </w:p>
    <w:p>
      <w:pPr>
        <w:spacing w:after="0" w:line="103"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including enforcing and defending intellectual property related claims; and</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costs of operating as a public company.</w:t>
      </w:r>
    </w:p>
    <w:p>
      <w:pPr>
        <w:spacing w:after="0" w:line="212"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Identifying potential therapeutic candidates and conducting preclinical studies and clinical trials is a time-consuming, expensive and uncertain process that takes years to complete, and we may never generate the necessary data or results required to obtain regulatory approval and commercialize our therapeutic candidates. In addition, our therapeutic candidates, if approved, may not achieve commercial success. Our commercial revenues, if any, will be derived from sales of products that we do not expect to be commercially available for many years, if at all.</w:t>
      </w:r>
    </w:p>
    <w:p>
      <w:pPr>
        <w:spacing w:after="0" w:line="16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Accordingly, we will need to continue to rely on additional financing to achieve our business objectives. Adequate additional financing may not be available to us on acceptable terms, or at all.</w:t>
      </w:r>
    </w:p>
    <w:p>
      <w:pPr>
        <w:spacing w:after="0" w:line="158"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158" w:lineRule="exact"/>
        <w:rPr>
          <w:sz w:val="20"/>
          <w:szCs w:val="20"/>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185"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16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Furthermore, our operating results may fluctuate due to a variety of other factors, many of which are outside of our control and may be difficult to predict, including the following:</w:t>
      </w:r>
    </w:p>
    <w:p>
      <w:pPr>
        <w:spacing w:after="0" w:line="54" w:lineRule="exact"/>
        <w:rPr>
          <w:sz w:val="20"/>
          <w:szCs w:val="20"/>
          <w:color w:val="auto"/>
        </w:rPr>
      </w:pPr>
    </w:p>
    <w:p>
      <w:pPr>
        <w:ind w:left="660" w:right="2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programs, which will change from time to time;</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and the timing of enrollment;</w:t>
      </w:r>
    </w:p>
    <w:p>
      <w:pPr>
        <w:spacing w:after="0" w:line="103"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current therapeutic candidates and any future therapeutic candidates, which may vary depending on the U.S. Food and Drug Administration (FDA), the European Medicines Agency (EMA) or other comparable foreign regulatory authority guidelines and requirements, the quantity of production and the terms of our agreements with manufacturers;</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acquire or develop additional therapeutic candidates and technologies or other assets;</w:t>
      </w:r>
    </w:p>
    <w:p>
      <w:pPr>
        <w:spacing w:after="0" w:line="103"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preclinical studies and clinical trials for ENTR-601-44, ENTR-601-45, ENTR-601-50, our partnered candidate VX-670 and any therapeutic candidates from our discovery programs, or competing therapeutic candidates;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conduct unanticipated clinical trials or trials that are larger or more complex than anticipated;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right="12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and potential future products that compete with ENTR-601-44, ENTR-601-45, ENTR-601-50, our partnered candidate VX-670 or any of our discovery programs, and changes in the competitive landscape of our industry, including consolidation among our competitors or partners;</w:t>
      </w:r>
    </w:p>
    <w:p>
      <w:pPr>
        <w:spacing w:after="0" w:line="68" w:lineRule="exact"/>
        <w:rPr>
          <w:rFonts w:ascii="Times New Roman" w:cs="Times New Roman" w:eastAsia="Times New Roman" w:hAnsi="Times New Roman"/>
          <w:sz w:val="18"/>
          <w:szCs w:val="18"/>
          <w:color w:val="auto"/>
        </w:rPr>
      </w:pPr>
    </w:p>
    <w:p>
      <w:pPr>
        <w:ind w:left="660" w:right="44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or approval of ENTR-601-44, ENTR-601-45, ENTR-601-50, our partnered candidate VX-670 or therapeutic candidates from any of our discovery programs;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of our therapeutic candidates, if approved, which may fluctuate significantly and be difficult to predict;</w:t>
      </w:r>
    </w:p>
    <w:p>
      <w:pPr>
        <w:spacing w:after="0" w:line="103" w:lineRule="exact"/>
        <w:rPr>
          <w:rFonts w:ascii="Times New Roman" w:cs="Times New Roman" w:eastAsia="Times New Roman" w:hAnsi="Times New Roman"/>
          <w:sz w:val="18"/>
          <w:szCs w:val="18"/>
          <w:color w:val="auto"/>
        </w:rPr>
      </w:pPr>
    </w:p>
    <w:p>
      <w:pPr>
        <w:ind w:left="660" w:right="180" w:hanging="328"/>
        <w:spacing w:after="0" w:line="296" w:lineRule="auto"/>
        <w:tabs>
          <w:tab w:leader="none" w:pos="65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risk/benefit profile, cost and reimbursement policies with respect to our therapeutic candidates, if approved, and existing and potential future products that compete with ENTR-601-44, ENTR-601-45, ENTR-601-50, our partnered candidate VX-670 or any of our discovery programs;</w:t>
      </w:r>
    </w:p>
    <w:p>
      <w:pPr>
        <w:spacing w:after="0" w:line="30" w:lineRule="exact"/>
        <w:rPr>
          <w:rFonts w:ascii="Times New Roman" w:cs="Times New Roman" w:eastAsia="Times New Roman" w:hAnsi="Times New Roman"/>
          <w:sz w:val="17"/>
          <w:szCs w:val="17"/>
          <w:color w:val="auto"/>
        </w:rPr>
      </w:pPr>
    </w:p>
    <w:p>
      <w:pPr>
        <w:ind w:left="660" w:right="300" w:hanging="328"/>
        <w:spacing w:after="0" w:line="296" w:lineRule="auto"/>
        <w:tabs>
          <w:tab w:leader="none" w:pos="65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or our partners' ability to commercialize ENTR-601-44, ENTR-601-45, ENTR-601-50, our partnered candidate VX-670 or therapeutic candidates from any of our discovery programs, if approved, inside and outside of the U.S., either independently or working with third parties;</w:t>
      </w:r>
    </w:p>
    <w:p>
      <w:pPr>
        <w:spacing w:after="0" w:line="30"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licensing or other arrangements;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support future growth;</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that increase our costs or expenses;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United States and global economic and political environment.</w:t>
      </w:r>
    </w:p>
    <w:p>
      <w:pPr>
        <w:spacing w:after="0" w:line="212" w:lineRule="exact"/>
        <w:rPr>
          <w:sz w:val="20"/>
          <w:szCs w:val="20"/>
          <w:color w:val="auto"/>
        </w:rPr>
      </w:pPr>
    </w:p>
    <w:p>
      <w:pPr>
        <w:ind w:right="140" w:firstLine="648"/>
        <w:spacing w:after="0" w:line="241" w:lineRule="auto"/>
        <w:rPr>
          <w:sz w:val="20"/>
          <w:szCs w:val="20"/>
          <w:color w:val="auto"/>
        </w:rPr>
      </w:pPr>
      <w:r>
        <w:rPr>
          <w:rFonts w:ascii="Times New Roman" w:cs="Times New Roman" w:eastAsia="Times New Roman" w:hAnsi="Times New Roman"/>
          <w:sz w:val="18"/>
          <w:szCs w:val="18"/>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Regulatory Approval of Our Therapeutic Candidates</w:t>
      </w:r>
    </w:p>
    <w:p>
      <w:pPr>
        <w:spacing w:after="0" w:line="21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and as a result it will be years before we commercialize a therapeutic candidate, if ever. If we are unable to identify and advance therapeutic candidates through preclinical studies and/or clinical trials, obtain marketing approval and ultimately commercialize them, or experience significant delays in doing so, our business will be materially harmed.</w:t>
      </w:r>
    </w:p>
    <w:p>
      <w:pPr>
        <w:spacing w:after="0" w:line="6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We are early in our development efforts and all our development programs, including our lead therapeutic candidates ENTR-601-44 and our partnered candidate VX-670, which are in the early clinical stage, and ENTR-601-45 and ENTR-601-50, which are in the preclinical or drug discovery stage. We have invested substantially all of our research efforts to date in developing our EEV Platform, identifying potential therapeutic candidates, conducting preclinical studies, and initiating early clinical studies. As an organization, we have never completed any clinical trials or submitted an application for regulatory approval, and we may be unable to do so for our therapeutic candidates. The INDs for ENTR-601-44 and VX-670 have not yet been allowed to proceed in the United States, and we have not completed IND-enabling studies for our other candidates. We, or our partner as applicable, will need to complete these steps to support the progression of ENTR-601-44, ENTR-601-45, ENTR-601-50, and VX-670 into and/or through clinical studies in the United States. In addition, we have a development portfolio of programs that are in earlier stages of development and have not yet initiated or completed IND-enabling studies. We may never advance any therapeutic candidates through IND-enabling studies and receive authorization from the FDA, to proceed under an IND prior to initiating their clinical-stage development. Our ability to generate product revenue, which we do not expect will occur for many years, if ever, will depend heavily on the successful development and eventual commercialization of our therapeutic candidates, which may never occur. We currently generate no revenue from sales of any product, and we may never be able to develop or commercialize a marketable product.</w:t>
      </w:r>
    </w:p>
    <w:p>
      <w:pPr>
        <w:spacing w:after="0" w:line="82"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Commencing clinical trials in the United States is subject to acceptance by the FDA of an IND and finalizing the trial design based on discussions with the FDA and other regulatory authorities. For the FDA to accept an IND, we must complete Good Laboratory Practices (GLP) studies, which may not be successful or may take longer than we expect. The FDA may require us to complete additional preclinical studies or we may be required to satisfy other FDA requests prior to commencing clinical trials, and such requests may not currently be known or anticipated, which may cause the start of our first clinical trials to be delayed or prevent us from conducting clinical trials. For example, the FDA has placed</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ENTR-601-44 on clinical hold and requested that we gather and submit additional information regarding ENTR-601-44. Even after we receive and incorporate guidance from these regulatory authorities, the FDA or other regulatory authorities could disagree that we have satisfied their requirements to commence any clinical trial or change their position on the acceptability of our trial design or the clinical endpoints selected, including with respect to ENTR-601-44, which may require us to complete additional preclinical studies or clinical trials, impose stricter approval conditions than we currently expect or may prevent us from conducting clinical trials. There are equivalent processes and risks applicable to clinical trial applications in other countries, including countries in the European Union (EU).</w:t>
      </w:r>
    </w:p>
    <w:p>
      <w:pPr>
        <w:spacing w:after="0" w:line="184" w:lineRule="exact"/>
        <w:rPr>
          <w:sz w:val="20"/>
          <w:szCs w:val="20"/>
          <w:color w:val="auto"/>
        </w:rPr>
      </w:pPr>
    </w:p>
    <w:p>
      <w:pPr>
        <w:jc w:val="both"/>
        <w:ind w:right="320" w:firstLine="648"/>
        <w:spacing w:after="0" w:line="250" w:lineRule="auto"/>
        <w:rPr>
          <w:sz w:val="20"/>
          <w:szCs w:val="20"/>
          <w:color w:val="auto"/>
        </w:rPr>
      </w:pPr>
      <w:r>
        <w:rPr>
          <w:rFonts w:ascii="Times New Roman" w:cs="Times New Roman" w:eastAsia="Times New Roman" w:hAnsi="Times New Roman"/>
          <w:sz w:val="18"/>
          <w:szCs w:val="18"/>
          <w:color w:val="auto"/>
        </w:rPr>
        <w:t>Commercialization of any therapeutic candidates we may develop will require preclinical and clinical development; regulatory and marketing approval in multiple jurisdictions, including by the FDA and the EMA; manufacturing supply, capacity and expertise; a commercial organization; and significant marketing efforts. The success of therapeutic candidates we may identify and develop will depend on many factors, including:</w:t>
      </w:r>
    </w:p>
    <w:p>
      <w:pPr>
        <w:spacing w:after="0" w:line="69" w:lineRule="exact"/>
        <w:rPr>
          <w:sz w:val="20"/>
          <w:szCs w:val="20"/>
          <w:color w:val="auto"/>
        </w:rPr>
      </w:pPr>
    </w:p>
    <w:p>
      <w:pPr>
        <w:ind w:left="660" w:right="4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completion of preclinical studies, including toxicology studies, biodistribution studies and minimally efficacious dose studies in animals, where applicable;</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103" w:lineRule="exact"/>
        <w:rPr>
          <w:rFonts w:ascii="Times New Roman" w:cs="Times New Roman" w:eastAsia="Times New Roman" w:hAnsi="Times New Roman"/>
          <w:sz w:val="18"/>
          <w:szCs w:val="18"/>
          <w:color w:val="auto"/>
        </w:rPr>
      </w:pPr>
    </w:p>
    <w:p>
      <w:pPr>
        <w:ind w:left="660" w:right="68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INDs or comparable foreign applications that allow commencement of our planned clinical trials or future clinical trials for any therapeutic candidates we may develop;</w:t>
      </w:r>
    </w:p>
    <w:p>
      <w:pPr>
        <w:spacing w:after="0" w:line="68" w:lineRule="exact"/>
        <w:rPr>
          <w:rFonts w:ascii="Times New Roman" w:cs="Times New Roman" w:eastAsia="Times New Roman" w:hAnsi="Times New Roman"/>
          <w:sz w:val="18"/>
          <w:szCs w:val="18"/>
          <w:color w:val="auto"/>
        </w:rPr>
      </w:pPr>
    </w:p>
    <w:p>
      <w:pPr>
        <w:ind w:left="660" w:right="4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 including under the FDA’s current Good Clinical Practices, GLPs and any additional regulatory requirements from foreign regulatory authorities;</w:t>
      </w:r>
    </w:p>
    <w:p>
      <w:pPr>
        <w:spacing w:after="0" w:line="5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our current and future clinical trials that support a finding of safety and effectiveness and an acceptable risk-benefit profile in the intended populations;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marketing approvals from applicable regulatory authorities;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with third-party manufacturers for clinical supply and, where applicable, commercial manufacturing capabilities;</w:t>
      </w:r>
    </w:p>
    <w:p>
      <w:pPr>
        <w:spacing w:after="0" w:line="103"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maintenance, defense and enforcement of patent, trademark, trade secret and other intellectual property protection or regulatory exclusivity for any therapeutic candidates we may develop;</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recruitment and enrollment;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launch of any therapeutic candidates we may develop, if approved, whether alone or in collaboration with others;</w:t>
      </w:r>
    </w:p>
    <w:p>
      <w:pPr>
        <w:spacing w:after="0" w:line="103"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benefits and use of our therapeutic candidates we may develop, including method of administration, if and when approved, by patients, the medical community and third-party payors;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other therapies and treatment options;</w:t>
      </w:r>
    </w:p>
    <w:p>
      <w:pPr>
        <w:spacing w:after="0" w:line="10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tolerability and efficacy profile of any therapeutic candidates we may develop following approval; and</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maintenance of healthcare coverage and adequate reimbursement by payors.</w:t>
      </w:r>
    </w:p>
    <w:p>
      <w:pPr>
        <w:spacing w:after="0" w:line="212" w:lineRule="exact"/>
        <w:rPr>
          <w:sz w:val="20"/>
          <w:szCs w:val="20"/>
          <w:color w:val="auto"/>
        </w:rPr>
      </w:pPr>
    </w:p>
    <w:p>
      <w:pPr>
        <w:ind w:right="500" w:firstLine="648"/>
        <w:spacing w:after="0" w:line="245" w:lineRule="auto"/>
        <w:rPr>
          <w:sz w:val="20"/>
          <w:szCs w:val="20"/>
          <w:color w:val="auto"/>
        </w:rPr>
      </w:pPr>
      <w:r>
        <w:rPr>
          <w:rFonts w:ascii="Times New Roman" w:cs="Times New Roman" w:eastAsia="Times New Roman" w:hAnsi="Times New Roman"/>
          <w:sz w:val="18"/>
          <w:szCs w:val="18"/>
          <w:color w:val="auto"/>
        </w:rPr>
        <w:t>If we do not succeed in one or more of these factors in a timely manner or at all, we could experience significant delays or an inability to successfully commercialize any therapeutic candidates we may develop, which would materially harm our business. If we are unable to advance our therapeutic candidates to clinical development, obtain regulatory approval and ultimately commercialize our therapeutic candidates, or experience significant delays in doing so, our business will be materially harmed.</w:t>
      </w:r>
    </w:p>
    <w:p>
      <w:pPr>
        <w:spacing w:after="0" w:line="177"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FDA has placed the IND application for ENTR-601-44 for the potential treatment of DMD on clinical hold. Should our response to the clinical hold in the United States not be satisfactory to the FDA, the clinical hold may not be lifted on a timely basis, or at all.</w:t>
      </w:r>
    </w:p>
    <w:p>
      <w:pPr>
        <w:spacing w:after="0" w:line="158" w:lineRule="exact"/>
        <w:rPr>
          <w:sz w:val="20"/>
          <w:szCs w:val="20"/>
          <w:color w:val="auto"/>
        </w:rPr>
      </w:pPr>
    </w:p>
    <w:p>
      <w:pPr>
        <w:jc w:val="both"/>
        <w:ind w:right="60" w:firstLine="648"/>
        <w:spacing w:after="0"/>
        <w:rPr>
          <w:sz w:val="20"/>
          <w:szCs w:val="20"/>
          <w:color w:val="auto"/>
        </w:rPr>
      </w:pPr>
      <w:r>
        <w:rPr>
          <w:rFonts w:ascii="Times New Roman" w:cs="Times New Roman" w:eastAsia="Times New Roman" w:hAnsi="Times New Roman"/>
          <w:sz w:val="18"/>
          <w:szCs w:val="18"/>
          <w:color w:val="auto"/>
        </w:rPr>
        <w:t>The FDA has placed the IND application for ENTR-601-44 for the potential treatment of DMD on clinical hold and requested that we gather and submit additional information regarding ENTR-601-44. We are actively working to resolve the clinical hold in the United States. Should we be delayed in submitting a response to the clinical hold in the United States or our response is not satisfactory to the FDA, the clinical hold may not be lifted on a timely basis, or at all.</w:t>
      </w:r>
    </w:p>
    <w:p>
      <w:pPr>
        <w:spacing w:after="0" w:line="185"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In addition, we received authorization from the MHRA to initiate a healthy volunteer trial in the United Kingdom in 2023. However, if our efforts in the United States or the United Kingdom are not successful, we may not be able to initiate or complete a clinical development program that enables the approval and marketing of ENTR-601-44 as planned, or at all.</w:t>
      </w:r>
    </w:p>
    <w:p>
      <w:pPr>
        <w:sectPr>
          <w:pgSz w:w="11900" w:h="16838" w:orient="portrait"/>
          <w:cols w:equalWidth="0" w:num="1">
            <w:col w:w="11180"/>
          </w:cols>
          <w:pgMar w:left="320" w:top="607" w:right="39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07" w:right="39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the clinical advancement of our programs and modalities and is especially dependent on the success of our lead EEV therapeutic candidates, ENTR-601-44, ENTR-601-45, ENTR-601-50 and our partnered candidate VX-670. Delay or failure to advance programs or modalities, including ENTR-601-44, ENTR-601-45, ENTR-601-50 and VX-670 could adversely impact our business.</w:t>
      </w:r>
    </w:p>
    <w:p>
      <w:pPr>
        <w:spacing w:after="0" w:line="176"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Using our platform, we are developing product features for medicines based on EEVs. Over time, our platform work led to commonalities, where a specific combination of EEV technologies, delivery technologies, and manufacturing processes generated a set of product features shared by multiple programs, for example, oligonucleotide-, enzyme-, and antibody-conjugated EEVs. This is what we call a “modality.” We are utilizing early programs in a modality, such as ENTR-601-44 for oligonucleotide-conjugated EEVs, to understand the technology risks within the modality, including manufacturing and pharmaceutical properties. Our lead therapeutic candidate, ENTR-601-44, is being developed to address DMD and we are highly dependent on the success of the future clinical trials of ENTR-601-44, the outcomes of which are uncertain, to further develop ENTR-601-45, our lead therapeutic candidate for patients with DMD with exon 45 skipping amenable mutations as well as ENTR-601-50, our therapeutic candidate for patients with DMD who are exon 50 skipping amenable. Because ENTR-601-44 is our first EEV therapeutic candidate, if ENTR-601-44 encounters safety, efficacy, supply or manufacturing problems, developmental delays, regulatory or commercialization issues or other problems, the value of our EEV Platform, including our other therapeutic candidates such as ENTR-601-45, ENTR-601-50, and our partnered candidate VX-670, could be greatly diminished and our development plans and business would be significantly harmed.</w:t>
      </w:r>
    </w:p>
    <w:p>
      <w:pPr>
        <w:spacing w:after="0" w:line="191"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Even if our earlier programs in a modality are successful in any phase of development any of such earlier programs may fail at a later phase of development, and other programs within the same modality may still fail at any phase of development including at phases where earlier programs in that modality were successful. This may be a result of technical challenges unique to that program or due to biology risk, which is unique to every program. As we progress our programs through clinical development, there may be new technical challenges that arise that cause an entire modality to fail.</w:t>
      </w:r>
    </w:p>
    <w:p>
      <w:pPr>
        <w:spacing w:after="0" w:line="177"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EEV therapeutic candidates are based on a novel therapeutic approach, which makes it difficult to predict the time and cost of development and of subsequently obtaining regulatory approval, if at all.</w:t>
      </w:r>
    </w:p>
    <w:p>
      <w:pPr>
        <w:spacing w:after="0" w:line="158"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Using EEV technology to develop therapeutic candidates is a new therapeutic approach and no products based on EEVs have been approved to date in the United States or the rest of the world. As such, it is difficult to accurately predict the developmental challenges we may face for our EEV therapeutic candidates as they proceed through development. In addition, because we have not yet completed any clinical trials with our EEV therapeutic candidates, we have not yet been able to assess safety in humans and there may be short-term or long-term effects from treatment with any therapeutic candidates that we develop that we cannot predict at this time. Also, animal models may not exist for some of the diseases we choose to pursue in our programs. As a result of these factors, it is more difficult for us to predict the time and cost of therapeutic candidate development and we cannot predict whether our EEV Platform, or any similar or competitive intracellular delivery technologies, will enable the identification, development and regulatory approval of any products. There can be no assurance that any development problems we experience in the future related to our EEV Platform or any of our research programs will not cause significant delays or unanticipated costs or that such development problems can be solved. Any of these factors may prevent us from completing our preclinical studies or any clinical trials that we may initiate or commercializing any therapeutic candidates we may develop on a timely or profitable basis, if at all.</w:t>
      </w:r>
    </w:p>
    <w:p>
      <w:pPr>
        <w:spacing w:after="0" w:line="191"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The clinical trial requirements of the FDA and other regulatory authorities and the criteria these regulators use to determine the safety and efficacy of a therapeutic candidate vary substantially according to the type, complexity, novelty and intended use and market of the therapeutic candidate. No products based on EEVs have been approved to date by regulators. As a result, the regulatory approval process for therapeutic candidates such as ours is uncertain and may be more expensive and take longer than the approval process for therapeutic candidates based on other, better known or more extensively studied technologies. For example, the general approach for FDA approval of a new biologic or drug is for sponsors to seek licensure or approval based on dispositive data from well-controlled, Phase 3 clinical trials of the relevant therapeutic candidate in the relevant patient population. Phase 3 clinical trials typically involve hundreds of patients, have significant costs and take years to complete. It is difficult to determine how long it will take or how much it will cost to obtain regulatory approvals for our therapeutic candidates in the U.S., the UK, or other regions of the world or how long it will take to commercialize our therapeutic candidates. Delay or failure to obtain or unexpected costs in obtaining the regulatory approvals necessary to bring a potential therapeutic candidate to market could decrease our ability to generate sufficient product revenue and our business, financial condition, results of operations and prospects may be harmed.</w:t>
      </w:r>
    </w:p>
    <w:p>
      <w:pPr>
        <w:spacing w:after="0" w:line="18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 involves a lengthy and expensive process with an uncertain outcome, and the results of preclinical studies are not necessarily predictive of the results of later preclinical studies and any clinical trials of our therapeutic candidates. We have not yet completed the testing of any of our therapeutic candidates in clinical</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trials and our therapeutic candidates may not have favorable results in clinical trials or receive regulatory approval on a timely basis, if at all.</w:t>
      </w:r>
    </w:p>
    <w:p>
      <w:pPr>
        <w:spacing w:after="0" w:line="216"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Preclinical and clinical development is expensive and can take many years to complete, and its outcome is inherently uncertain. We cannot guarantee that any preclinical studies or clinical trials will be conducted as planned or completed on schedule, if at all, and failure can occur at any time during the preclinical study or clinical trial process. Any positive results from our preclinical studies of our EEV therapeutic candidates may not necessarily be predictive of the results in later preclinical studies and clinical trials. Similarly, even if we are able to complete our current or planned preclinical studies or clinical trials of our therapeutic candidates according to our current development timeline, the positive results from such preclinical studies and clinical trials may not be replicated in our subsequent preclinical studies or later-stage clinical trials. Despite promising preclinical or clinical results, any therapeutic candidate can unexpectedly fail at any stage of preclinical or clinical development. The historical failure rate for therapeutic candidates in our industry is high.</w:t>
      </w:r>
    </w:p>
    <w:p>
      <w:pPr>
        <w:spacing w:after="0" w:line="187" w:lineRule="exact"/>
        <w:rPr>
          <w:sz w:val="20"/>
          <w:szCs w:val="20"/>
          <w:color w:val="auto"/>
        </w:rPr>
      </w:pPr>
    </w:p>
    <w:p>
      <w:pPr>
        <w:ind w:right="60" w:firstLine="648"/>
        <w:spacing w:after="0" w:line="235" w:lineRule="auto"/>
        <w:rPr>
          <w:sz w:val="20"/>
          <w:szCs w:val="20"/>
          <w:color w:val="auto"/>
        </w:rPr>
      </w:pPr>
      <w:r>
        <w:rPr>
          <w:rFonts w:ascii="Times New Roman" w:cs="Times New Roman" w:eastAsia="Times New Roman" w:hAnsi="Times New Roman"/>
          <w:sz w:val="18"/>
          <w:szCs w:val="18"/>
          <w:color w:val="auto"/>
        </w:rPr>
        <w:t>The results from preclinical studies or clinical trials of a therapeutic candidate may not predict the results of later clinical trials of the therapeutic candidate, and interim, topline, or preliminary results of a clinical trial are not necessarily indicative of final results. Therapeutic candidates in later stages of clinical trials may fail to show the desired safety and efficacy characteristics despite having progressed through preclinical studies and initial clinical trials. In particular, while we have conducted certain preclinical studies of ENTR-601-44, ENTR-601-45, ENTR-601-50, our partnered candidate VX-670 and other potential therapeutic candidates, we do not know whether ENTR-601-44, ENTR-601-45, ENTR-601-50, VX-670 or the other potential therapeutic candidates will perform in future clinical trials as they have performed in these prior studies. The positive results we have observed for our therapeutic candidates in early, non-GLP preclinical studies and animal models may not be predictive of our future clinical trials in humans. Furthermore, for some indications that we are pursuing there are no animal models that adequately mirror the human disease to predict any level of positive results. It is not uncommon to observe results in clinical trials that are unexpected based on preclinical studies and early clinical trials, and many therapeutic candidates fail in clinical trials despite very promising early results. Unexpected observations or toxicities observed in our IND-enabling studies for example, could delay clinical trials for ENTR-601-44, ENTR-601-45, ENTR-601-50, VX-670 or our other development programs. Moreover, preclinical and clinical data may be susceptible to varying interpretations and analyses. A number of companies in the biopharmaceutical and biotechnology industries have suffered significant setbacks in clinical development even after achieving promising results in earlier studies, and companies that have believed their therapeutic candidates performed satisfactorily in preclinical studies and clinical trials have nonetheless failed to obtain FDA approval. Additionally, we may conduct clinical trials that utilize an “open-label” trial design. An “open-label” clinical trial is one where both the patient and investigator know whether the patient is receiving the investigational therapeutic candidate or either an existing approved drug or placebo. Most typically, open-label clinical trials test only the investigational therapeutic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therapeutic candidates for which we include an open-label clinical trial when studied in a controlled environment with a placebo or active control.</w:t>
      </w:r>
    </w:p>
    <w:p>
      <w:pPr>
        <w:spacing w:after="0" w:line="185"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For the foregoing reasons, we cannot be certain that our ongoing and planned preclinical studies and planned clinical trials will be successful. Any safety concerns observed in any one of our clinical trials in our targeted indications could limit the prospects for regulatory approval of our therapeutic candidates in those and other indications, which could have a material adverse effect on our business, financial condition and results of operations.</w:t>
      </w:r>
    </w:p>
    <w:p>
      <w:pPr>
        <w:spacing w:after="0" w:line="17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Substantial delays in the commencement of our planned clinical trials or the enrollment or completion of our current or planned clinical trials, or failure to demonstrate safety and efficacy to the satisfaction of applicable regulatory authorities could prevent us from commercializing any therapeutic candidates we determine to develop on a timely basis, if at all.</w:t>
      </w:r>
    </w:p>
    <w:p>
      <w:pPr>
        <w:spacing w:after="0" w:line="162" w:lineRule="exact"/>
        <w:rPr>
          <w:sz w:val="20"/>
          <w:szCs w:val="20"/>
          <w:color w:val="auto"/>
        </w:rPr>
      </w:pPr>
    </w:p>
    <w:p>
      <w:pPr>
        <w:ind w:right="200" w:firstLine="648"/>
        <w:spacing w:after="0"/>
        <w:rPr>
          <w:sz w:val="20"/>
          <w:szCs w:val="20"/>
          <w:color w:val="auto"/>
        </w:rPr>
      </w:pPr>
      <w:r>
        <w:rPr>
          <w:rFonts w:ascii="Times New Roman" w:cs="Times New Roman" w:eastAsia="Times New Roman" w:hAnsi="Times New Roman"/>
          <w:sz w:val="18"/>
          <w:szCs w:val="18"/>
          <w:color w:val="auto"/>
        </w:rPr>
        <w:t>The risk of failure in developing therapeutic candidates is high. It is impossible to predict when or if any therapeutic candidate would prove effective or safe in humans or will receive regulatory approval. Before obtaining marketing approval from regulatory authorities for the sale of any therapeutic candidate, we must complete preclinical development, submit an IND or foreign equivalent to permit initiation of clinical studies, and then conduct extensive clinical trials to demonstrate the safety and efficacy of therapeutic candidates in humans. As an organization, we submitted an IND for ENTR-601-44 in the fourth quarter of 2022, which was subsequently placed on clinical hold. We are advancing this program in a single ascending dose clinical trial in healthy volunteers in the United Kingdom and have completed dosing in three cohorts of our Phase 1 clinical trial. In parallel we are committed to resolving the clinical hold in</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the United States. We plan to advance ENTR-601-45, our EEV therapeutic candidate targeting exon 45, to CTA/IND submission in the fourth quarter of 2024 and ENTR-601-50 to CTA/IND submission in 2025. We have limited experience as a company in preparing, submitting and prosecuting regulatory filings and have not previously submitted an IND, NDA or BLA or other comparable foreign regulatory submission for any therapeutic candidate. In addition, we have had limited interactions with the FDA and cannot be certain how many clinical trials of ENTR-601-44, ENTR-601-45, ENTR-601-50, our partnered candidate VX-670 or any other therapeutic candidates will be required or how such trials should be designed. Consequently, we may be unable to successfully and efficiently execute and complete necessary clinical trials in a way that leads to regulatory submission and approval of any of our therapeutic candidates. Clinical trials may fail to demonstrate that our therapeutic candidates are safe for humans and effective for indicated uses.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18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Before we can commence clinical trials for a therapeutic candidate, we must complete extensive preclinical testing and studies that support our INDs and other regulatory filings. We cannot be certain of the timely identification of a therapeutic candidate or the completion or outcome of our preclinical testing and studies and cannot predict whether the FDA will accept our proposed clinical programs or whether the outcome of our preclinical testing and studies will ultimately support the further development of any therapeutic candidates. Conducting preclinical testing is a lengthy, time-consuming and expensive process. The length of time may vary substantially according to the type, complexity and novelty of the program, and often can be several years or more per program. As a result, we cannot be sure that we will be able to submit INDs for our preclinical programs on the timelines we expect, if at all, and we cannot be sure that submission of INDs will result in the FDA allowing clinical trials to begin. For example, the FDA has placed the IND application for ENTR-601-44 for the potential treatment of Duchenne muscular dystrophy on clinical hold and requested that we gather and submit additional information regarding ENTR-601-44. We are actively working to resolve the clinical hold in the United States. Should our response to the clinical hold in the United States not be satisfactory to the FDA, the clinical hold may not be lifted on a timely basis, or at all. In addition, given the extraordinary unmet need, we initiated a healthy volunteer trial in the United Kingdom and have completed dosing in three cohorts in our Phase 1 clinical trial evaluating ENTR-601-44 for the potential treatment of individuals with DMD who are exon 44 skipping amenable. However, if our efforts in the United States and elsewhere are not successful, we may not be able to complete a clinical development program that enables the approval and marketing of ENTR-601-44 as planned, or at all.</w:t>
      </w:r>
    </w:p>
    <w:p>
      <w:pPr>
        <w:spacing w:after="0" w:line="188" w:lineRule="exact"/>
        <w:rPr>
          <w:sz w:val="20"/>
          <w:szCs w:val="20"/>
          <w:color w:val="auto"/>
        </w:rPr>
      </w:pPr>
    </w:p>
    <w:p>
      <w:pPr>
        <w:ind w:right="340" w:firstLine="648"/>
        <w:spacing w:after="0" w:line="242" w:lineRule="auto"/>
        <w:rPr>
          <w:sz w:val="20"/>
          <w:szCs w:val="20"/>
          <w:color w:val="auto"/>
        </w:rPr>
      </w:pPr>
      <w:r>
        <w:rPr>
          <w:rFonts w:ascii="Times New Roman" w:cs="Times New Roman" w:eastAsia="Times New Roman" w:hAnsi="Times New Roman"/>
          <w:sz w:val="18"/>
          <w:szCs w:val="18"/>
          <w:color w:val="auto"/>
        </w:rPr>
        <w:t>Furthermore, therapeutic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w:t>
      </w:r>
    </w:p>
    <w:p>
      <w:pPr>
        <w:spacing w:after="0" w:line="184" w:lineRule="exact"/>
        <w:rPr>
          <w:sz w:val="20"/>
          <w:szCs w:val="20"/>
          <w:color w:val="auto"/>
        </w:rPr>
      </w:pPr>
    </w:p>
    <w:p>
      <w:pPr>
        <w:ind w:right="220" w:firstLine="648"/>
        <w:spacing w:after="0" w:line="245" w:lineRule="auto"/>
        <w:rPr>
          <w:sz w:val="20"/>
          <w:szCs w:val="20"/>
          <w:color w:val="auto"/>
        </w:rPr>
      </w:pPr>
      <w:r>
        <w:rPr>
          <w:rFonts w:ascii="Times New Roman" w:cs="Times New Roman" w:eastAsia="Times New Roman" w:hAnsi="Times New Roman"/>
          <w:sz w:val="18"/>
          <w:szCs w:val="18"/>
          <w:color w:val="auto"/>
        </w:rPr>
        <w:t>Clinical testing is expensive, is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trial design, dose selection issues, patient enrollment criteria and failure to demonstrate favorable safety or efficacy traits.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events that may prevent successful enrollment, initiation or timely completion of clinical development include:</w:t>
      </w:r>
    </w:p>
    <w:p>
      <w:pPr>
        <w:spacing w:after="0" w:line="10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may be unable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of clinical trials;</w:t>
      </w:r>
    </w:p>
    <w:p>
      <w:pPr>
        <w:spacing w:after="0" w:line="10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authorities on trial design;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clinical research organizations (CROs) and clinical trial sites;</w:t>
      </w:r>
    </w:p>
    <w:p>
      <w:pPr>
        <w:spacing w:after="0" w:line="103" w:lineRule="exact"/>
        <w:rPr>
          <w:rFonts w:ascii="Times New Roman" w:cs="Times New Roman" w:eastAsia="Times New Roman" w:hAnsi="Times New Roman"/>
          <w:sz w:val="18"/>
          <w:szCs w:val="18"/>
          <w:color w:val="auto"/>
        </w:rPr>
      </w:pPr>
    </w:p>
    <w:p>
      <w:pPr>
        <w:ind w:left="660" w:right="5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opening clinical trial sites or obtaining required institutional review board (IRB) or independent ethics committee approval, or the equivalent review groups for sites outside the United States, at each clinical trial site;</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add new or additional clinical trial sites;</w:t>
      </w:r>
    </w:p>
    <w:p>
      <w:pPr>
        <w:spacing w:after="0" w:line="90"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authorities as a result of a serious adverse event or after an inspection of our clinical trial operations or trial sites;</w:t>
      </w:r>
    </w:p>
    <w:p>
      <w:pPr>
        <w:spacing w:after="0" w:line="54"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observed in clinical trials, including failure to demonstrate statistical significance, safety, purity or potency, which could lead us, or cause regulators to require us, to conduct additional clinical trials or abandon product development programs;</w:t>
      </w:r>
    </w:p>
    <w:p>
      <w:pPr>
        <w:spacing w:after="0" w:line="54" w:lineRule="exact"/>
        <w:rPr>
          <w:rFonts w:ascii="Times New Roman" w:cs="Times New Roman" w:eastAsia="Times New Roman" w:hAnsi="Times New Roman"/>
          <w:sz w:val="18"/>
          <w:szCs w:val="18"/>
          <w:color w:val="auto"/>
        </w:rPr>
      </w:pPr>
    </w:p>
    <w:p>
      <w:pPr>
        <w:ind w:left="660" w:right="52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our preclinical studies of our therapeutic candidates may not necessarily be predictive of the results from required later preclinical studies and clinical trials and positive results from such preclinical studies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clinical trials of our therapeutic candidates may not be replicated in subsequent preclinical studies or clinical trial results;</w:t>
      </w:r>
    </w:p>
    <w:p>
      <w:pPr>
        <w:spacing w:after="0" w:line="104"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any CROs we engage or any other third parties to adhere to clinical trial requirements;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applicable GCPs;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investigators to adhere to clinical trial protocols leading to variable results;</w:t>
      </w:r>
    </w:p>
    <w:p>
      <w:pPr>
        <w:spacing w:after="0" w:line="1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testing, validation, manufacturing and delivery of any therapeutic candidates we may develop to the clinical sites, including delays by third parties with whom we have contracted to perform certain of those functions;</w:t>
      </w:r>
    </w:p>
    <w:p>
      <w:pPr>
        <w:spacing w:after="0" w:line="54"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to comply with regulatory requirements or to meet their contractual obligations to us in a timely manner, or at all;</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patients complete participation in a trial or return for post-treatment follow-up;</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or patients dropping out of a trial;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analysis of the resulting data;</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associated with the therapeutic candidate that are viewed to outweigh its potential benefits;</w:t>
      </w:r>
    </w:p>
    <w:p>
      <w:pPr>
        <w:spacing w:after="0" w:line="103"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associated with a therapeutic candidate in development by another company, which are viewed to outweigh its potential benefits, and which may negatively impact the perception of our product due to a similarity in technology or approach;</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103" w:lineRule="exact"/>
        <w:rPr>
          <w:rFonts w:ascii="Times New Roman" w:cs="Times New Roman" w:eastAsia="Times New Roman" w:hAnsi="Times New Roman"/>
          <w:sz w:val="18"/>
          <w:szCs w:val="18"/>
          <w:color w:val="auto"/>
        </w:rPr>
      </w:pPr>
    </w:p>
    <w:p>
      <w:pPr>
        <w:ind w:left="660" w:right="9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require us to submit additional data such as long-term toxicology studies or impose other requirements before permitting us to initiate a clinical trial;</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legal or regulatory regimes domestically or internationally related to patient rights and privacy; 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21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After initiating a clinical trial, we could also encounter delays if the clinical trial is suspended, placed on clinical hold or terminated by us, the IRBs of the institutions in which such trials are being conducted, or the FDA or other regulatory authorities or recommended for suspension or termination by the Data Safety Monitoring Board (DSMB) for such trial. A suspension or termination may be imposed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therapeutic candidates. Further, the FDA or other regulatory authorities may disagree with our clinical trial design and our interpretation of data from preclinical studies, clinical trials, or may change the requirements for approval even after they have reviewed and commented on the design for our clinical trials. Moreover, preclinical and clinical data are often susceptible to varying interpretations and analyses and many companies that believed their therapeutic candidates performed satisfactorily in preclinical studies and clinical trials nonetheless failed to obtain regulatory approval.</w:t>
      </w:r>
    </w:p>
    <w:p>
      <w:pPr>
        <w:spacing w:after="0" w:line="190"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Any inability to successfully complete preclinical studies and clinical trials could result in additional costs to us or impair our ability to generate revenues from product sales, regulatory and commercialization milestones and royalties. In addition, manufacturing or formulation changes to any therapeutic candidates we may develop may require us to conduct additional studies or trials to bridge our modified therapeutic candidates to earlier versions. Clinical trial delays also could shorten any periods during which we may have the exclusive right to commercialize any therapeutic candidates we may develop or allow our competitors to bring products to market before we do, which could impair our ability to successfully commercialize any therapeutic candidates we may develop and may harm our business, financial condition, results of operations and prospects.</w:t>
      </w:r>
    </w:p>
    <w:p>
      <w:pPr>
        <w:spacing w:after="0" w:line="184" w:lineRule="exact"/>
        <w:rPr>
          <w:sz w:val="20"/>
          <w:szCs w:val="20"/>
          <w:color w:val="auto"/>
        </w:rPr>
      </w:pPr>
    </w:p>
    <w:p>
      <w:pPr>
        <w:ind w:right="360" w:firstLine="648"/>
        <w:spacing w:after="0" w:line="250" w:lineRule="auto"/>
        <w:rPr>
          <w:sz w:val="20"/>
          <w:szCs w:val="20"/>
          <w:color w:val="auto"/>
        </w:rPr>
      </w:pPr>
      <w:r>
        <w:rPr>
          <w:rFonts w:ascii="Times New Roman" w:cs="Times New Roman" w:eastAsia="Times New Roman" w:hAnsi="Times New Roman"/>
          <w:sz w:val="18"/>
          <w:szCs w:val="18"/>
          <w:color w:val="auto"/>
        </w:rPr>
        <w:t>Additionally, if the results of future clinical trials are inconclusive or if there are safety concerns or serious adverse events associated with any therapeutic candidates we may develop, we may:</w:t>
      </w:r>
    </w:p>
    <w:p>
      <w:pPr>
        <w:spacing w:after="0" w:line="68"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therapeutic candidates, if at all;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the product is administered;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 or be subject to additional post-marketing testing requirements;</w:t>
      </w:r>
    </w:p>
    <w:p>
      <w:pPr>
        <w:spacing w:after="0" w:line="103"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product or impose restrictions on its distribution in the form of a modified risk evaluation and mitigation strategy;</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the addition of labeling statements, such as warnings or contraindications;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Delays or difficulties in the enrollment of patients in clinical trials could delay or prevent our receipt of necessary regulatory approvals.</w:t>
      </w:r>
    </w:p>
    <w:p>
      <w:pPr>
        <w:spacing w:after="0" w:line="216"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Failure to locate and enroll a sufficient number of eligible patients to participate in these trials as required by the FDA or similar regulatory authorities outside the U.S. may delay or prevent us from initiating or continuing clinical trials for our therapeutic candidates. Because the target patient populations for some of our therapeutic candidates are relatively small, it may be difficult to successfully identify patients. Although we may enter into agreements with third parties to develop companion diagnostic tests for use in some of our future clinical trials in order to help identify eligible patients in certain indications, we may experience delays in reaching, or fail to reach, agreement on acceptable terms to develop such companion diagnostic tests. Any third parties whom we engage to develop companion diagnostic tests may experience delays or may not be successful in developing such companion diagnostic tests, furthering the difficulty in identifying patients for our clinical trials. In addition, current commercially available diagnostic tests to identify appropriate patients for our clinical trials or any approved therapeutic candidates may become unavailable in the future.</w:t>
      </w:r>
    </w:p>
    <w:p>
      <w:pPr>
        <w:spacing w:after="0" w:line="187" w:lineRule="exact"/>
        <w:rPr>
          <w:sz w:val="20"/>
          <w:szCs w:val="20"/>
          <w:color w:val="auto"/>
        </w:rPr>
      </w:pPr>
    </w:p>
    <w:p>
      <w:pPr>
        <w:ind w:right="420" w:firstLine="648"/>
        <w:spacing w:after="0" w:line="250" w:lineRule="auto"/>
        <w:rPr>
          <w:sz w:val="20"/>
          <w:szCs w:val="20"/>
          <w:color w:val="auto"/>
        </w:rPr>
      </w:pPr>
      <w:r>
        <w:rPr>
          <w:rFonts w:ascii="Times New Roman" w:cs="Times New Roman" w:eastAsia="Times New Roman" w:hAnsi="Times New Roman"/>
          <w:sz w:val="18"/>
          <w:szCs w:val="18"/>
          <w:color w:val="auto"/>
        </w:rPr>
        <w:t>Furthermore, some of our competitors have ongoing clinical trials for therapeutic candidates that treat the same indications as our therapeutic candidates, and patients who would otherwise be eligible for our clinical trials may instead enroll in clinical trials of our competitors’ therapeutic candidates.</w:t>
      </w:r>
    </w:p>
    <w:p>
      <w:pPr>
        <w:spacing w:after="0" w:line="177" w:lineRule="exact"/>
        <w:rPr>
          <w:sz w:val="20"/>
          <w:szCs w:val="20"/>
          <w:color w:val="auto"/>
        </w:rPr>
      </w:pPr>
    </w:p>
    <w:p>
      <w:pPr>
        <w:ind w:right="220" w:firstLine="648"/>
        <w:spacing w:after="0" w:line="245" w:lineRule="auto"/>
        <w:rPr>
          <w:sz w:val="20"/>
          <w:szCs w:val="20"/>
          <w:color w:val="auto"/>
        </w:rPr>
      </w:pPr>
      <w:r>
        <w:rPr>
          <w:rFonts w:ascii="Times New Roman" w:cs="Times New Roman" w:eastAsia="Times New Roman" w:hAnsi="Times New Roman"/>
          <w:sz w:val="18"/>
          <w:szCs w:val="18"/>
          <w:color w:val="auto"/>
        </w:rPr>
        <w:t>In addition, the pediatric population is an important patient population for certain of the indications we are targeting, including DMD, and our addressable patient population estimates include pediatric populations. However, it may be more challenging to conduct studies in this population, and to locate and enroll pediatric patients. Additionally, it may be challenging to ensure that pediatric or adolescent patients adhere to clinical trial protocols. Patient enrollment and trial competition may be affected by other factors including:</w:t>
      </w:r>
    </w:p>
    <w:p>
      <w:pPr>
        <w:spacing w:after="0" w:line="73" w:lineRule="exact"/>
        <w:rPr>
          <w:sz w:val="20"/>
          <w:szCs w:val="20"/>
          <w:color w:val="auto"/>
        </w:rPr>
      </w:pPr>
    </w:p>
    <w:p>
      <w:pPr>
        <w:ind w:left="660" w:right="8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perceived risks and benefits of the therapeutic candidate under trial, particularly therapeutic candidates developed using a novel and unproven therapeutic approach, like our EEV therapeutic candidates in relation to available or investigational drugs;</w:t>
      </w:r>
    </w:p>
    <w:p>
      <w:pPr>
        <w:spacing w:after="0" w:line="40"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the patient population, in particular for rare diseases such as the diseases on which we are initially focused, and process for identifying patients;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trial protocol;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exclusion criteria;</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competing therapies and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or disorder under investigation;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consent;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patients will drop out before completion of the trial;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patients adequately during and after treatment.</w:t>
      </w:r>
    </w:p>
    <w:p>
      <w:pPr>
        <w:spacing w:after="0" w:line="19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Our inability to identify patients appropriate for enrollment in our clinical trials, or to enroll a sufficient number of patients in our clinical trials, would result in significant delays and could require us to abandon one or more clinical trials altogether. Enrollment delays in our clinical trials may result in increased development costs for our therapeutic candidates,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limit our ability to seek participation in the FDA’s expedited development programs, including Breakthrough Therapy Designation and Fast Track Designation, or otherwise to seek to accelerate clinical development and regulatory timelines.</w:t>
      </w:r>
    </w:p>
    <w:p>
      <w:pPr>
        <w:spacing w:after="0" w:line="181"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Even if we are able to enroll a sufficient number of patients for our clinical trials, we may have difficulty maintaining patients in our clinical trials. In our planned clinical trials that will include a placebo group, some of the patients who end up receiving placebo may perceive that they are not receiving the therapeutic candidate being tested, and they may decide to withdraw from our clinical trials to pursue other alternative therapies rather than continue the trial with the perception that they are receiving placebo. Difficulty enrolling or maintaining a sufficient number of patients to conduct our clinical trials, may require us to delay, limit or terminate clinical trials, any of which would harm our business, financial condition, results of operations and prospects.</w:t>
      </w:r>
    </w:p>
    <w:p>
      <w:pPr>
        <w:spacing w:after="0" w:line="18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Use of our therapeutic candidates could be associated with side effects, adverse events or other properties or safety risks, which could delay or preclude approval, cause us to suspend or discontinue clinical trials, abandon a therapeutic candidate, limit the commercial profile of an approved label or result in other significant negative consequences that could severely harm our business, prospects, operating results and financial condition.</w:t>
      </w:r>
    </w:p>
    <w:p>
      <w:pPr>
        <w:spacing w:after="0" w:line="176"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Although other oligonucleotide therapeutics, enzyme replacement therapies and gene therapies have received regulatory approval, our EEV-based therapeutics are a novel approach to the delivery of biological therapeutics, which may present enhanced uncertainty associated with the safety profile of ENTR-601-44, ENTR-601-45, ENTR-601-50, our partnered candidate VX-670 and other EEV-based therapeutics compared to more well-established classes of therapies. Moreover, it is impossible to predict when or if any therapeutic candidates we may develop will prove safe in humans. As is the case with biopharmaceuticals generally, it is likely that there may be side effects and adverse events associated with our therapeutic candidates’ use. Results of our clinical trials could reveal a high and unacceptable severity and prevalence of side effects or unexpected characteristics. Undesirable side effects caused by our therapeutic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92"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the potential patient population. With a limited number of patients and limited duration of exposure, rare and severe side effects of our therapeutic candidates may only be uncovered with a significantly larger number of patients exposed to the therapeutic candidate. Any undesirable side effects or unexpected characteristics associated with our therapeutic candidates in clinical trials may lead us to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therapeutic candidate if approved. We may also be required to modify our study plans based on findings after we commence our clinical trials. Many compounds that initially showed promise in early-stage testing have later been found to cause side effects that prevented further development of the compound. In addition, regulatory authorities may draw different conclusions or require additional testing to confirm these determinations.</w:t>
      </w:r>
    </w:p>
    <w:p>
      <w:pPr>
        <w:spacing w:after="0" w:line="187" w:lineRule="exact"/>
        <w:rPr>
          <w:sz w:val="20"/>
          <w:szCs w:val="20"/>
          <w:color w:val="auto"/>
        </w:rPr>
      </w:pPr>
    </w:p>
    <w:p>
      <w:pPr>
        <w:ind w:right="240" w:firstLine="648"/>
        <w:spacing w:after="0" w:line="245" w:lineRule="auto"/>
        <w:rPr>
          <w:sz w:val="20"/>
          <w:szCs w:val="20"/>
          <w:color w:val="auto"/>
        </w:rPr>
      </w:pPr>
      <w:r>
        <w:rPr>
          <w:rFonts w:ascii="Times New Roman" w:cs="Times New Roman" w:eastAsia="Times New Roman" w:hAnsi="Times New Roman"/>
          <w:sz w:val="18"/>
          <w:szCs w:val="18"/>
          <w:color w:val="auto"/>
        </w:rPr>
        <w:t>It is possible that as we test our therapeutic candidates in larger, longer and more extensive clinical trials, or as the use of these therapeutic candidates becomes more widespread if they receive regulatory approval, illnesses, injuries, discomforts and other adverse events that were observed in earlier trials, as well as conditions that did not occur or went undetected in previous trials, may be reported by subjects. Any findings of such side effects later in development or upon approval, if any, may harm our business, financial condition and prospects significantly.</w:t>
      </w:r>
    </w:p>
    <w:p>
      <w:pPr>
        <w:spacing w:after="0" w:line="181"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Patients treated with our therapeutics, if approved, may experience previously unreported adverse reactions, and it is possible that the FDA or other regulatory authorities may ask for additional safety data as a condition of, or in connection with, our efforts to obtain approval of our therapeutic candidates. If safety problems occur or are identified after our therapeutics, if any, reach the market, we may make the decision or be required by regulatory authorities to amend the labeling of our therapeutics, recall our therapeutics or even withdraw approval for our therapeutics.</w:t>
      </w:r>
    </w:p>
    <w:p>
      <w:pPr>
        <w:spacing w:after="0" w:line="163"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therapeutic candidates are subject to extensive regulation and compliance, which is costly and time-consuming, and such regulation may cause unanticipated delays or prevent the receipt of the required approvals to commercialize our therapeutic candidates.</w:t>
      </w:r>
    </w:p>
    <w:p>
      <w:pPr>
        <w:spacing w:after="0" w:line="158"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18"/>
          <w:szCs w:val="18"/>
          <w:color w:val="auto"/>
        </w:rPr>
        <w:t>The clinical development, manufacturing, labeling, packaging, storage, record-keeping, advertising, promotion, import, export, marketing, distribution and adverse event reporting, including the submission of safety and other information, of our therapeutic candidates are subject to extensive regulation by the FDA in the United States and by</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comparable foreign regulatory authorities in foreign markets. In the United States, we are not permitted to market our therapeutic candidates until we receive regulatory approval from the FDA. The process of obtaining regulatory approval is expensive, often takes many years following the commencement of clinical trials and can vary substantially based upon the type, complexity and novelty of the therapeutic candidates involved, as well as the target indications and patient population. Approval policies or regulations may change, and the FDA has substantial discretion in the drug approval process, including the ability to delay, limit or deny approval of a therapeutic candidate for many reasons. Despite the time and expense invested in clinical development of therapeutic candidates, regulatory approval is never guaranteed. Neither we nor any current or future collaborator is permitted to market any of our therapeutic candidates in the United States until we receive approval from the FDA.</w:t>
      </w:r>
    </w:p>
    <w:p>
      <w:pPr>
        <w:spacing w:after="0" w:line="185"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Prior to obtaining approval to commercialize a therapeutic candidate in the United States or abroad, we or our collaborators must demonstrate with substantial evidence from adequate and well-controlled clinical trials, and to the satisfaction of the FDA or comparable foreign regulatory authorities, that such therapeutic candidates are safe and effective for their intended uses. Results from preclinical studies and clinical trials can be interpreted in different ways. Even if we believe the preclinical or clinical data for our therapeutic candidates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our therapeutic candidates either prior to or post-approval, or may object to elements of our clinical development program.</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FDA or comparable foreign regulatory authorities can delay, limit or deny approval of a therapeutic candidate for many reasons, including:</w:t>
      </w:r>
    </w:p>
    <w:p>
      <w:pPr>
        <w:spacing w:after="0" w:line="104"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the design or implementation of our or our current or future collaborators’ clinical trials;</w:t>
      </w:r>
    </w:p>
    <w:p>
      <w:pPr>
        <w:spacing w:after="0" w:line="103" w:lineRule="exact"/>
        <w:rPr>
          <w:rFonts w:ascii="Times New Roman" w:cs="Times New Roman" w:eastAsia="Times New Roman" w:hAnsi="Times New Roman"/>
          <w:sz w:val="18"/>
          <w:szCs w:val="18"/>
          <w:color w:val="auto"/>
        </w:rPr>
      </w:pPr>
    </w:p>
    <w:p>
      <w:pPr>
        <w:ind w:left="660" w:right="82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ambiguous results from our clinical trials or results may not meet the level of statistical significance required by the FDA or comparable foreign regulatory agencies for approval;</w:t>
      </w:r>
    </w:p>
    <w:p>
      <w:pPr>
        <w:spacing w:after="0" w:line="54"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may be experienced by participants in our clinical trials or by individuals using drugs similar to our therapeutic candidates;</w:t>
      </w:r>
    </w:p>
    <w:p>
      <w:pPr>
        <w:spacing w:after="0" w:line="54" w:lineRule="exact"/>
        <w:rPr>
          <w:rFonts w:ascii="Times New Roman" w:cs="Times New Roman" w:eastAsia="Times New Roman" w:hAnsi="Times New Roman"/>
          <w:sz w:val="18"/>
          <w:szCs w:val="18"/>
          <w:color w:val="auto"/>
        </w:rPr>
      </w:pPr>
    </w:p>
    <w:p>
      <w:pPr>
        <w:ind w:left="660" w:right="4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clinical data from trials which are conducted at clinical facilities or in countries where the standard of care is potentially different from that of the United States;</w:t>
      </w:r>
    </w:p>
    <w:p>
      <w:pPr>
        <w:spacing w:after="0" w:line="54" w:lineRule="exact"/>
        <w:rPr>
          <w:rFonts w:ascii="Times New Roman" w:cs="Times New Roman" w:eastAsia="Times New Roman" w:hAnsi="Times New Roman"/>
          <w:sz w:val="18"/>
          <w:szCs w:val="18"/>
          <w:color w:val="auto"/>
        </w:rPr>
      </w:pPr>
    </w:p>
    <w:p>
      <w:pPr>
        <w:ind w:left="660" w:right="82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current or future collaborators may be unable to demonstrate that a therapeutic candidate is safe and effective, and that therapeutic candidate’s clinical and other benefits outweigh its safety risks;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our interpretation of data from preclinical studies or clinical trials;</w:t>
      </w:r>
    </w:p>
    <w:p>
      <w:pPr>
        <w:spacing w:after="0" w:line="103" w:lineRule="exact"/>
        <w:rPr>
          <w:rFonts w:ascii="Times New Roman" w:cs="Times New Roman" w:eastAsia="Times New Roman" w:hAnsi="Times New Roman"/>
          <w:sz w:val="18"/>
          <w:szCs w:val="18"/>
          <w:color w:val="auto"/>
        </w:rPr>
      </w:pPr>
    </w:p>
    <w:p>
      <w:pPr>
        <w:jc w:val="both"/>
        <w:ind w:left="660" w:right="220" w:hanging="328"/>
        <w:spacing w:after="0" w:line="24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agree that the data collected from clinical trials of our therapeutic candidates are acceptable or sufficient to support the submission of an NDA or BLA or other submission or to obtain regulatory approval in the United States or elsewhere, and such authorities may impose requirements for additional preclinical studies or clinical trials;</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regarding the formulation, labeling and/or the specifications of our therapeutic candidates;</w:t>
      </w:r>
    </w:p>
    <w:p>
      <w:pPr>
        <w:spacing w:after="0" w:line="103"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may be granted only for indications that are significantly more limited than what we apply for and/or with other significant restrictions on distribution and use;</w:t>
      </w:r>
    </w:p>
    <w:p>
      <w:pPr>
        <w:spacing w:after="0" w:line="54"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find deficiencies in the manufacturing processes, approval policies or facilities of our third-party manufacturers with which we or any of our current or future collaborators contract for clinical and commercial supplies;</w:t>
      </w:r>
    </w:p>
    <w:p>
      <w:pPr>
        <w:spacing w:after="0" w:line="54" w:lineRule="exact"/>
        <w:rPr>
          <w:rFonts w:ascii="Times New Roman" w:cs="Times New Roman" w:eastAsia="Times New Roman" w:hAnsi="Times New Roman"/>
          <w:sz w:val="18"/>
          <w:szCs w:val="18"/>
          <w:color w:val="auto"/>
        </w:rPr>
      </w:pPr>
    </w:p>
    <w:p>
      <w:pPr>
        <w:ind w:left="660" w:right="5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of such authorities may significantly change in a manner rendering our or any of our potential future collaborators’ clinical data insufficient for approval; or</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a submission due to, among other reasons, the content or formatting of the submission.</w:t>
      </w:r>
    </w:p>
    <w:p>
      <w:pPr>
        <w:spacing w:after="0" w:line="21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7"/>
          <w:szCs w:val="17"/>
          <w:color w:val="auto"/>
        </w:rPr>
        <w:t>With respect to foreign markets, approval procedures vary among countries and, in addition to the foregoing risks, may involve additional product testing, administrative review periods and agreements with pricing authorities. In addition, events raising questions about the safety of certain marketed biopharmaceuticals may result in increased cautiousness by the FDA and comparable foreign regulatory authorities in reviewing new drugs based on safety, efficacy or other regulatory considerations and may result in significant delays in obtaining regulatory approvals. Any delay in obtaining, or inability to obtain, applicable regulatory approvals would prevent us or any of our potential future collaborators from commercializing our therapeutic candidates.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therapeutic candidates based on our EEV Platform is unproven, and we do not know whether we will be able to develop any products of commercial value, or if competing technological approaches will limit the commercial value of our therapeutic candidates or render our EEV Platform obsolete.</w:t>
      </w:r>
    </w:p>
    <w:p>
      <w:pPr>
        <w:spacing w:after="0" w:line="176"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The success of our business depends primarily upon our ability to identify, develop and commercialize products based on our proprietary EEV Platform, which leverages a novel and unproven approach. While we have observed favorable preclinical study results based on our EEV Platform, we have not yet succeeded and may not succeed in demonstrating efficacy and safety for any therapeutic candidates in clinical trials or in obtaining marketing approval thereafter. Our lead therapeutic candidates, with the exception of ENTR-601-44 and our partnered candidate VX-670, but including ENTR-601-45 and ENTR-601-50, are in preclinical development. Our research methodology and novel approach to intracellular therapeutics may be unsuccessful in identifying additional therapeutic candidates, and any therapeutic candidates based on our EEV Platform may be shown to have harmful side effects or may have other characteristics that may necessitate additional clinical testing, or make the therapeutic candidates unmarketable or unlikely to receive marketing approval. Further, because all of our therapeutic candidates and development programs are based on our EEV Platform, adverse developments with respect to one of our programs may have a significant adverse impact on the actual or perceived likelihood of success and value of our other programs.</w:t>
      </w:r>
    </w:p>
    <w:p>
      <w:pPr>
        <w:spacing w:after="0" w:line="191"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In addition, the biotechnology and biopharmaceutical industries are characterized by rapidly advancing technologies. Our future success will depend in part on our ability to maintain a competitive position with our EEV approach. Failure to stay at the forefront of technological change in utilizing our EEV Platform to create and develop therapeutic candidates may prevent us from competing effectively. Our competitors may render our EEV approach obsolete, or limit the commercial value of our therapeutic candidates, by advances in existing technological approaches or the development of new or different approaches, potentially eliminating the advantages in our drug discovery process that we believe we derive from our research approach and proprietary technologies. By contrast, adverse developments with respect to other companies that attempt to use a similar approach to our approach may adversely impact the actual or perceived value of our EEV Platform and potential of our therapeutic candidates.</w:t>
      </w:r>
    </w:p>
    <w:p>
      <w:pPr>
        <w:spacing w:after="0" w:line="18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occurrence of any of these events may force us to abandon our development efforts for a program or programs, which would have a material adverse effect on our business and could potentially cause us to cease operations.</w:t>
      </w:r>
    </w:p>
    <w:p>
      <w:pPr>
        <w:spacing w:after="0" w:line="158"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preclinical studies and planned clinical trials that we announce or publish from time to time may change as more patient data become available and are subject to audit and verification procedures that could result in material changes in the final data.</w:t>
      </w:r>
    </w:p>
    <w:p>
      <w:pPr>
        <w:spacing w:after="0" w:line="175"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From time to time, we may publicly disclose interim, preliminary or topline data from our preclinical studies and planned clinical trials, which are based on a preliminary analysis of then-available data, and the results and related findings and conclusions are subject to change following a more comprehensive review of the data related to the particular trial. We also make assumptions, estimations, calculations and conclusions as part of our analyses of data, and we may not have received or had the opportunity to fully and carefully evaluate all data.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preliminary or topline data from our clinical studies. Interim, topline or preliminary data from clinical trials that we may complete are subject to the risk that one or more of the clinical outcomes may materially change as patient enrollment continues and more patient data become available. Adverse differences between preliminary, topline or interim data and final data could significantly harm our business prospects.</w:t>
      </w:r>
    </w:p>
    <w:p>
      <w:pPr>
        <w:spacing w:after="0" w:line="185"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therapeutic candidate or product and the value of our company in general. In addition, the information we choose to publicly disclose regarding a particular study or clinical trial will be based on what is typically extensive information, and our stockholders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therapeutic candidate or our business. If the topline data that we report differ from actual results, or if others, including regulatory authorities, disagree with the conclusions reached, our ability to obtain approval for, and commercialize, our therapeutic candidates may be harmed, which could harm our business, operating results, prospects or financial condition.</w:t>
      </w:r>
    </w:p>
    <w:p>
      <w:pPr>
        <w:spacing w:after="0" w:line="181"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therapeutic candidate or indication, such as our initial focus on developing ENTR-601-44, and fail to capitalize on therapeutic candidates or indications that may be more profitable or for which there is a greater likelihood of success.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Because we have limited human capital and financial resources, we focus on research programs and therapeutic candidates that we identify for specific indications. As a result, we may forego or delay pursuit of opportunities with other therapeutic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therapeutic candidates for specific indications may not yield any commercially viable therapeutic candidates. If we do not accurately evaluate the commercial potential or target market for a particular therapeutic candidate, we may relinquish valuable rights to that therapeutic candidate through collaboration, licensing or other royalty arrangements in cases in which it would have been more advantageous for us to retain sole development and commercialization rights to such therapeutic candidate.</w:t>
      </w:r>
    </w:p>
    <w:p>
      <w:pPr>
        <w:spacing w:after="0" w:line="185"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7"/>
          <w:szCs w:val="17"/>
          <w:color w:val="auto"/>
        </w:rPr>
        <w:t>At any time and for any reason, we may determine that one or more of our discovery programs or preclinical or clinical therapeutic candidates or programs does not have sufficient potential to warrant the allocation of resources toward such program or therapeutic candidate. Accordingly, we may choose not to develop a potential therapeutic candidate or elect to suspend, deprioritize or terminate one or more of our discovery programs or preclinical or clinical therapeutic candidates or programs. Suspending, deprioritizing or terminating a program or therapeutic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therapeutic candidates. For example, in 2020, we made the strategic decision to focus the majority of our immediate efforts on EEV-oligonucleotide opportunities while pausing development on an existing program, ENTR-501 which is an EEV-conjugated protein designed to treat patients with a rare disease known as mitochondrial neurogastrointestinal encephalomyopathy (MNGIE). We have since partnered with an organization that has the resources and expertise to continue the development of ENTR-501. We continue to believe that the program will have an important role to play in the future treatment of patients with MNGIE.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our development portfolio of therapeutic candidates.</w:t>
      </w:r>
    </w:p>
    <w:p>
      <w:pPr>
        <w:spacing w:after="0" w:line="216" w:lineRule="exact"/>
        <w:rPr>
          <w:sz w:val="20"/>
          <w:szCs w:val="20"/>
          <w:color w:val="auto"/>
        </w:rPr>
      </w:pPr>
    </w:p>
    <w:p>
      <w:pPr>
        <w:ind w:right="140" w:firstLine="648"/>
        <w:spacing w:after="0" w:line="241" w:lineRule="auto"/>
        <w:rPr>
          <w:sz w:val="20"/>
          <w:szCs w:val="20"/>
          <w:color w:val="auto"/>
        </w:rPr>
      </w:pPr>
      <w:r>
        <w:rPr>
          <w:rFonts w:ascii="Times New Roman" w:cs="Times New Roman" w:eastAsia="Times New Roman" w:hAnsi="Times New Roman"/>
          <w:sz w:val="18"/>
          <w:szCs w:val="18"/>
          <w:color w:val="auto"/>
        </w:rPr>
        <w:t>A key element of our strategy is to use our novel EEV Platform to address intracellular targets that are drivers of diseases in genomically defined patient populations with high unmet medical need in order to build a development portfolio of therapeutic candidates. Although our research and development efforts to date have resulted in a development portfolio of potential programs and therapeutic candidates, we may not be able to continue to identify intracellular disease targets and develop therapeutic candidates. We may also pursue opportunities to acquire or in-license additional businesses, technologies or products, form strategic alliances or create joint ventures with third parties to complement or augment our existing business. However, we may not be able to identify any therapeutic candidates for our development portfolio through such acquisition or in-license.</w:t>
      </w:r>
    </w:p>
    <w:p>
      <w:pPr>
        <w:spacing w:after="0" w:line="184"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Even if we are successful in continuing to build and expand our development portfolio, the potential therapeutic candidates that we identify may not be suitable for clinical development. For example, they may be shown to have harmful side effects or other characteristics that indicate that they are unlikely to be drugs that will be successful in clinical trials or receive marketing approval and achieve market acceptance. If we do not successfully develop and commercialize therapeutic candidates, we will not be able to obtain drug revenues in future periods, which likely would result in significant harm to our financial position and adversely affect our stock price.</w:t>
      </w:r>
    </w:p>
    <w:p>
      <w:pPr>
        <w:spacing w:after="0" w:line="180"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Where appropriate, we plan to secure approval from the FDA, EMA or comparable foreign regulatory authorities through the use of accelerated approval pathways.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EMA or comparable regulatory authorities, if our confirmatory trials do not verify clinical benefit, or if we do not comply with rigorous post-marketing requirements, the FDA, EMA or such other regulatory authorities may seek to withdraw accelerated approval.</w:t>
      </w:r>
    </w:p>
    <w:p>
      <w:pPr>
        <w:spacing w:after="0" w:line="185"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Where possible, we plan to pursue accelerated development strategies in areas of high unmet need. We may seek an accelerated approval pathway for our one or more of our therapeutic candidates from the FDA, EMA or comparable foreign regulatory authorities. Under the accelerated approval provisions in the Federal Food, Drug, and Cosmetic Act, and the FDA’s implementing regulations, the FDA may grant accelerated approval to a therapeutic candidate designed to treat a serious or life-threatening condition that provides meaningful therapeutic benefit over available therapies upon a determination that the therapeutic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and the FDA is permitted to require, as appropriate, that such studies be underway prior to approval or within a specified period after the date of approval. Sponsors must also update the FDA on the status of these studies, and under FDORA, the FDA has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w:t>
      </w:r>
    </w:p>
    <w:p>
      <w:pPr>
        <w:spacing w:after="0" w:line="185"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7"/>
          <w:szCs w:val="17"/>
          <w:color w:val="auto"/>
        </w:rPr>
        <w:t>Prior to seeking accelerated approval, we will seek feedback from the FDA, EMA or comparable foreign regulatory authorities and will otherwise evaluate our ability to seek and receive such accelerated approval. There can be no assurance that after our evaluation of the feedback and other factors we will decide to pursue or submit an NDA or BLA for accelerated approval or any other form of expedited development, review or approval. Similarly, there can be no assurance that after subsequent feedback from the FDA, EMA or comparable foreign regulatory authorities, we will continue to pursue or apply for accelerated approval or any other form of expedited development, review or approval, even if we initially decide to do so. Furthermore, if we decide to submit an application for accelerated approval, there can be no assurance that such application will be accepted or that any approval will be granted on a timely basis, or at all. The FDA, EMA or other comparable foreign regulatory authorities could also require us to conduct further studies prior to considering our application or granting approval of any type, including, for example, if other products are approved via the accelerated pathway and subsequently converted by FDA to full approval. In addition, the FDA currently requires, unless otherwise informed by the agency, pre-approval of promotional materials for products receiving accelerated approval, which could adversely impact the timing of the commercial launch of any of our products. A failure to obtain accelerated approval or any other form of expedited development, review or approval for our therapeutic candidate would result in a longer time period to commercialization of such therapeutic candidate, could increase the cost of development of such therapeutic candidate and could harm our competitive position in the marketplace.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p>
    <w:p>
      <w:pPr>
        <w:spacing w:after="0" w:line="182"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seek Fast Track designation, Breakthrough Therapy designation and/or orphan drug designation from the FDA or similar designations from other regulatory authorities for one or more of our therapeutic candidates. Even if one or more of our therapeutic candidates receive any of these designations, we may be unable to obtain or maintain the benefits associated with such designation.</w:t>
      </w:r>
    </w:p>
    <w:p>
      <w:pPr>
        <w:spacing w:after="0" w:line="175"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The FDA has established various designations to facilitate more rapid and efficient development and approval of certain types of drugs. Such designations include Fast Track designation, Breakthrough Therapy designation, and orphan drug designation. Fast Track designation is designed to facilitate the development and expedite the review of therapies for serious conditions that fill an unmet medical need. Programs with Fast Track designation may benefit from early and frequent communications with the FDA, potential priority review and the ability to submit a rolling application for regulatory review. Fast Track designation applies to both the therapeutic candidate and the specific indication for which it is being studied. If any of our therapeutic candidates receive Fast Track designation but do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Fast Track designation alone does not guarantee qualification for the FDA’s priority review procedures.</w:t>
      </w:r>
    </w:p>
    <w:p>
      <w:pPr>
        <w:spacing w:after="0" w:line="187"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A Breakthrough Therapy, on the other hand,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For therapeutic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Designation as a Breakthrough Therapy is within the discretion of the FDA, and drugs designated as Breakthrough Therapies by the FDA may also be eligible for other expedited approval programs, including accelerated approval. Even if one or more of our therapeutic candidates qualify as Breakthrough Therapies pursuant to FDA standards, the FDA may later decide that the product no longer meets the conditions for qualification. Thus, even though we may seek Breakthrough Therapy designation for one or more of our current or future therapeutic candidates, there can be no assurance that we will receive Breakthrough Therapy designation.</w:t>
      </w:r>
    </w:p>
    <w:p>
      <w:pPr>
        <w:spacing w:after="0" w:line="185"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the EU, may also designate drugs for relatively small patient populations as orphan drugs. Under the Orphan Drug Act, the FDA may designate a therapeutic candidate as an orphan drug if it is a drug intended to treat a rare condition, which is generally defined as a patient</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population of fewer than 200,000 individuals annually in the United States, or a patient population greater than 200,000 in the United States where there is no reasonable expectation that the cost of developing the drug will be recovered from sales in the United States. In the EU, the EMA’s Committee for Orphan Medicinal Products (COMP) evaluates orphan designation in respect of a product if its sponsor can establish that: (1) the product is intended for the diagnosis, prevention or treatment of a life-threatening or chronically debilitating condition; (2) either (i) such condition affects no more than five (5) in ten thousand (10,000) persons in the EU when the application is made, or (ii) it is unlikely that the product, without the benefits derived from orphan status, would generate sufficient return in the EU to justify the necessary investment in its development; and (3) there is no satisfactory method of diagnosis, prevention or treatment of such condition authorized for marketing in the EU, or, if such a method exists, the product would be of significant benefit to those affected by that condition. In the United States, orphan drug designation entitles a party to financial incentives such as opportunities for grant funding towards clinical trial costs, tax advantages and user-fee waivers, and it may entitle the therapeutic to exclusivity in the United States and the EU. Even if we obtain orphan drug designation for a therapeutic candidate, we may not be able to obtain or maintain orphan drug exclusivity for that therapeutic candidate.</w:t>
      </w:r>
    </w:p>
    <w:p>
      <w:pPr>
        <w:spacing w:after="0" w:line="188"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If any of our programs or therapeutic candidates receive Fast Track, Breakthrough Therapy or orphan drug designation by the FDA or similar designations by other regulatory authorities, there is no assurance that we will receive any benefits from such programs or that we will continue to meet the criteria to maintain such designation. Even if we obtain such designations, we may not experience a faster development process, review or approval compared to conventional FDA procedures. A Fast Track, Breakthrough Therapy, or orphan drug designation does not ensure that a therapeutic candidate will receive marketing approval or that approval will be granted within any particular timeframe.</w:t>
      </w:r>
    </w:p>
    <w:p>
      <w:pPr>
        <w:spacing w:after="0" w:line="180"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marketing approval or commercialization of our therapeutic candidates in the United States does not mean that we will be successful in obtaining marketing approval of our therapeutic candidates in other jurisdictions. Failure to obtain marketing approval in foreign jurisdictions would prevent any therapeutic candidates we may develop from being marketed in such jurisdictions, which, in turn, would materially impair our ability to generate revenue.</w:t>
      </w:r>
    </w:p>
    <w:p>
      <w:pPr>
        <w:spacing w:after="0" w:line="181"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In order to market and sell any therapeutic candidates we may develop in the EU and many other foreign jurisdictions, including the United Kingdom,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medicines in any jurisdiction, which would materially impair our ability to generate revenue.</w:t>
      </w:r>
    </w:p>
    <w:p>
      <w:pPr>
        <w:spacing w:after="0" w:line="219"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Additionally, now that the UK is no longer part of the EU, separate applications and procedures will be required to obtain regulatory approval for our products in the UK and EU. In particular, Great Britain is no longer covered by the centralized procedure for obtaining EU-wide marketing authorizations from the EMA for medicinal products (under the Northern Ireland Protocol, the EU regulatory framework continues to apply in Northern Ireland until January 1, 2025, following which medicinal products must obtain a UK-wide marketing authorization to be marketed throughout the EU, under the Windsor Framework) and a separate process for authorization of drug products will be required in Great Britain. However, under a new international recognition procedure which was put in place by the MHRA on January 1, 2024, the MHRA may take into account decisions on the approval of a marketing authorization from the EMA (and certain other regulators) when considering an application for a UK marketing authorization.</w:t>
      </w:r>
    </w:p>
    <w:p>
      <w:pPr>
        <w:spacing w:after="0" w:line="185" w:lineRule="exact"/>
        <w:rPr>
          <w:sz w:val="20"/>
          <w:szCs w:val="20"/>
          <w:color w:val="auto"/>
        </w:rPr>
      </w:pPr>
    </w:p>
    <w:p>
      <w:pPr>
        <w:ind w:right="160" w:firstLine="648"/>
        <w:spacing w:after="0" w:line="239" w:lineRule="auto"/>
        <w:rPr>
          <w:sz w:val="20"/>
          <w:szCs w:val="20"/>
          <w:color w:val="auto"/>
        </w:rPr>
      </w:pPr>
      <w:r>
        <w:rPr>
          <w:rFonts w:ascii="Times New Roman" w:cs="Times New Roman" w:eastAsia="Times New Roman" w:hAnsi="Times New Roman"/>
          <w:sz w:val="18"/>
          <w:szCs w:val="18"/>
          <w:color w:val="auto"/>
        </w:rPr>
        <w:t>In addition, the regulatory regime in Great Britain at present broadly aligns with EU regulations, however, longer term, Great Britain is likely to develop its own legislation that diverges from that in the EU now that its regulatory system is independent from the EU and the Trade and Cooperation Agreement entered into by the EU and UK does not provide for mutual recognition of UK and EU pharmaceutical legislation. It is possible therefore, that there will be increased regulatory complexities in the UK and EU, which could disrupt the timing of any regulatory approvals that we may determine to pursue in these jurisdictions.</w:t>
      </w:r>
    </w:p>
    <w:p>
      <w:pPr>
        <w:spacing w:after="0" w:line="180" w:lineRule="exact"/>
        <w:rPr>
          <w:sz w:val="20"/>
          <w:szCs w:val="20"/>
          <w:color w:val="auto"/>
        </w:rPr>
      </w:pPr>
    </w:p>
    <w:p>
      <w:pPr>
        <w:ind w:right="9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FDA, EMA and other comparable foreign regulatory authorities may not accept data from trials conducted in locations outside of their jurisdiction.</w:t>
      </w:r>
    </w:p>
    <w:p>
      <w:pPr>
        <w:spacing w:after="0" w:line="15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anticipate we will initially conduct clinical trials of our therapeutic candidates in the United States and we may choose to conduct our clinical trials internationally as well. The acceptance of study data by the FDA, EMA or other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comparable foreign regulatory authority from clinical trials conducted outside of their respective jurisdictions may be subject to certain conditions. In cases where data from United States clinical trials are intended to serve as the basis for marketing approval in the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therapeutic candidates not receiving approval or clearance for commercialization in the applicable jurisdiction.</w:t>
      </w:r>
    </w:p>
    <w:p>
      <w:pPr>
        <w:spacing w:after="0" w:line="180"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methods of therapeutic candidate manufacturing or formulation may result in additional costs or delay, which could adversely affect our business, results of operations and financial condition.</w:t>
      </w:r>
    </w:p>
    <w:p>
      <w:pPr>
        <w:spacing w:after="0" w:line="158"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As therapeutic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For example, we may introduce an alternative formulation of one or more of our therapeutic candidates during the course of our planned clinical trials. Such changes carry the risk that they will not achieve these intended objectives. Any of these changes could cause our therapeutic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therapeutic candidates and jeopardize our ability to commercialize our therapeutic candidates, if approved, and generate revenue.</w:t>
      </w:r>
    </w:p>
    <w:p>
      <w:pPr>
        <w:spacing w:after="0" w:line="183"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Even if we, or any collaborators we may have, obtain marketing approvals for any therapeutic candidates we may develop, the terms of approvals and ongoing regulation of our therapeutics could require the substantial expenditure of resources and may limit how we, or they, manufacture and market our therapeutics, which could materially impair our ability to generate revenue.</w:t>
      </w:r>
    </w:p>
    <w:p>
      <w:pPr>
        <w:spacing w:after="0" w:line="176"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Any therapeutic candidate for which we obtain marketing approval, if ever, along with the manufacturing processes, post-approval clinical data, labeling, advertising and promotional activities for such medicine, will be subject to continual requirements of and review by the FDA and other regulatory authorities. These requirements include submissions of safety and other post-marketing information and reports, registration and listing requirements, cGMP requirements relating to quality control, quality assurance and corresponding maintenance of records and documents, compliance with applicable product tracking and tracing requirements, and requirements regarding the distribution of samples to physicians and recordkeeping. For example, the holder of an approved BLA is obligated to monitor and report adverse events and any failure of a product to meet the specifications in the BLA. The FDA typically advises that patients treated with genetic medicine undergo follow-up observations for potential adverse events for a 15-year period. The holder of an approved BLA must also submit new or supplemental applications and obtain FDA approval for certain changes to the approved product, product labeling or manufacturing process. Even if marketing approval of a therapeutic candidate is granted, the approval may be subject to limitations on the indicated uses for which the medicine may be marketed or to the conditions of approval, or contain requirements for costly post-marketing testing and surveillance to monitor the safety or efficacy of the medicine.</w:t>
      </w:r>
    </w:p>
    <w:p>
      <w:pPr>
        <w:spacing w:after="0" w:line="191"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auto"/>
        </w:rPr>
        <w:t>Accordingly, assuming we, or any third parties we may collaborate with, receive marketing approval for one or more therapeutic candidates we may develop, we, and such collaborators, and our and their contract manufacturers will continue to expend time, money and effort in all areas of regulatory compliance, including manufacturing, production, product surveillance and quality control. If we and such collaborators are not able to comply with post-approval regulatory requirements, we and such collaborators could have the marketing approvals for our therapeutics withdrawn by regulatory authorities and our, or such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185" w:lineRule="exact"/>
        <w:rPr>
          <w:sz w:val="20"/>
          <w:szCs w:val="20"/>
          <w:color w:val="auto"/>
        </w:rPr>
      </w:pPr>
    </w:p>
    <w:p>
      <w:pPr>
        <w:ind w:right="500" w:firstLine="648"/>
        <w:spacing w:after="0" w:line="250" w:lineRule="auto"/>
        <w:rPr>
          <w:sz w:val="20"/>
          <w:szCs w:val="20"/>
          <w:color w:val="auto"/>
        </w:rPr>
      </w:pPr>
      <w:r>
        <w:rPr>
          <w:rFonts w:ascii="Times New Roman" w:cs="Times New Roman" w:eastAsia="Times New Roman" w:hAnsi="Times New Roman"/>
          <w:sz w:val="18"/>
          <w:szCs w:val="18"/>
          <w:color w:val="auto"/>
        </w:rPr>
        <w:t>If we fail to comply with applicable regulatory requirements following approval of any therapeutic candidates we may develop, a regulatory agency may:</w:t>
      </w:r>
    </w:p>
    <w:p>
      <w:pPr>
        <w:spacing w:after="0" w:line="68"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 warning letter asserting that we are in violation of the law;</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a pending BLA or supplements to a BLA submitted by us;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product; 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supply contracts, including government contracts.</w:t>
      </w:r>
    </w:p>
    <w:p>
      <w:pPr>
        <w:spacing w:after="0" w:line="21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therapeutic candidates we may develop and generate revenues.</w:t>
      </w:r>
    </w:p>
    <w:p>
      <w:pPr>
        <w:spacing w:after="0" w:line="173" w:lineRule="exact"/>
        <w:rPr>
          <w:sz w:val="20"/>
          <w:szCs w:val="20"/>
          <w:color w:val="auto"/>
        </w:rPr>
      </w:pPr>
    </w:p>
    <w:p>
      <w:pPr>
        <w:ind w:right="7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Clinical trial and product liability lawsuits against us could divert our resources, could cause us to incur substantial liabilities and could limit commercialization of any therapeutic candidates we may develop.</w:t>
      </w:r>
    </w:p>
    <w:p>
      <w:pPr>
        <w:spacing w:after="0" w:line="158" w:lineRule="exact"/>
        <w:rPr>
          <w:sz w:val="20"/>
          <w:szCs w:val="20"/>
          <w:color w:val="auto"/>
        </w:rPr>
      </w:pPr>
    </w:p>
    <w:p>
      <w:pPr>
        <w:ind w:right="120" w:firstLine="648"/>
        <w:spacing w:after="0" w:line="241" w:lineRule="auto"/>
        <w:rPr>
          <w:sz w:val="20"/>
          <w:szCs w:val="20"/>
          <w:color w:val="auto"/>
        </w:rPr>
      </w:pPr>
      <w:r>
        <w:rPr>
          <w:rFonts w:ascii="Times New Roman" w:cs="Times New Roman" w:eastAsia="Times New Roman" w:hAnsi="Times New Roman"/>
          <w:sz w:val="18"/>
          <w:szCs w:val="18"/>
          <w:color w:val="auto"/>
        </w:rPr>
        <w:t>We will face an inherent risk of clinical trial and product liability exposure related to the testing of any therapeutic candidates we may develop in clinical trials, and we will face an even greater risk if we commercially sell any products that we may develop. While we currently have no therapeutic candidates in clinical trials or that have been approved for commercial sale, the future use of therapeutic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therapeutic candidates or products caused injuries, we will incur substantial liabilities. Regardless of merit or eventual outcome, liability claims may result in:</w:t>
      </w:r>
    </w:p>
    <w:p>
      <w:pPr>
        <w:spacing w:after="0" w:line="62"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therapeutic candidates we may develop;</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and inability to continue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any related litigation;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our stock price;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therapeutic candidates we may develop.</w:t>
      </w:r>
    </w:p>
    <w:p>
      <w:pPr>
        <w:spacing w:after="0" w:line="212" w:lineRule="exact"/>
        <w:rPr>
          <w:sz w:val="20"/>
          <w:szCs w:val="20"/>
          <w:color w:val="auto"/>
        </w:rPr>
      </w:pPr>
    </w:p>
    <w:p>
      <w:pPr>
        <w:ind w:right="220" w:firstLine="648"/>
        <w:spacing w:after="0" w:line="237" w:lineRule="auto"/>
        <w:rPr>
          <w:sz w:val="20"/>
          <w:szCs w:val="20"/>
          <w:color w:val="auto"/>
        </w:rPr>
      </w:pPr>
      <w:r>
        <w:rPr>
          <w:rFonts w:ascii="Times New Roman" w:cs="Times New Roman" w:eastAsia="Times New Roman" w:hAnsi="Times New Roman"/>
          <w:sz w:val="18"/>
          <w:szCs w:val="18"/>
          <w:color w:val="auto"/>
        </w:rPr>
        <w:t>We will need to increase our insurance coverage if we continue to commence clinical trials or if we commence commercialization of any therapeutic candidates. Insurance coverage is increasingly expensive. We may not be able to maintain insurance coverage at a reasonable cost or in an amount adequate to satisfy any liability that may arise. If and when coverage is secured, our insurance policies may also have various exclusions and we may be subject to a product liability claim for which we have no coverage. Even if our agreements with any future corporate collaborators entitle us to indemnification against losses, such indemnification may not be available or adequate should any claim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develop our current or future therapeutic candidates in combination with other therapies, which would expose us to additional risks.</w:t>
      </w:r>
    </w:p>
    <w:p>
      <w:pPr>
        <w:spacing w:after="0" w:line="216"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We may develop our current or potential future therapeutic candidates in combination with one or more currently approved therapies or therapies in development. Even if any of our current or future therapeutic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therapeutic candidates, or safety, efficacy, manufacturing or supply issues could arise with these existing therapies. In addition, it is possible that existing therapies with which our therapeutic candidates are approved for use could themselves fall out of favor or be relegated to later lines of treatment. This could result in the need to identify other combination therapies for our therapeutic candidates or our own products being removed from the market or being less successful commercially.</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may also evaluate our current or future therapeutic candidates in combination with one or more other therapies that have not yet been approved for marketing by the FDA, EMA or comparable foreign regulatory authorities. We will not be able to market and sell any therapeutic candidate in combination with any such unapproved therapies that do not ultimately obtain marketing approval.</w:t>
      </w:r>
    </w:p>
    <w:p>
      <w:pPr>
        <w:spacing w:after="0" w:line="177"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Furthermore, we cannot be certain that we will be able to obtain a steady supply of such therapies for use in developing combinations with our therapeutic candidates on commercially reasonable terms or at all. Any failure to obtain such therapies for use in clinical development and the expense of purchasing therapies in the market may delay our development timelines, increase our costs and jeopardize our ability to develop our therapeutic candidates as commercially viable therapies. If the FDA, EMA or other comparable foreign regulatory authorities do not approve or withdraw their approval of these other therapies, or if safety, efficacy, commercial adoption, manufacturing or supply issues arise with the therapies we choose to evaluate in combination with any of our current or future therapeutic candidates, we may be unable to obtain approval of or successfully market any one or all of the current or future therapeutic candidates we develop. Additionally, if the third-party providers of therapies or therapies in development used in combination with our current or future therapeutic candidates are unable to produce sufficient quantities for clinical trials or for commercialization of our current or future therapeutic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12"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some or all aspects of our product manufacturing, research and preclinical and clinical testing, and these third parties may not perform satisfactorily.</w:t>
      </w:r>
    </w:p>
    <w:p>
      <w:pPr>
        <w:spacing w:after="0" w:line="158"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auto"/>
        </w:rPr>
        <w:t>We do not expect to independently conduct all aspects of our product manufacturing, research and preclinical and clinical testing. We currently rely, and expect to continue to rely, on third parties with respect to many of these items, including contract manufacturing organizations (CMOs) for the manufacturing of any therapeutic candidates we test in preclinical or clinical development, as well as CROs for the conduct of our animal testing and research and CROs for the conduct of our planned clinical trials. Any of these third parties may terminate their engagements with us at any time. A need to enter into alternative arrangements could delay our product development activities, and we may not be able to enter into alternative arrangements on reasonable terms, if at all.</w:t>
      </w:r>
    </w:p>
    <w:p>
      <w:pPr>
        <w:spacing w:after="0" w:line="184"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responsibility to ensure compliance with all required regulations and study protocols. For example, for therapeutic candidates that we develop and commercialize on our own, we will remain responsible for ensuring that each of our CTA/IND-enabling studies and clinical trials are conducted in accordance with the study plan and protocols. Moreover, the FDA and similar foreign regulatory bodies require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government-sponsored databases, such as clinicaltrials.gov, within specified timeframes. Failure to do so can result in fines, adverse publicity and civil and criminal sanctions. If we or any of our CROs or other third parties, including trial sites, fail to comply with applicable GCPs, the clinical data generated in our clinical trials may be deemed unreliable and the FDA, EMA or comparable foreign regulatory authorities may require us to perform additional clinical trials before approving our marketing applications. We cannot assure our stockholders that upon inspection by a given regulatory authority, such regulatory authority will determine that any of our clinical trials complies with GCP regulations. In addition, our clinical trials must be conducted with product produced under conditions that comply with GMPs. Our failure to comply with these regulations may require us to repeat clinical trials, which would delay the regulatory approval process.</w:t>
      </w:r>
    </w:p>
    <w:p>
      <w:pPr>
        <w:spacing w:after="0" w:line="189"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18"/>
          <w:szCs w:val="18"/>
          <w:color w:val="auto"/>
        </w:rPr>
        <w:t>Although we intend to design the clinical trials for any therapeutic candidates we may develop, CROs will conduct some or all of the clinical trials. As a result, many important aspects of our development programs, including their conduct and timing, will be outside of our direct control. Our reliance on third parties to conduct future preclinical studies and clinical trials will also result in less direct control over the management of data developed through preclinical studies and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6"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acquire the necessary supplies to perform successfully;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1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preclinical studies and clinical trials and may subject us to unexpected cost increases that are beyond our control. We expect to have to negotiate budgets and contracts with CROs and trial sites, which may result in delays to our development timelines and increased costs. 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CROs, and any other third parties we engage do not perform preclinical studies and future clinical trials in a satisfactory manner, if the quality or accuracy of the clinical data they obtain is compromised due to the failure to adhere to our clinical protocols, or if they breach their obligations to us or fail to comply with regulatory requirements, the development, regulatory approval and commercialization of any therapeutic candidates we may develop may be delayed, we may not be able to obtain regulatory approval and commercialize our therapeutic candidates or our development programs may be materially and irreversibly harmed. If we are unable to rely on preclinical and clinical data collected by our CROs and other third parties, we could be required to repeat, extend the duration of or increase the size of any preclinical studies or clinical trials we conduct and this could significantly delay commercialization and require greater expenditures.</w:t>
      </w:r>
    </w:p>
    <w:p>
      <w:pPr>
        <w:spacing w:after="0" w:line="172" w:lineRule="exact"/>
        <w:rPr>
          <w:sz w:val="20"/>
          <w:szCs w:val="20"/>
          <w:color w:val="auto"/>
        </w:rPr>
      </w:pPr>
    </w:p>
    <w:p>
      <w:pPr>
        <w:ind w:right="200" w:firstLine="648"/>
        <w:spacing w:after="0" w:line="238" w:lineRule="auto"/>
        <w:rPr>
          <w:sz w:val="20"/>
          <w:szCs w:val="20"/>
          <w:color w:val="auto"/>
        </w:rPr>
      </w:pPr>
      <w:r>
        <w:rPr>
          <w:rFonts w:ascii="Times New Roman" w:cs="Times New Roman" w:eastAsia="Times New Roman" w:hAnsi="Times New Roman"/>
          <w:sz w:val="18"/>
          <w:szCs w:val="18"/>
          <w:color w:val="auto"/>
        </w:rPr>
        <w:t>Nevertheless, we are responsible for ensuring that each of our clinical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other regulatory authorities for therapeutic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other regulatory authorities may require us to suspend, place on clinical hold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 In addition, our clinical trials must be conducted with biologic product produced under cGMP requirements and may require a large number of patients. In the U.S.,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86"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therapeutic candidates. As a result, our financial results and the commercial prospects for our therapeutic candidates would be harmed, our costs could increase and our ability to generate revenue could be delayed.</w:t>
      </w:r>
    </w:p>
    <w:p>
      <w:pPr>
        <w:spacing w:after="0" w:line="189"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 For any violations of laws and regulations during the conduct of our preclinical studies and clinical trials, we could be subject to warning letters or enforcement action that may include civil penalties up to and including criminal prosecution.</w:t>
      </w:r>
    </w:p>
    <w:p>
      <w:pPr>
        <w:spacing w:after="0" w:line="185"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If any of our relationships with these third-party CROs or others terminate, we may not be able to enter into arrangements with alternative CROs or other third parties or to do so on commercially reasonable terms. Switching or adding additional CROs involves additional cost and requires management time and focus. In addition, there is a natural transition period when a new CRO begins work. As a result, delays may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 If third parties do not successfully carry out their contractual duties, meet expected deadlines or conduct our studies in accordance with regulatory requirements or our stated study plans and protocols, we will not be able to complete, or may be delayed in completing, the preclinical studies and clinical trials required to support future IND submissions and approval of any therapeutic candidates we may develop.</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third-party vendors to provide certain licenses, products and services and our business and operations, including clinical trials, could be disrupted by any problems with our significant third-party vendors.</w:t>
      </w:r>
    </w:p>
    <w:p>
      <w:pPr>
        <w:spacing w:after="0" w:line="158"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We engage a number of third-party suppliers and service providers to supply critical goods and services, such as contract research services, contract manufacturing services and IT services. Disruptions to the business, financial stability or operations of these suppliers and service providers, including due to strikes, labor disputes or other disruptions to the workforce, for instance, if employees are not able to come to work, or to their willingness and ability to produce or deliver such products or provide such services in a manner that satisfies the requirements put forth by the authorities, or in a manner that satisfies our own requirements, could affect our ability to develop and market our future therapeutic candidates on a timely basis. If these suppliers and service providers were unable or unwilling to continue to provide their products or services in the manner expected, or at all, we could encounter difficulty finding alternative suppliers. Even if we are able to secure appropriate alternative suppliers in a timely manner, costs for such products or services could increase significantly. Any of these events could adversely affect our results of operations and our business.</w:t>
      </w:r>
    </w:p>
    <w:p>
      <w:pPr>
        <w:spacing w:after="0" w:line="183"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Our EEV-based therapeutic candidates are based on novel technologies and any therapeutic candidates we develop may be complex and difficult to manufacture. We may encounter difficulties in manufacturing, product release, shelf life, testing, storage, supply chain management or shipping. If we or any of our third-party manufacturers encounter such difficulties, our ability to supply material for clinical trials or any approved product could be delayed or stopped.</w:t>
      </w:r>
    </w:p>
    <w:p>
      <w:pPr>
        <w:spacing w:after="0" w:line="185"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The manufacturing processes for our therapeutic candidates are novel. There are no medicines incorporating or utilizing our EEV Platform that have been commercialized to date. Due to the novel nature of this technology and limited experience at larger scale production, we may encounter difficulties in manufacturing, product release, shelf life, testing, storage and supply chain management, or shipping. These difficulties could be due to any number of reasons including, but not limited to, complexities of producing batches at larger scale, equipment failure, choice and quality of raw materials and excipients, analytical testing technology, and product instability. In an effort to optimize product features, we have in the past and may in the future make changes to our therapeutic candidates in their manufacturing and stability formulation and conditions. This has in the past resulted in and may in the future result in our having to resupply batches for preclinical or clinical activities when there is insufficient product stability during storage and insufficient supply. Insufficient stability or shelf life of our therapeutic candidates could materially delay our or our strategic collaborators’ ability to continue the clinical trial for that therapeutic candidate or require us to begin a new clinical trial with a newly formulated drug product, due to the need to manufacture additional preclinical or clinical supply.</w:t>
      </w:r>
    </w:p>
    <w:p>
      <w:pPr>
        <w:spacing w:after="0" w:line="188" w:lineRule="exact"/>
        <w:rPr>
          <w:sz w:val="20"/>
          <w:szCs w:val="20"/>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auto"/>
        </w:rPr>
        <w:t>Our rate of innovation is high, which has resulted in and will continue to cause a high degree of technology change that can negatively impact product comparability during and after clinical development. Furthermore, technology changes may drive the need for changes in, modification to, or the sourcing of new manufacturing infrastructure or may adversely affect third-party relationships.</w:t>
      </w:r>
    </w:p>
    <w:p>
      <w:pPr>
        <w:spacing w:after="0" w:line="184"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The process to generate our EEV-based therapeutics is complex and, if not developed and manufactured under well-controlled conditions, can adversely impact pharmacological activity. Furthermore, we have not manufactured our EEV-based therapeutics at commercial scale. We may encounter difficulties in scaling up our manufacturing process, thereby potentially impacting clinical and commercial supply.</w:t>
      </w:r>
    </w:p>
    <w:p>
      <w:pPr>
        <w:spacing w:after="0" w:line="177" w:lineRule="exact"/>
        <w:rPr>
          <w:sz w:val="20"/>
          <w:szCs w:val="20"/>
          <w:color w:val="auto"/>
        </w:rPr>
      </w:pPr>
    </w:p>
    <w:p>
      <w:pPr>
        <w:jc w:val="both"/>
        <w:ind w:right="200" w:firstLine="648"/>
        <w:spacing w:after="0" w:line="250" w:lineRule="auto"/>
        <w:rPr>
          <w:sz w:val="20"/>
          <w:szCs w:val="20"/>
          <w:color w:val="auto"/>
        </w:rPr>
      </w:pPr>
      <w:r>
        <w:rPr>
          <w:rFonts w:ascii="Times New Roman" w:cs="Times New Roman" w:eastAsia="Times New Roman" w:hAnsi="Times New Roman"/>
          <w:sz w:val="18"/>
          <w:szCs w:val="18"/>
          <w:color w:val="auto"/>
        </w:rPr>
        <w:t>During clinical development of our EEV-based therapeutics, in many cases, we may have to utilize multiple batches of drug substance and drug product to meet the clinical supply requirement of a single clinical trial. Failure in our ability to scale up batch size or failure in any batch may lead to a substantial delay in our clinical trials.</w:t>
      </w:r>
    </w:p>
    <w:p>
      <w:pPr>
        <w:spacing w:after="0" w:line="177"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As we continue developing new manufacturing processes for our drug substance and drug product, the changes we implement to manufacturing process may in turn impact specification and stability of the drug product. Changes in our manufacturing processes may lead to failure of lots and this could lead to a substantial delay in our clinical trials. Our EEV-based therapeutic candidates may prove to have a stability profile that leads to a lower than desired shelf life of our final approved EEV-based product. This poses risk in supply requirements, wasted stock, and higher cost of goods.</w:t>
      </w:r>
    </w:p>
    <w:p>
      <w:pPr>
        <w:spacing w:after="0" w:line="181"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Due to the number of different programs, we may have cross contamination of products inside of our factories, CROs, suppliers, or in the clinic that affect the integrity of our therapeutics.</w:t>
      </w:r>
    </w:p>
    <w:p>
      <w:pPr>
        <w:spacing w:after="0" w:line="176"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As we scale the manufacturing output for particular programs, we plan to continuously improve yield, purity, and the pharmaceutical properties of our development candidates from IND-enabling studies through commercial launch, including shelf life stability, and solubility properties of drug product and drug substance. Because of continuous improvement in manufacturing processes, we may switch processes for a particular program during development. However, after the change in process, more time is required for pharmaceutical property testing, such as 6 or 12 month stability testing. That may require resupplying clinical material, or making additional cGMP batches to keep up with clinical trial demand before such pharmaceutical property testing is completed.</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20" w:firstLine="648"/>
        <w:spacing w:after="0" w:line="242" w:lineRule="auto"/>
        <w:rPr>
          <w:sz w:val="20"/>
          <w:szCs w:val="20"/>
          <w:color w:val="auto"/>
        </w:rPr>
      </w:pPr>
      <w:r>
        <w:rPr>
          <w:rFonts w:ascii="Times New Roman" w:cs="Times New Roman" w:eastAsia="Times New Roman" w:hAnsi="Times New Roman"/>
          <w:sz w:val="18"/>
          <w:szCs w:val="18"/>
          <w:color w:val="auto"/>
        </w:rPr>
        <w:t>We are utilizing a number of raw materials and excipients that are either new to the pharmaceutical industry or are being employed in a novel manner. Some of these raw materials and excipients have not been scaled to a level to support commercial supply and could experience unexpected manufacturing or testing failures, or supply shortages. Such issues with raw materials and excipients could cause delays or interruptions to clinical and commercial supply of our therapeutic candidates. Further, now and in the future one or more of our programs may have a single source of supply for raw materials and excipients.</w:t>
      </w:r>
    </w:p>
    <w:p>
      <w:pPr>
        <w:spacing w:after="0" w:line="185" w:lineRule="exact"/>
        <w:rPr>
          <w:sz w:val="20"/>
          <w:szCs w:val="20"/>
          <w:color w:val="auto"/>
        </w:rPr>
      </w:pPr>
    </w:p>
    <w:p>
      <w:pPr>
        <w:ind w:right="580" w:firstLine="648"/>
        <w:spacing w:after="0" w:line="245" w:lineRule="auto"/>
        <w:rPr>
          <w:sz w:val="20"/>
          <w:szCs w:val="20"/>
          <w:color w:val="auto"/>
        </w:rPr>
      </w:pPr>
      <w:r>
        <w:rPr>
          <w:rFonts w:ascii="Times New Roman" w:cs="Times New Roman" w:eastAsia="Times New Roman" w:hAnsi="Times New Roman"/>
          <w:sz w:val="18"/>
          <w:szCs w:val="18"/>
          <w:color w:val="auto"/>
        </w:rPr>
        <w:t>We may establish a number of analytical assays to assess the quality of our EEV-based therapeutic candidates. We may identify gaps in our analytical testing strategy that might prevent release of product or could require product withdrawal or recall. For example, we may discover new impurities that have an impact on product safety, efficacy, or stability. This may lead to an inability to release our therapeutic candidates until the manufacturing or testing process is rectified.</w:t>
      </w:r>
    </w:p>
    <w:p>
      <w:pPr>
        <w:spacing w:after="0" w:line="181" w:lineRule="exact"/>
        <w:rPr>
          <w:sz w:val="20"/>
          <w:szCs w:val="20"/>
          <w:color w:val="auto"/>
        </w:rPr>
      </w:pPr>
    </w:p>
    <w:p>
      <w:pPr>
        <w:ind w:right="160" w:firstLine="648"/>
        <w:spacing w:after="0" w:line="245" w:lineRule="auto"/>
        <w:rPr>
          <w:sz w:val="20"/>
          <w:szCs w:val="20"/>
          <w:color w:val="auto"/>
        </w:rPr>
      </w:pPr>
      <w:r>
        <w:rPr>
          <w:rFonts w:ascii="Times New Roman" w:cs="Times New Roman" w:eastAsia="Times New Roman" w:hAnsi="Times New Roman"/>
          <w:sz w:val="18"/>
          <w:szCs w:val="18"/>
          <w:color w:val="auto"/>
        </w:rPr>
        <w:t>We may find that our therapeutic candidates are extremely temperature sensitive, and we may learn that any or all of our therapeutics are less stable than desired. We may also find that transportation conditions negatively impact product quality. This may require changes to the formulation or manufacturing process for one or more of our therapeutic candidates and result in delays or interruptions to clinical or commercial supply. In addition, the cost associated with such transportation services and the limited pool of vendors may also add additional risks of supply disruptions.</w:t>
      </w:r>
    </w:p>
    <w:p>
      <w:pPr>
        <w:spacing w:after="0" w:line="16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58"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Because we currently rely on third parties to manufacture our therapeutic candidates and to perform quality testing,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discovery of our proprietary technology and confidential information or other unauthorized use or disclosure would impair our competitive position and may have a material adverse effect on our business, financial condition, results of operations and prospects.</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from time to time be dependent on single-source suppliers for some of the components and materials used in the therapeutic candidates we may develop.</w:t>
      </w:r>
    </w:p>
    <w:p>
      <w:pPr>
        <w:spacing w:after="0" w:line="172"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We may from time to time depend on single-source suppliers for some of the components and materials used in any therapeutic candidates we may develop. We cannot ensure that these suppliers or service providers will remain in business, have sufficient capacity or supply to meet our needs or that they will not be purchased by one of our competitors or another company that is not interested in continuing to work with us. Our use of single-source suppliers of raw materials, components, key processes and finished goods could expose us to several risks, including disruptions in supply, price increases or late deliveries. There are, in general, relatively few alternative sources of supply for substitute components. These vendors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damage our business, financial condition, results of operations and prospects.</w:t>
      </w:r>
    </w:p>
    <w:p>
      <w:pPr>
        <w:spacing w:after="0" w:line="191"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If we have to switch to a replacement supplier, the manufacture and delivery of any therapeutic candidates we may develop could be interrupted for an extended period, which could adversely affect our business. Establishing additional or replacement suppliers, if required, may not be accomplished quickly. If we are able to find a replacement supplier, the replacement supplier would need to be qualified and may require additional regulatory authority approval, which could result in further delay. While we seek to maintain adequate inventory of the single source components and materials used in our therapeutics, any interruption or delay in the supply of components or materials, or our inability to obtain components or materials from alternate sources at acceptable prices in a timely manner, could impair our ability to meet the demand for our investigational medicines.</w:t>
      </w:r>
    </w:p>
    <w:p>
      <w:pPr>
        <w:spacing w:after="0" w:line="182"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and may in the future enter into collaborations, licenses and other similar arrangements with third parties for the research, development and commercialization of certain of the therapeutic candidates we may develop, including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collaboration with Vertex. If any such arrangements are not successful, we may not be able to capitalize on the market potential of those therapeutic candidates.</w:t>
      </w:r>
    </w:p>
    <w:p>
      <w:pPr>
        <w:spacing w:after="0" w:line="158"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We may seek third-party collaborators for the research, development and commercialization of certain of the therapeutic candidates we may develop. If we enter into any such arrangements with any third parties, we will likely have limited control over the amount and timing of resources that our partners dedicate to the development or commercialization of any therapeutic candidates we may seek to develop with them. Our ability to generate revenues from these arrangements will depend on our abilities to successfully perform the functions assigned to them in these arrangements. We cannot predict the success of any arrangement that we enter into.</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Collaborations involving our research programs or any therapeutic candidates we may develop pose numerous risks to us, including the following:</w:t>
      </w:r>
    </w:p>
    <w:p>
      <w:pPr>
        <w:spacing w:after="0" w:line="104"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would have significant discretion in determining the efforts and resources that they will apply to these collaborations;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03"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therapeutic candidates we may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55"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programs, preclinical studies or clinical trials, provide insufficient funding for programs, preclinical studies or clinical trials, stop a preclinical study or clinical trial or abandon a therapeutic candidate, repeat or conduct new clinical trials or require a new formulation of a therapeutic candidate for clinical testing;</w:t>
      </w:r>
    </w:p>
    <w:p>
      <w:pPr>
        <w:spacing w:after="0" w:line="68" w:lineRule="exact"/>
        <w:rPr>
          <w:rFonts w:ascii="Times New Roman" w:cs="Times New Roman" w:eastAsia="Times New Roman" w:hAnsi="Times New Roman"/>
          <w:sz w:val="18"/>
          <w:szCs w:val="18"/>
          <w:color w:val="auto"/>
        </w:rPr>
      </w:pPr>
    </w:p>
    <w:p>
      <w:pPr>
        <w:ind w:left="660" w:right="660" w:hanging="328"/>
        <w:spacing w:after="0" w:line="250"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any therapeutic candidates we may develop if the collaborators believe that competitive products are more likely to be successfully developed or can be commercialized under terms that are more economically attractive than ours;</w:t>
      </w:r>
    </w:p>
    <w:p>
      <w:pPr>
        <w:spacing w:after="0" w:line="68" w:lineRule="exact"/>
        <w:rPr>
          <w:rFonts w:ascii="Times New Roman" w:cs="Times New Roman" w:eastAsia="Times New Roman" w:hAnsi="Times New Roman"/>
          <w:sz w:val="18"/>
          <w:szCs w:val="18"/>
          <w:color w:val="auto"/>
        </w:rPr>
      </w:pPr>
    </w:p>
    <w:p>
      <w:pPr>
        <w:ind w:left="660" w:right="88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be acquired by a third party having competitive products or different priorities, causing the emphasis on our product development or commercialization program under such collaboration to be delayed, diminished or terminated;</w:t>
      </w:r>
    </w:p>
    <w:p>
      <w:pPr>
        <w:spacing w:after="0" w:line="54"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54" w:lineRule="exact"/>
        <w:rPr>
          <w:rFonts w:ascii="Times New Roman" w:cs="Times New Roman" w:eastAsia="Times New Roman" w:hAnsi="Times New Roman"/>
          <w:sz w:val="18"/>
          <w:szCs w:val="18"/>
          <w:color w:val="auto"/>
        </w:rPr>
      </w:pPr>
    </w:p>
    <w:p>
      <w:pPr>
        <w:ind w:left="660" w:right="80" w:hanging="328"/>
        <w:spacing w:after="0" w:line="296" w:lineRule="auto"/>
        <w:tabs>
          <w:tab w:leader="none" w:pos="65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spacing w:after="0" w:line="30" w:lineRule="exact"/>
        <w:rPr>
          <w:rFonts w:ascii="Times New Roman" w:cs="Times New Roman" w:eastAsia="Times New Roman" w:hAnsi="Times New Roman"/>
          <w:sz w:val="17"/>
          <w:szCs w:val="17"/>
          <w:color w:val="auto"/>
        </w:rPr>
      </w:pPr>
    </w:p>
    <w:p>
      <w:pPr>
        <w:ind w:left="660" w:right="1040" w:hanging="328"/>
        <w:spacing w:after="0" w:line="250"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collaborator of ours is involved in a business combination, the collaborator might de-emphasize or terminate the development or commercialization of any therapeutic candidate licensed to it by us;</w:t>
      </w:r>
    </w:p>
    <w:p>
      <w:pPr>
        <w:spacing w:after="0" w:line="68"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any therapeutic candidates we may develop or that result in costly litigation or arbitration that diverts management attention and resources;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certain valuable rights under certain circumstances, including if we undergo a change of control;</w:t>
      </w:r>
    </w:p>
    <w:p>
      <w:pPr>
        <w:spacing w:after="0" w:line="103" w:lineRule="exact"/>
        <w:rPr>
          <w:rFonts w:ascii="Times New Roman" w:cs="Times New Roman" w:eastAsia="Times New Roman" w:hAnsi="Times New Roman"/>
          <w:sz w:val="18"/>
          <w:szCs w:val="18"/>
          <w:color w:val="auto"/>
        </w:rPr>
      </w:pPr>
    </w:p>
    <w:p>
      <w:pPr>
        <w:ind w:left="660" w:right="136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therapeutic candidates we may develop; and</w:t>
      </w:r>
    </w:p>
    <w:p>
      <w:pPr>
        <w:spacing w:after="0" w:line="54"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business or operations could be disrupted due to reasons outside of our control, such as global health crises, which could have an adverse impact on their development and commercialization efforts or the prospects of our collaboration;</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therapeutic candidates in the most efficient manner or at all.</w:t>
      </w:r>
    </w:p>
    <w:p>
      <w:pPr>
        <w:spacing w:after="0" w:line="212"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18"/>
          <w:szCs w:val="18"/>
          <w:color w:val="auto"/>
        </w:rPr>
        <w:t>If our collaborations do not result in the successful development and commercialization of therapeutic candidates, or if one of our collaborators terminates its agreement with us, we may not receive any future research funding or milestone or royalty payments under the collaboration. If we do not receive the funding we expect under these agreements, our development of therapeutic candidates could be delayed, and we may need additional resources to develop therapeutic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regulatory approval and commercialization described in this Annual Report apply to the activities of our collaborators.</w:t>
      </w:r>
    </w:p>
    <w:p>
      <w:pPr>
        <w:spacing w:after="0" w:line="212"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 xml:space="preserve">For example, we will have limited influence and control over the development and commercialization activities of Vertex in the development and commercialization of VX-670 or certain other product candidates. On January 7, 2024, Vertex announced that they received clearances from Health Canada and the </w:t>
      </w:r>
      <w:r>
        <w:rPr>
          <w:rFonts w:ascii="Times New Roman" w:cs="Times New Roman" w:eastAsia="Times New Roman" w:hAnsi="Times New Roman"/>
          <w:sz w:val="18"/>
          <w:szCs w:val="18"/>
          <w:color w:val="231F20"/>
        </w:rPr>
        <w:t>Medicines and Healthcare Products Regulatory Agency (MHRA – UK)</w:t>
      </w:r>
      <w:r>
        <w:rPr>
          <w:rFonts w:ascii="Times New Roman" w:cs="Times New Roman" w:eastAsia="Times New Roman" w:hAnsi="Times New Roman"/>
          <w:sz w:val="18"/>
          <w:szCs w:val="18"/>
          <w:color w:val="auto"/>
        </w:rPr>
        <w:t xml:space="preserve"> for CTAs for VX-670 for patients with DM1. Vertex initiated the Phase 1/2 clinical trial in patients with DM1 in Canada and will initiate the study in the UK near-term. However, Vertex also announced that the FDA requested additional information related to their VX-670 IND, which resulted in a clinical hold. Vertex is working to address FDA comments and initiate the study in the U.S. Should Vertex be delayed in submitting a response to the clinical hold in the United States or their response is not satisfactory to the FDA, the clinical hold may not be lifted on a timely basis, or at all. Vertex’s development and commercialization activities may adversely impact our own efforts. Failure by Vertex to meet its obligations under the Vertex Agreement, to apply sufficient efforts at developing and commercializing collaboration products, or to comply with applicable legal or regulatory requirements, may materially adversely affect our business and our results of operations. In addition, to the extent we rely on Vertex to commercialize any products upon obtaining regulatory approval, we may receive less revenues than if we commercialized these products ourselves, which could materially harm our prospects.</w:t>
      </w:r>
    </w:p>
    <w:p>
      <w:pPr>
        <w:spacing w:after="0" w:line="186"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These relationships, or those like them,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definitive collaboration agreements will depend, among other things, upon our assessment of the collaborator’s resources and expertise, the terms and conditions of the proposed collaboration, and the proposed collaborator’s evaluation of several factors. If we license rights to any therapeutic candidates we or our collaborators may develop, we may not be able to realize the benefit of such transactions if we are unable to successfully integrate them with our existing operations and company culture.</w:t>
      </w:r>
    </w:p>
    <w:p>
      <w:pPr>
        <w:spacing w:after="0" w:line="182"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current or potential collaborators, these parties may act in a manner adverse to us and could limit our ability to implement our strategies.</w:t>
      </w:r>
    </w:p>
    <w:p>
      <w:pPr>
        <w:spacing w:after="0" w:line="158"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If conflicts arise between us and our current or potential collaborators, the other party may act in a manner adverse to us and could limit our ability to implement our strategies. Our collaborators may develop, either alone or with others, products in related fields that are competitive with the therapeutic candidates we may develop that are the subject of these collaborations with us. Competing products, either developed by the collaborators or to which the collaborators have rights, may result in the withdrawal of support for our therapeutic candidates.</w:t>
      </w:r>
    </w:p>
    <w:p>
      <w:pPr>
        <w:spacing w:after="0" w:line="181"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auto"/>
        </w:rPr>
        <w:t>Some of our future collaborators could also become our competitors. Our collaborators could develop competing products, preclude us from entering into collaborations with their competitors, fail to obtain timely regulatory approvals, terminate their agreements with us prematurely, fail to devote sufficient resources to the development and commercialization of products, or merge with or be acquired by a third party who may do any of these things. Any of these developments could harm our product development efforts.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establish collaborations on commercially reasonable terms, we may have to alter our development and commercialization plans.</w:t>
      </w:r>
    </w:p>
    <w:p>
      <w:pPr>
        <w:spacing w:after="0" w:line="216"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Our product development and research programs and the potential commercialization of any therapeutic candidates we may develop will require substantial additional cash to fund expenses. For some of the therapeutic candidates we may develop, we may decide to collaborate with other pharmaceutical and biotechnology companies for the development and potential commercialization of those therapeutic candidates.</w:t>
      </w:r>
    </w:p>
    <w:p>
      <w:pPr>
        <w:spacing w:after="0" w:line="177"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EMA or similar regulatory authorities outside the United States, the potential market for the subject therapeutic candidate, the costs and complexities of manufacturing and delivering such therapeutic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therapeutic candidates or technologies for similar indications that may be available to collaborate on and whether such a collaboration could be more attractive than the one with us.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therapeutic candidate for which we are seeking to collaborate, reduce or delay its development program or one or more of our other development programs, delay its potential commercialization, reduce the scope of any sales or marketing activities, or increase our own expenditures on the development of the therapeutic candidate.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Therapeutic Candidates</w:t>
      </w:r>
    </w:p>
    <w:p>
      <w:pPr>
        <w:spacing w:after="0" w:line="212"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our therapeutic candidates will depend upon the degree of market acceptance of such therapeutic candidates by physicians, patients, healthcare payors and others in the medical community.</w:t>
      </w:r>
    </w:p>
    <w:p>
      <w:pPr>
        <w:spacing w:after="0" w:line="158"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Our therapeutic candidates may not be commercially successful. Even if any of our therapeutic candidates receive regulatory approval, they may not gain market acceptance among physicians, patients, healthcare payors or the medical community. The commercial success of any of our current or future therapeutic candidates will depend significantly on the broad adoption and use of the resulting product by physicians and patients for approved indications. The degree of market acceptance of our therapeutics will depend on a number of factors, including:</w:t>
      </w:r>
    </w:p>
    <w:p>
      <w:pPr>
        <w:spacing w:after="0" w:line="59"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demonstration of clinical efficacy and safety compared to other more-established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indications for which our therapeutic candidates are approved;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our targeted patient population and other limitations or warnings contained in any FDA-approved labeling;</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a new drug for the relevant indication by healthcare providers and their patients;</w:t>
      </w:r>
    </w:p>
    <w:p>
      <w:pPr>
        <w:spacing w:after="0" w:line="10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cost-effectiveness of our therapeutics, as well as the cost of treatment with our therapeutics in relation to alternative treatments and therapies;</w:t>
      </w:r>
    </w:p>
    <w:p>
      <w:pPr>
        <w:spacing w:after="0" w:line="54"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sufficient third-party coverage and adequate reimbursement from government healthcare programs, including Medicare and Medicaid, private health insurers and other third-party payors;</w:t>
      </w:r>
    </w:p>
    <w:p>
      <w:pPr>
        <w:spacing w:after="0" w:line="54"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all, or a portion of, out-of-pocket costs associated with our therapeutics in the absence of sufficient third-party coverage and adequate reimbursement;</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therapeutics, and the prevalence and severity of any adverse effects;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therapeutics as well as competitive drugs;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or any of our current or potential future collaborators’ sales and marketing strategies;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w:t>
      </w:r>
    </w:p>
    <w:p>
      <w:pPr>
        <w:spacing w:after="0" w:line="21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If any therapeutic candidate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therapeutics may require significant resources and may never be successful.</w:t>
      </w:r>
    </w:p>
    <w:p>
      <w:pPr>
        <w:spacing w:after="0" w:line="173"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of our therapeutic candidates, if approved, such therapeutic candidate may become subject to unfavorable pricing regulations or third-party coverage and reimbursement policies, which would harm our business.</w:t>
      </w:r>
    </w:p>
    <w:p>
      <w:pPr>
        <w:spacing w:after="0" w:line="158" w:lineRule="exact"/>
        <w:rPr>
          <w:sz w:val="20"/>
          <w:szCs w:val="20"/>
          <w:color w:val="auto"/>
        </w:rPr>
      </w:pPr>
    </w:p>
    <w:p>
      <w:pPr>
        <w:ind w:right="240" w:firstLine="648"/>
        <w:spacing w:after="0" w:line="237"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therapeutic candidate in a particular country, but then be subject to price regulations that delay our commercial launch of the therapeutic candidate, possibly for lengthy time periods, and negatively impact the revenues we are able to generate from the sale of the therapeutic candidate in that country. Adverse pricing limitations may hinder our ability to recoup our investment in one or more therapeutic candidates, even if our therapeutic candidates obtain marketing approval.</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40" w:firstLine="648"/>
        <w:spacing w:after="0" w:line="242" w:lineRule="auto"/>
        <w:rPr>
          <w:sz w:val="20"/>
          <w:szCs w:val="20"/>
          <w:color w:val="auto"/>
        </w:rPr>
      </w:pPr>
      <w:r>
        <w:rPr>
          <w:rFonts w:ascii="Times New Roman" w:cs="Times New Roman" w:eastAsia="Times New Roman" w:hAnsi="Times New Roman"/>
          <w:sz w:val="18"/>
          <w:szCs w:val="18"/>
          <w:color w:val="auto"/>
        </w:rPr>
        <w:t>Our ability to commercialize any therapeutic candidates successfully also will depend in part on the extent to which coverage and reimbursement for these therapeutic candidates and related treatments will be available from government authorities, private health insurers and other organizations. In the U.S. and markets in other countries, patients generally rely on third-party payors to reimburse all or part of the costs associated with their treatment.</w:t>
      </w:r>
    </w:p>
    <w:p>
      <w:pPr>
        <w:spacing w:after="0" w:line="1"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Adequate coverage and reimbursement from governmental healthcare programs, such as Medicare and Medicaid, and commercial payors is critical to new product acceptance.</w:t>
      </w:r>
    </w:p>
    <w:p>
      <w:pPr>
        <w:spacing w:after="0" w:line="182"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18"/>
          <w:szCs w:val="18"/>
          <w:color w:val="auto"/>
        </w:rPr>
        <w:t>In the United States, the principal decisions about reimbursement for new medicines are typically made by the Centers for Medicare &amp; Medicaid Services (CMS), an agency within the U.S. Department of Health and Human Services (HHS). CMS decides whether and to what extent a new medicine will be covered and reimbursed under Medicare and private payors tend to follow CMS to a substantial degree. The availability of coverage and extent of reimbursement by governmental and private payors is essential for most patients to be able to afford treatments. Sales of these or other products that we may identify will depend substantially, both domestically and abroad, on the extent to which the costs of our therapeutics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therapeutics. Even if coverage is provided, the approved reimbursement amount may not be high enough to allow us to establish or maintain pricing sufficient to realize a sufficient return on our investment. Factors payors consider in determining reimbursement are based on whether the product is:</w:t>
      </w:r>
    </w:p>
    <w:p>
      <w:pPr>
        <w:spacing w:after="0" w:line="84"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1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third-party payors have attempted to control costs by limiting coverage and the amount of reimbursement for particular products. Increasingly, third-party payors are requiring that drug companies provide them with predetermined discounts from list prices and are challenging the prices charged for products. We cannot be sure that coverage will be available for any therapeutic candidate that we commercialize and, if coverage is available, the level of reimbursement.</w:t>
      </w:r>
    </w:p>
    <w:p>
      <w:pPr>
        <w:spacing w:after="0" w:line="181"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therapeutic candidate that we commercialize and, if reimbursement is available, the level of reimbursement. In addition, many pharmaceutical manufacturers must calculate and report certain price reporting metrics to the government, such as average sales price (ASP) and best price. Penalties may apply in some cases when such metrics are not submitted accurately and timely. Further, these prices for drugs may be reduced by mandatory discounts or rebates required by government healthcare programs.</w:t>
      </w:r>
    </w:p>
    <w:p>
      <w:pPr>
        <w:spacing w:after="0" w:line="189"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therapeutic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therapeutic candidates. Historically, products launched in the EU do not follow price structures of the U.S. and generally prices tend to be significantly lower.</w:t>
      </w:r>
    </w:p>
    <w:p>
      <w:pPr>
        <w:spacing w:after="0" w:line="181"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technologies or therapeutic candidates more rapidly than we do or their technologies are more effective, our business and our ability to develop and successfully commercialize products may be adversely affected.</w:t>
      </w:r>
    </w:p>
    <w:p>
      <w:pPr>
        <w:spacing w:after="0" w:line="15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biotechnology and biopharmaceutical industries are characterized by rapid advancing technologies, intense competition and a strong emphasis on proprietary and novel products and therapeutic candidates. Our competitors have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developed, are developing or may develop products, therapeutic candidates and processes competitive with our therapeutic candidates. Any therapeutic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therapeutic candidates. Our competitors include larger and better funded pharmaceutical, biopharmaceutical, biotechnological and therapeutics companies. Moreover, we may also compete with universities and other research institutions who may be active in the indications we are targeting and could be in direct competition with us.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therapeutic candidates. Smaller or early stage companies may also prove to be significant competitors, particularly through collaborative arrangements with large and established companies.</w:t>
      </w:r>
    </w:p>
    <w:p>
      <w:pPr>
        <w:spacing w:after="0" w:line="188" w:lineRule="exact"/>
        <w:rPr>
          <w:sz w:val="20"/>
          <w:szCs w:val="20"/>
          <w:color w:val="auto"/>
        </w:rPr>
      </w:pPr>
    </w:p>
    <w:p>
      <w:pPr>
        <w:ind w:right="120" w:firstLine="648"/>
        <w:spacing w:after="0" w:line="260" w:lineRule="auto"/>
        <w:rPr>
          <w:sz w:val="20"/>
          <w:szCs w:val="20"/>
          <w:color w:val="auto"/>
        </w:rPr>
      </w:pPr>
      <w:r>
        <w:rPr>
          <w:rFonts w:ascii="Times New Roman" w:cs="Times New Roman" w:eastAsia="Times New Roman" w:hAnsi="Times New Roman"/>
          <w:sz w:val="17"/>
          <w:szCs w:val="17"/>
          <w:color w:val="auto"/>
        </w:rPr>
        <w:t>Currently, patients with DMD are treated with corticosteroids to manage the inflammatory component of the disease. EMFLAZA (deflazacort) is an FDA-approved corticosteroid marketed by PTC Therapeutics, Inc. (PTC). In addition, there are four FDA-approved exon skipping drugs: EXONDYS</w:t>
      </w:r>
    </w:p>
    <w:p>
      <w:pPr>
        <w:spacing w:after="0" w:line="1" w:lineRule="exact"/>
        <w:rPr>
          <w:sz w:val="20"/>
          <w:szCs w:val="20"/>
          <w:color w:val="auto"/>
        </w:rPr>
      </w:pPr>
    </w:p>
    <w:p>
      <w:pPr>
        <w:jc w:val="both"/>
        <w:ind w:right="40"/>
        <w:spacing w:after="0" w:line="229" w:lineRule="auto"/>
        <w:rPr>
          <w:sz w:val="20"/>
          <w:szCs w:val="20"/>
          <w:color w:val="auto"/>
        </w:rPr>
      </w:pPr>
      <w:r>
        <w:rPr>
          <w:rFonts w:ascii="Times New Roman" w:cs="Times New Roman" w:eastAsia="Times New Roman" w:hAnsi="Times New Roman"/>
          <w:sz w:val="18"/>
          <w:szCs w:val="18"/>
          <w:color w:val="auto"/>
        </w:rPr>
        <w:t>51 (eteplirsen), VYONDYS 53 (golodirsen), and AMONDYS 45 (casimersen), which are PMOs approved for the treatment of patients with DMD who are amenable to exon 51, exon 53 and exon 45 skipping, respectively, and are marketed by Sarepta Therapeutics, Inc. (Sarepta), and VILTEPSO (vitolarsen), a PMO approved for the treatment of patients with DMD who are amenable to exon 53 skipping, which is marketed by Nippon Shinyaku Co. Ltd.</w:t>
      </w:r>
    </w:p>
    <w:p>
      <w:pPr>
        <w:spacing w:after="0" w:line="2"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 xml:space="preserve">Companies focused on developing treatments for DMD that target dystrophin mechanisms, as does our DMD program, include Sarepta with SRP -5051, a peptide-linked PMO currently being evaluated following a Phase 2 clinical trial for patients amenable to exon 51 skipping along with additional exons in preclinical development, </w:t>
      </w:r>
      <w:r>
        <w:rPr>
          <w:rFonts w:ascii="Times New Roman" w:cs="Times New Roman" w:eastAsia="Times New Roman" w:hAnsi="Times New Roman"/>
          <w:sz w:val="18"/>
          <w:szCs w:val="18"/>
          <w:color w:val="333333"/>
        </w:rPr>
        <w:t>Nippon Shinyaku Co. Ltd., which recently completed a Phase 1/2 clinical trial for patients amenable to exon 44 skipping in Japan,</w:t>
      </w:r>
      <w:r>
        <w:rPr>
          <w:rFonts w:ascii="Times New Roman" w:cs="Times New Roman" w:eastAsia="Times New Roman" w:hAnsi="Times New Roman"/>
          <w:sz w:val="18"/>
          <w:szCs w:val="18"/>
          <w:color w:val="auto"/>
        </w:rPr>
        <w:t xml:space="preserve"> PTC with ataluren, a small molecule targeting nonsense mutations in a Phase 3 clinical trial, Avidity Biosciences, Inc. (Avidity), which announced the preliminary data from its ongoing Phase 1/2 clinical trial with antibody oligonucleotide conjugates for exon 44 (AOC-1044), and has similar programs for patients amenable to exon 45, and exon 51 skipping in preclinical development, Wave Life Sciences Ltd., which is clinically evaluating WVE-N531, a splicing clinical candidate that is designed to target exon 53 within the dystrophin gene, Dyne Therapeutics, Inc. (Dyne), which is pursuing antibody fragment-oligonucleotide conjugates for exons 44, 45, 51 (clinical candidate DYNE-251), and 53, PepGen, Inc. with PGN-EDO51, a clinical candidate designed to address exon 51, along with discovery programs targeting exons 53, 44, and 45, and BioMarin Pharmaceutical Inc., which is in preclinical development with BMN 351, an antisense oligonucleotide therapy for exon 51. In addition, several companies are developing gene therapies to treat DMD, including Pfizer Inc. (PF-06939926), Sarepta (SRP-9001; delandistrogene moxeparvovec-rokl approved for ambulatory 4-5 year old patients), Solid Biosciences Inc. (SGT-003), and REGENXBIO (RGX-202). Gene editing treatments that are in preclinical development are also being pursued by Vertex and Sarepta. We are also aware of several companies targeting non-dystrophin mechanisms for the treatment of DMD.</w:t>
      </w:r>
    </w:p>
    <w:p>
      <w:pPr>
        <w:spacing w:after="0" w:line="232" w:lineRule="exact"/>
        <w:rPr>
          <w:sz w:val="20"/>
          <w:szCs w:val="20"/>
          <w:color w:val="auto"/>
        </w:rPr>
      </w:pPr>
    </w:p>
    <w:p>
      <w:pPr>
        <w:ind w:right="140" w:firstLine="583"/>
        <w:spacing w:after="0" w:line="255" w:lineRule="auto"/>
        <w:rPr>
          <w:sz w:val="20"/>
          <w:szCs w:val="20"/>
          <w:color w:val="auto"/>
        </w:rPr>
      </w:pPr>
      <w:r>
        <w:rPr>
          <w:rFonts w:ascii="Times New Roman" w:cs="Times New Roman" w:eastAsia="Times New Roman" w:hAnsi="Times New Roman"/>
          <w:sz w:val="18"/>
          <w:szCs w:val="18"/>
          <w:color w:val="auto"/>
        </w:rPr>
        <w:t>We expect to face competition from existing products and products in development for each of our therapeutic candidates. There are currently no approved therapies to treat the underlying cause of DM1. Therapeutic candidates currently in development to treat DM1 include: tideglusib, a GSK3-ß inhibitor in late-stage clinical development by AMO Pharma Ltd. for the congenital phenotype of DM1; AOC-1001, an antibody linked siRNA in clinical development by Avidity; DYNE-101, an antibody fragment conjugated to an ASO targeting DM1 protein kinase knockdown in clinical development by Dyne; EDODM1, a linear peptide conjugated to a PMO targeting CUG repeats in clinical development by PepGen, Inc.; a small molecule targeting GTG repeats in preclinical development by Design Therapeutics, Inc.; an RNA-targeting gene therapy in preclinical development by Locana, Inc.; and small molecules interacting with RNA in preclinical development by Expansion Therapeutics, Inc.</w:t>
      </w:r>
    </w:p>
    <w:p>
      <w:pPr>
        <w:spacing w:after="0" w:line="216" w:lineRule="exact"/>
        <w:rPr>
          <w:sz w:val="20"/>
          <w:szCs w:val="20"/>
          <w:color w:val="auto"/>
        </w:rPr>
      </w:pPr>
    </w:p>
    <w:p>
      <w:pPr>
        <w:ind w:right="120" w:firstLine="583"/>
        <w:spacing w:after="0" w:line="258" w:lineRule="auto"/>
        <w:rPr>
          <w:sz w:val="20"/>
          <w:szCs w:val="20"/>
          <w:color w:val="auto"/>
        </w:rPr>
      </w:pPr>
      <w:r>
        <w:rPr>
          <w:rFonts w:ascii="Times New Roman" w:cs="Times New Roman" w:eastAsia="Times New Roman" w:hAnsi="Times New Roman"/>
          <w:sz w:val="18"/>
          <w:szCs w:val="18"/>
          <w:color w:val="auto"/>
        </w:rPr>
        <w:t>The only currently-approved therapies for Pompe disease are alglucosidase alfa (Lumizyme in the United States, Myozyme in other geographies), avalglucosidase alfa-ngpt (Nexviazyme in the United States) and cipaglucosidase alfa-atga + miglustat, which rely on the delivery of GAA via IV infusions. There is one GYS1 inhibitor in clinical development from Maze Therapeutics Inc. and another from Aro Biotherapeutics. There are four gene therapies in the early stages of clinical development from Astellas Pharma Inc., Bayer AG, Roche Holding AG and Lacerta Therapeutics, Inc. There are gene therapies in preclinical development from AVROBIO, Inc. and Amicus Therapeutics.</w:t>
      </w:r>
    </w:p>
    <w:p>
      <w:pPr>
        <w:spacing w:after="0" w:line="170"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manufacturing, marketing, sales and supply resources or experience than we do. If we successfully obtain approval for any therapeutic candidate, we will face competition based on many different factors, including the safety and effectiveness of our therapeutics, the ease with which our therapeutics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60"/>
        <w:spacing w:after="0" w:line="272" w:lineRule="auto"/>
        <w:rPr>
          <w:sz w:val="20"/>
          <w:szCs w:val="20"/>
          <w:color w:val="auto"/>
        </w:rPr>
      </w:pPr>
      <w:r>
        <w:rPr>
          <w:rFonts w:ascii="Times New Roman" w:cs="Times New Roman" w:eastAsia="Times New Roman" w:hAnsi="Times New Roman"/>
          <w:sz w:val="17"/>
          <w:szCs w:val="17"/>
          <w:color w:val="auto"/>
        </w:rPr>
        <w:t>effectively than any products we may develop. Competitive products or technological approaches may make any products we develop, or our EEV Platform, obsolete or noncompetitive before we recover the expense of developing and commercializing our therapeutic candidates. If we are unable to compete effectively, our opportunity to generate revenue from the sale of our therapeutics we may develop, if approved, could be adversely affected.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Industry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employees and to attract, retain and motivate qualified personnel.</w:t>
      </w:r>
    </w:p>
    <w:p>
      <w:pPr>
        <w:spacing w:after="0" w:line="216"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We are highly dependent on the research expertise of Natarajan Sethuraman, Ph.D., our Chief Scientific Officer, and the development and management expertise of Dipal Doshi, our Chief Executive Officer, as well as the other principal members of our management, scientific and clinical team. Although we have entered into employment agreements and/or offer letters with our executive officers, each of them may terminate their employment with us at any time.</w:t>
      </w:r>
    </w:p>
    <w:p>
      <w:pPr>
        <w:spacing w:after="0" w:line="181"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and management skills and experience. We conduct our operations in the Boston area, a region that is home to many other pharmaceutical companies as well as many academic and research institutions,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Any or all of these competing factors may limit our ability to continue to attract and retain high quality personnel, which could negatively affect our ability to successfully develop and commercialize our therapeutic candidates and to grow our business and operations as currently contemplated.</w:t>
      </w:r>
    </w:p>
    <w:p>
      <w:pPr>
        <w:spacing w:after="0" w:line="185"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For example, employment of our key employees is at-will, which means that any of our employees could leave our employment at any time, with or without notice.</w:t>
      </w:r>
    </w:p>
    <w:p>
      <w:pPr>
        <w:spacing w:after="0" w:line="185" w:lineRule="exact"/>
        <w:rPr>
          <w:sz w:val="20"/>
          <w:szCs w:val="20"/>
          <w:color w:val="auto"/>
        </w:rPr>
      </w:pPr>
    </w:p>
    <w:p>
      <w:pPr>
        <w:ind w:right="460" w:firstLine="648"/>
        <w:spacing w:after="0" w:line="250" w:lineRule="auto"/>
        <w:rPr>
          <w:sz w:val="20"/>
          <w:szCs w:val="20"/>
          <w:color w:val="auto"/>
        </w:rPr>
      </w:pPr>
      <w:r>
        <w:rPr>
          <w:rFonts w:ascii="Times New Roman" w:cs="Times New Roman" w:eastAsia="Times New Roman" w:hAnsi="Times New Roman"/>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63"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Our success also depends on our ability to continue to attract, retain and motivate highly skilled junior, mid-level and senior managers as well as junior, mid-level and senior scientific and medical personnel. Failure to succeed in clinical trials may make it more challenging to recruit and retain qualified scientific personnel.</w:t>
      </w:r>
    </w:p>
    <w:p>
      <w:pPr>
        <w:spacing w:after="0" w:line="173"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as a result, we may encounter difficulties in managing our growth, which could disrupt our operations.</w:t>
      </w:r>
    </w:p>
    <w:p>
      <w:pPr>
        <w:spacing w:after="0" w:line="158"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As of March 6, 2024, we had 159 full-time employees. We expect to experience significant growth in the number of our employees and the scope of our operations, particularly in the areas of clinical development, clinical operations, manufacturing, regulatory affairs and, if any of our therapeutic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171"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ENTR-601-44, ENTR-601-45, ENTR-601-50, our partnered candidate VX-670 or any future therapeutic candidates. We cannot assure our stockholders that the services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or our partners may not be able to obtain marketing approval of ENTR-601-44, ENTR-601-45, ENTR-601-50, VX-670 or any future therapeutic candidates or otherwise advance our business. We cannot assure our stockholders that we will be able to properly manage our existing vendors or consultants or find other competent outside vendors and consultants on economically reasonable terms, or at all.</w:t>
      </w:r>
    </w:p>
    <w:p>
      <w:pPr>
        <w:spacing w:after="0" w:line="184"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If we are not able to effectively manage growth and expand our organization, we may not be able to successfully implement the tasks necessary to further develop and commercialize ENTR-601-44, ENTR-601-45, ENTR-601-50, our partnered candidate VX-670, our other development portfolio therapeutic candidates or any future therapeutic candidates and, accordingly, may not achieve our research, development and commercialization goals.</w:t>
      </w:r>
    </w:p>
    <w:p>
      <w:pPr>
        <w:spacing w:after="0" w:line="173"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therapeutic candidates and decrease the prices we may obtain.</w:t>
      </w:r>
    </w:p>
    <w:p>
      <w:pPr>
        <w:spacing w:after="0" w:line="158" w:lineRule="exact"/>
        <w:rPr>
          <w:sz w:val="20"/>
          <w:szCs w:val="20"/>
          <w:color w:val="auto"/>
        </w:rPr>
      </w:pPr>
    </w:p>
    <w:p>
      <w:pPr>
        <w:ind w:right="240" w:firstLine="648"/>
        <w:spacing w:after="0" w:line="242"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therapeutic candidates, restrict or regulate post-approval activities and affect our ability to profitably sell any therapeutic candidates for which we obtain marketing approval.</w:t>
      </w:r>
    </w:p>
    <w:p>
      <w:pPr>
        <w:spacing w:after="0" w:line="184"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For example, the ACA was passed in 2010 and substantially changed the way healthcare is financed by both governmental and private insurers, and continues to significantly impact the U.S. pharmaceutical industry.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Among the provisions of the ACA of importance to our potential therapeutic candidates are the following:</w:t>
      </w:r>
    </w:p>
    <w:p>
      <w:pPr>
        <w:spacing w:after="0" w:line="104"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fees and taxes on manufacturers of certain branded prescription drugs;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products;</w:t>
      </w:r>
    </w:p>
    <w:p>
      <w:pPr>
        <w:spacing w:after="0" w:line="103"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68"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and extended the rebate program to individuals enrolled in Medicaid managed care organizations;</w:t>
      </w:r>
    </w:p>
    <w:p>
      <w:pPr>
        <w:spacing w:after="0" w:line="54" w:lineRule="exact"/>
        <w:rPr>
          <w:rFonts w:ascii="Times New Roman" w:cs="Times New Roman" w:eastAsia="Times New Roman" w:hAnsi="Times New Roman"/>
          <w:sz w:val="18"/>
          <w:szCs w:val="18"/>
          <w:color w:val="auto"/>
        </w:rPr>
      </w:pPr>
    </w:p>
    <w:p>
      <w:pPr>
        <w:ind w:left="660" w:right="92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False Claims Act and the federal Anti-Kickback Statute, new government investigative powers, and enhanced penalties for noncompliance;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report financial arrangements with physicians and teaching hospitals;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annually report drug samples that manufacturers and distributors provide to physicians; and</w:t>
      </w:r>
    </w:p>
    <w:p>
      <w:pPr>
        <w:spacing w:after="0" w:line="103" w:lineRule="exact"/>
        <w:rPr>
          <w:rFonts w:ascii="Times New Roman" w:cs="Times New Roman" w:eastAsia="Times New Roman" w:hAnsi="Times New Roman"/>
          <w:sz w:val="18"/>
          <w:szCs w:val="18"/>
          <w:color w:val="auto"/>
        </w:rPr>
      </w:pPr>
    </w:p>
    <w:p>
      <w:pPr>
        <w:ind w:left="660" w:right="220" w:hanging="328"/>
        <w:spacing w:after="0" w:line="24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Patient-Centered Outcomes Research Institute to oversee, identify priorities in, and conduct comparative clinical effectiveness research, along with funding for such research.</w:t>
      </w:r>
    </w:p>
    <w:p>
      <w:pPr>
        <w:ind w:left="660"/>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legislative changes have been proposed and adopted since the ACA was enacted. The Budget Control Act of 2011, among other things,</w:t>
      </w:r>
    </w:p>
    <w:p>
      <w:pPr>
        <w:spacing w:after="0" w:line="1"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8"/>
          <w:szCs w:val="18"/>
          <w:color w:val="auto"/>
        </w:rPr>
        <w:t>created measures for spending reductions by Congress. These changes include aggregate reductions to Medicare payments to providers of up to 2% per fiscal year. Subsequent legislation extended the 2% payment reduction which remains in effect through 2031. The American Taxpayer Relief Act of 2012 further reduced Medicare payments to several providers, and increased the statute of limitations period for the government to recover overpayments to providers from three to five years.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Due to the Statutory Pay-As-You-Go Act of 2010, estimated budget deficit increases resulting from the American Rescue Plan Act of 2021, and subsequent legislation, Medicare payments to providers will be further reduced starting in 2025 absent further legislation. </w:t>
      </w:r>
    </w:p>
    <w:p>
      <w:pPr>
        <w:spacing w:after="0" w:line="21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w:t>
      </w:r>
    </w:p>
    <w:p>
      <w:pPr>
        <w:sectPr>
          <w:pgSz w:w="11900" w:h="16838" w:orient="portrait"/>
          <w:cols w:equalWidth="0" w:num="1">
            <w:col w:w="11220"/>
          </w:cols>
          <w:pgMar w:left="320" w:top="607" w:right="35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9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62"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The Inflation Reduction Act of 2022 (the IRA) includes several provisions that may impact our business to varying degrees, including provisions that create a $2,000 out-of-pocket cap for Medicare Part D beneficiaries,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limit the fees that pharmacy benefit managers can charge. Further, under the IRA, orphan drugs are exempted from the Medicare drug price negotiation program, but only if they have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The effect of the IRA on our business and the healthcare industry in general is not yet known.</w:t>
      </w:r>
    </w:p>
    <w:p>
      <w:pPr>
        <w:spacing w:after="0" w:line="191"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Further,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President Biden has issued multiple executive orders that have sought to reduce prescription drug costs. In February 2023,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it will continue to seek new legislative measures to control drug costs.</w:t>
      </w:r>
    </w:p>
    <w:p>
      <w:pPr>
        <w:spacing w:after="0" w:line="185" w:lineRule="exact"/>
        <w:rPr>
          <w:sz w:val="20"/>
          <w:szCs w:val="20"/>
          <w:color w:val="auto"/>
        </w:rPr>
      </w:pPr>
    </w:p>
    <w:p>
      <w:pPr>
        <w:ind w:right="540" w:firstLine="648"/>
        <w:spacing w:after="0" w:line="250"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7"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therapeutics. Legislative and regulatory proposals have been made to expand post-approval requirements and restrict sales and promotional activities for pharmaceutical products.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We cannot be sure whether additional legislative changes will be enacted, or whether the FDA regulations, guidance or interpretations will be changed, or what the impact of such changes on the marketing approvals of our therapeutic candidates, if any, may be. It is also possible that additional governmental action is taken in response to pandemics or global health crises.</w:t>
      </w:r>
    </w:p>
    <w:p>
      <w:pPr>
        <w:spacing w:after="0" w:line="188"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Failure or cybersecurity incidents, loss or leakage of data and other disruptions of our internal information technology systems, or those of our third-party CROs or other vendors, contractors or consultants could result in material disruption of our development programs, compromise sensitive information related to our business or prevent us from accessing critical information, potentially exposing us to liability or otherwise adversely affecting our business.</w:t>
      </w:r>
    </w:p>
    <w:p>
      <w:pPr>
        <w:spacing w:after="0" w:line="181" w:lineRule="exact"/>
        <w:rPr>
          <w:sz w:val="20"/>
          <w:szCs w:val="20"/>
          <w:color w:val="auto"/>
        </w:rPr>
      </w:pPr>
    </w:p>
    <w:p>
      <w:pPr>
        <w:ind w:right="160" w:firstLine="648"/>
        <w:spacing w:after="0" w:line="239"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CROs, vendors, and other contractors and consultants who have access to our confidential information.</w:t>
      </w:r>
    </w:p>
    <w:p>
      <w:pPr>
        <w:spacing w:after="0" w:line="184"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Despite the implementation of security measures, given their size and complexity and the increasing amounts of confidential information that they maintain, our internal information technology systems and those of our third-party CROs, vendors and other contractors and consultants are potentially vulnerable to breakdown or other damage or</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interruption from service interruptions, system malfunction, natural disasters, terrorism, war and telecommunication and electrical failures, as well as cybersecurity incidents from inadvertent or intentional actions by our employees, third-party CROs, vendors,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that of our third-party CROs, vendors and other contractors and consultants, or lead to data leakage. The risk of a cybersecurity incident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cybersecurity incident were to result in a loss of, or damage to, our data or applications, or those of our third-party CROs, vendors and other contractors and consultants, or inappropriate disclosure of confidential or proprietary information, we could incur liability and reputational damage and the further development and commercialization of ENTR-601-44, ENTR-601-45, ENTR-601-50, our partnered candidate VX-670 or any future therapeutic candidates could be delayed. The costs related to significant cybersecurity incidents or disruptions could be material and exceed the limits of the cybersecurity insurance we maintain against such risks. If the information technology systems of our third-party CROs, vendors and other contractors and consultants become subject to disruptions or cybersecurity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99"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Significant breakdowns, data leakages, cybersecurity incidents in our systems, or those of our third-party CROs, vendors and other contractors and consultants, or other cyber incidents that may have a material adverse effect upon our reputation, business, operations or financial condition. For example, if such an event were to occur and cause interruptions in our operations, or those of our third-party CROs, vendors and other contractors and consultants, it could result in a material disruption of our programs and the development of our therapeutic candidates could be delayed. In addition, the loss of clinical trial data for ENTR-601-44, ENTR-601-45, ENTR-601-50, our partnered candidate VX-670 or any other therapeutic candidates could result in delays in our marketing approval efforts and significantly increase our costs to recover or reproduce the data. Furthermore, significant disruptions of our internal information technology systems or those of our third-party CROs, vendors and other contractors and consultants, or cybersecurity incidents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cybersecurity incident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84" w:lineRule="exact"/>
        <w:rPr>
          <w:sz w:val="20"/>
          <w:szCs w:val="20"/>
          <w:color w:val="auto"/>
        </w:rPr>
      </w:pPr>
    </w:p>
    <w:p>
      <w:pPr>
        <w:ind w:right="6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may materially and adversely affect our business and could cause a disruption to the development of our therapeutic candidates.</w:t>
      </w:r>
    </w:p>
    <w:p>
      <w:pPr>
        <w:spacing w:after="0" w:line="158"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Public health crises could adversely impact the global economy and financial markets, and put a significant strain on healthcare resources. Worldwide pandemics may affect our ability to initiate and complete preclinical studies, delay the initiation of our planned clinical trials, disrupt regulatory activities or have other adverse effects on our business, results of operations, financial condition and prospects.</w:t>
      </w:r>
    </w:p>
    <w:p>
      <w:pPr>
        <w:spacing w:after="0" w:line="177"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To date, we have not experienced a material financial impact or significant business disruptions, including with our vendors, or impairments of any of our assets as a result of the post-COVID environment.</w:t>
      </w:r>
    </w:p>
    <w:p>
      <w:pPr>
        <w:spacing w:after="0" w:line="172"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environmental, health and safety laws and regulations could subject us to fines or penalties or incur costs that could harm our business.</w:t>
      </w:r>
    </w:p>
    <w:p>
      <w:pPr>
        <w:spacing w:after="0" w:line="158" w:lineRule="exact"/>
        <w:rPr>
          <w:sz w:val="20"/>
          <w:szCs w:val="20"/>
          <w:color w:val="auto"/>
        </w:rPr>
      </w:pPr>
    </w:p>
    <w:p>
      <w:pPr>
        <w:ind w:right="240" w:firstLine="648"/>
        <w:spacing w:after="0" w:line="242" w:lineRule="auto"/>
        <w:rPr>
          <w:sz w:val="20"/>
          <w:szCs w:val="20"/>
          <w:color w:val="auto"/>
        </w:rPr>
      </w:pPr>
      <w:r>
        <w:rPr>
          <w:rFonts w:ascii="Times New Roman" w:cs="Times New Roman" w:eastAsia="Times New Roman" w:hAnsi="Times New Roman"/>
          <w:sz w:val="18"/>
          <w:szCs w:val="18"/>
          <w:color w:val="auto"/>
        </w:rPr>
        <w:t>We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event of contamination or injury resulting from our use of hazardous materials, we could be held liable for any resulting damages, and any liability could exceed our resources, including any available insurance.</w:t>
      </w:r>
    </w:p>
    <w:p>
      <w:pPr>
        <w:spacing w:after="0" w:line="162"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18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177"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7"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173"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third-party payors, physicians and healthcare providers will be subject to applicable anti-kickback, fraud and abuse, and other laws and regulations, which could expose us to criminal sanctions, civil penalties, contractual damages, reputational harm, and diminished profits.</w:t>
      </w:r>
    </w:p>
    <w:p>
      <w:pPr>
        <w:spacing w:after="0" w:line="176" w:lineRule="exact"/>
        <w:rPr>
          <w:sz w:val="20"/>
          <w:szCs w:val="20"/>
          <w:color w:val="auto"/>
        </w:rPr>
      </w:pPr>
    </w:p>
    <w:p>
      <w:pPr>
        <w:ind w:right="120" w:firstLine="648"/>
        <w:spacing w:after="0"/>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therapeutic candidates for which we obtain regulatory approval. Our current and future arrangements with third-party payors and customers may expose us to broadly applicable fraud and abuse and other healthcare laws and regulations that may constrain the business or financial arrangements and relationships through which we conduct research and would market, sell and distribute our therapeutics. As a pharmaceutical company, even though we do not and will not control referrals of healthcare services or bill directly to Medicare, Medicaid or other third-party payors, federal and state healthcare laws and regulations pertaining to fraud and abuse and patients’ rights are and will be applicable to our business. Restrictions under applicable federal and state healthcare laws and regulations that may affect our ability to operate include the following:</w:t>
      </w:r>
    </w:p>
    <w:p>
      <w:pPr>
        <w:spacing w:after="0" w:line="63" w:lineRule="exact"/>
        <w:rPr>
          <w:sz w:val="20"/>
          <w:szCs w:val="20"/>
          <w:color w:val="auto"/>
        </w:rPr>
      </w:pPr>
    </w:p>
    <w:p>
      <w:pPr>
        <w:ind w:left="660" w:right="80" w:hanging="328"/>
        <w:spacing w:after="0" w:line="255" w:lineRule="auto"/>
        <w:tabs>
          <w:tab w:leader="none" w:pos="65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the purchase, lease, order, arrangement, or recommendation of any good, facility, item or service for which payment may be made, in whole or in part, under a federal healthcare program, such as the Medicare and Medicaid programs. A person or entity does not need to have actual knowledge of the federal Anti-Kickback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w:t>
      </w:r>
    </w:p>
    <w:p>
      <w:pPr>
        <w:spacing w:after="0" w:line="66" w:lineRule="exact"/>
        <w:rPr>
          <w:rFonts w:ascii="Times New Roman" w:cs="Times New Roman" w:eastAsia="Times New Roman" w:hAnsi="Times New Roman"/>
          <w:sz w:val="17"/>
          <w:szCs w:val="17"/>
          <w:color w:val="auto"/>
        </w:rPr>
      </w:pPr>
    </w:p>
    <w:p>
      <w:pPr>
        <w:ind w:left="660" w:right="100" w:hanging="328"/>
        <w:spacing w:after="0" w:line="237"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knowingly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right="40" w:hanging="328"/>
        <w:spacing w:after="0"/>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76" w:lineRule="exact"/>
        <w:rPr>
          <w:rFonts w:ascii="Times New Roman" w:cs="Times New Roman" w:eastAsia="Times New Roman" w:hAnsi="Times New Roman"/>
          <w:sz w:val="18"/>
          <w:szCs w:val="18"/>
          <w:color w:val="auto"/>
        </w:rPr>
      </w:pPr>
    </w:p>
    <w:p>
      <w:pPr>
        <w:ind w:left="660" w:hanging="328"/>
        <w:spacing w:after="0" w:line="23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84" w:lineRule="exact"/>
        <w:rPr>
          <w:rFonts w:ascii="Times New Roman" w:cs="Times New Roman" w:eastAsia="Times New Roman" w:hAnsi="Times New Roman"/>
          <w:sz w:val="18"/>
          <w:szCs w:val="18"/>
          <w:color w:val="auto"/>
        </w:rPr>
      </w:pPr>
    </w:p>
    <w:p>
      <w:pPr>
        <w:ind w:left="660" w:right="180" w:hanging="328"/>
        <w:spacing w:after="0"/>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transparency requirements under the ACA, including the provision commonly referred to as the Physician Payments Sunshine Act, and its implementing regulations, which requires applicable manufacturers of drugs, devices, biologics and medical supplies for which payment is available under Medicare, Medicaid or the Children’s Health Insurance Program to report annually to CMS, information related to payments or other transfers of value made to physicians (defined to include doctors, dentists, optometrists, podiatrists and chiropractors), certain other licensed health care practitioners (defined to include physician assistants, nurse practitioners, clinical nurse specialists, certified registered nurse anesthetists and anesthesiologist assistants, and certified-nurse midwives) and teaching hospitals, as well as ownership and investment interests held by the physicians described above and their immediate family members;</w:t>
      </w:r>
    </w:p>
    <w:p>
      <w:pPr>
        <w:spacing w:after="0" w:line="76"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price reporting laws, which require us to calculate and report complex pricing metrics in an accurate and timely manner to government programs; and</w:t>
      </w:r>
    </w:p>
    <w:p>
      <w:pPr>
        <w:spacing w:after="0" w:line="40" w:lineRule="exact"/>
        <w:rPr>
          <w:rFonts w:ascii="Times New Roman" w:cs="Times New Roman" w:eastAsia="Times New Roman" w:hAnsi="Times New Roman"/>
          <w:sz w:val="18"/>
          <w:szCs w:val="18"/>
          <w:color w:val="auto"/>
        </w:rPr>
      </w:pPr>
    </w:p>
    <w:p>
      <w:pPr>
        <w:ind w:left="660" w:right="58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16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(EU) General Data Protection Regulation (which became effective on May 25, 2018) and the United Kingdom (UK) General Data Protection Regulation (which became effective following UK withdrawal from the EU as of January 2021)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88" w:lineRule="exact"/>
        <w:rPr>
          <w:sz w:val="20"/>
          <w:szCs w:val="20"/>
          <w:color w:val="auto"/>
        </w:rPr>
      </w:pPr>
    </w:p>
    <w:p>
      <w:pPr>
        <w:ind w:right="740" w:firstLine="648"/>
        <w:spacing w:after="0" w:line="250" w:lineRule="auto"/>
        <w:rPr>
          <w:sz w:val="20"/>
          <w:szCs w:val="20"/>
          <w:color w:val="auto"/>
        </w:rPr>
      </w:pPr>
      <w:r>
        <w:rPr>
          <w:rFonts w:ascii="Times New Roman" w:cs="Times New Roman" w:eastAsia="Times New Roman" w:hAnsi="Times New Roman"/>
          <w:sz w:val="18"/>
          <w:szCs w:val="18"/>
          <w:color w:val="auto"/>
        </w:rPr>
        <w:t>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possible investigations by government authorities, can be time and resource consuming and can divert a company’s attention from the business.</w:t>
      </w:r>
    </w:p>
    <w:p>
      <w:pPr>
        <w:spacing w:after="0" w:line="212"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176"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15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(i) the laws and regulations of the FDA and other similar regulatory requirements, including those laws that require the reporting of true, complete and accurate information to such authorities, (ii) manufacturing standards, including cGMP requirements, (iii) federal and state data privacy, security, fraud and abuse and other healthcare laws and regulations in the United States and abroad or (iv)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181" w:lineRule="exact"/>
        <w:rPr>
          <w:sz w:val="20"/>
          <w:szCs w:val="20"/>
          <w:color w:val="auto"/>
        </w:rPr>
      </w:pPr>
    </w:p>
    <w:p>
      <w:pPr>
        <w:ind w:right="7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certain foreign anti-corruption, anti-money laundering, export control, sanctions and other trade laws and regulations. We can face serious consequences for violations.</w:t>
      </w:r>
    </w:p>
    <w:p>
      <w:pPr>
        <w:spacing w:after="0" w:line="158"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U.S. and foreign anti-corruption, anti-money laundering, export control, sanctions and other trade laws and regulations prohibit, among other things,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216"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asset purchases and out-licensing or in-licensing of intellectual property, products or technologies. Additional potential transactions that we may consider in the future include a variety of business arrangements, including spin-offs, strategic partnerships,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of the acquisition. Moreover, we may not be able to locate suitable acquisition opportunities and this inability could impair our ability to grow or obtain access to technology or products that may be important to the development of our business.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Legislation or other changes in U.S. tax law could adversely affect our business and financial condition.</w:t>
      </w:r>
    </w:p>
    <w:p>
      <w:pPr>
        <w:spacing w:after="0" w:line="216"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changes have been made to applicable tax laws and changes are likely to continue to occur in the future. For example, under Section 174 of the Internal Revenue Code of 1986, as amended (the Code), in taxable years beginning after December 31, 2021, expenses that are incurred for research and development in the U.S. will be capitalized and amortized, which may have an adverse effect on our cash flow. Future changes in tax laws could have a material adverse effect on our business, cash flow, financial condition or results of operations. For example, under Section 174 of the Code, in taxable year beginning after December 31, 2023, expenses that are incurred for research and development in the U.S. will be capitalized and amortized, which may have an adverse effect on our cash flow.</w:t>
      </w:r>
    </w:p>
    <w:p>
      <w:pPr>
        <w:spacing w:after="0" w:line="187" w:lineRule="exact"/>
        <w:rPr>
          <w:sz w:val="20"/>
          <w:szCs w:val="20"/>
          <w:color w:val="auto"/>
        </w:rPr>
      </w:pPr>
    </w:p>
    <w:p>
      <w:pPr>
        <w:ind w:right="80" w:firstLine="648"/>
        <w:spacing w:after="0"/>
        <w:rPr>
          <w:sz w:val="20"/>
          <w:szCs w:val="20"/>
          <w:color w:val="auto"/>
        </w:rPr>
      </w:pPr>
      <w:r>
        <w:rPr>
          <w:rFonts w:ascii="Times New Roman" w:cs="Times New Roman" w:eastAsia="Times New Roman" w:hAnsi="Times New Roman"/>
          <w:sz w:val="18"/>
          <w:szCs w:val="18"/>
          <w:color w:val="auto"/>
        </w:rPr>
        <w:t>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 We urge investors to consult with their legal and tax advisers regarding the implications of potential changes in tax laws on an investment in our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U.S. net operating loss carryforwards and certain other U.S. tax attributes may be limited.</w:t>
      </w:r>
    </w:p>
    <w:p>
      <w:pPr>
        <w:spacing w:after="0" w:line="216" w:lineRule="exact"/>
        <w:rPr>
          <w:sz w:val="20"/>
          <w:szCs w:val="20"/>
          <w:color w:val="auto"/>
        </w:rPr>
      </w:pPr>
    </w:p>
    <w:p>
      <w:pPr>
        <w:jc w:val="both"/>
        <w:ind w:right="420" w:firstLine="648"/>
        <w:spacing w:after="0" w:line="250" w:lineRule="auto"/>
        <w:rPr>
          <w:sz w:val="20"/>
          <w:szCs w:val="20"/>
          <w:color w:val="auto"/>
        </w:rPr>
      </w:pPr>
      <w:r>
        <w:rPr>
          <w:rFonts w:ascii="Times New Roman" w:cs="Times New Roman" w:eastAsia="Times New Roman" w:hAnsi="Times New Roman"/>
          <w:sz w:val="18"/>
          <w:szCs w:val="18"/>
          <w:color w:val="auto"/>
        </w:rPr>
        <w:t>Our ability to use our U.S. federal and state net operating losses to offset potential future taxable income and related income taxes that would otherwise be due is dependent upon our generation of future taxable income, and we cannot predict with certainty when, or whether, we will generate sufficient taxable income to use all of our net operating losses.</w:t>
      </w:r>
    </w:p>
    <w:p>
      <w:pPr>
        <w:spacing w:after="0" w:line="177"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Under current law, unused U.S. federal net operating losses generated for tax years beginning after December 31, 2017 are not subject to expiration and may be carried forward indefinitely. Such U.S. federal net operating losses generally may not be carried back to prior taxable years, except that, net operating losses generated in 2018, 2019 and 2020 may be carried back to each of the five tax years preceding the tax years of such losses. Additionally, for taxable years beginning after December 31, 2020, the deductibility of such U.S. federal net operating losses is limited to 80% of our taxable income in any future taxable year. In addition, both our current and our future unused U.S. federal net operating losses and tax credits may be subject to limitation under Sections 382 and 383 of the Code, if we undergo an “ownership change,” generally defined as a greater than 50 percentage point change (by value) in its equity ownership by certain stockholders over a rolling three-year period. We have determined that such ownership changes have occurred in the past, and we may experience additional ownership changes in the future as a result of shifts in our stock ownership, some of which are outside our control. Our net operating losses and tax credits may also be impaired or restricted under state law. As of December 31, 2023, we had U.S. federal net operating loss carryforwards of approximately $14.6 million, and our ability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 utilize those net operating loss carryforwards could be limited by an “ownership change” as described above, which could result in increased tax liability to us.</w:t>
      </w:r>
    </w:p>
    <w:p>
      <w:pPr>
        <w:spacing w:after="0" w:line="158"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We plan to distribute our technology, biology, execution and financing risks across a wide variety of therapeutic areas, disease states, programs, and technologies. However, our assessment of, and approach to, risk may not be comprehensive or effectively avoid delays or failures in one or more of our programs or modalities. Failures in one or more of our programs or modalities could adversely impact other programs or modalities in our development portfolio and have a material adverse impact on our business, results of operations and ability to fund our business.</w:t>
      </w:r>
    </w:p>
    <w:p>
      <w:pPr>
        <w:spacing w:after="0" w:line="181"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We are creating a new category of potential therapeutics based on EEVs to improve the lives of patients. We have designed our strategy and operations to realize the full potential value and impact of EEVs over a long time horizon across a broad array of human diseases. We have made investments in our platform, infrastructure, and clinical capabilities that have enabled us to establish a development portfolio of several programs in development. As our therapeutic candidates and discovery programs progress, we or others may determine: that certain of our risk allocation decisions were incorrect or insufficient; that we made platform level technology mistakes; that individual programs or our EEV science in general has technology or biology risks that were unknown or underappreciated; that our choices on how to develop our infrastructure to support our scale will result in an inability to manufacture our therapeutics for clinical trials or otherwise impair our manufacturing; or that we have allocated resources in such a way that large investments are not recovered and capital allocation is not subject to rapid re-direction. All of these risks may relate to our current and future programs sharing similar science (including EEV science) and infrastructure, and in the event material decisions in any of these areas turn out to have been incorrect or under-optimized, we may experience a material adverse impact on our business and ability to fund our operations and we may never realize what we believe is the potential of EEVs.</w:t>
      </w:r>
    </w:p>
    <w:p>
      <w:pPr>
        <w:spacing w:after="0" w:line="187"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While we will attempt to diversify our risks by developing one or more programs in each modality, there are risks that are unique to each modality and risks that are applicable across modalities. These risks may impair our ability to advance one or more of our programs in clinical development, obtain regulatory approval, or ultimately commercialize our programs, or cause us to experience significant delays in doing so, any of which may materially harm our business.</w:t>
      </w:r>
    </w:p>
    <w:p>
      <w:pPr>
        <w:spacing w:after="0" w:line="181"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Certain features in our therapeutic candidates, including those related to large enzymes, antibodies and oligonucleotides, and their components, may result in foreseen and unforeseen risks that are active across some or all of our modalities. In addition, the biology risk across much of our development portfolio represents targets and pathways not clinically validated by one or more approved drugs. While we believe we have made progress in seeking to reduce biology risk in certain settings, the risk that the targets or pathways that we have selected may not be effective could continue to apply across our current and future programs. Any such portfolio spanning risks, whether known or unknown, if realized in any one of our programs would have a material and adverse effect on our other programs and on our business as a whole.</w:t>
      </w:r>
    </w:p>
    <w:p>
      <w:pPr>
        <w:spacing w:after="0" w:line="186" w:lineRule="exact"/>
        <w:rPr>
          <w:sz w:val="20"/>
          <w:szCs w:val="20"/>
          <w:color w:val="auto"/>
        </w:rPr>
      </w:pPr>
    </w:p>
    <w:p>
      <w:pPr>
        <w:jc w:val="both"/>
        <w:ind w:right="360" w:firstLine="648"/>
        <w:spacing w:after="0" w:line="296" w:lineRule="auto"/>
        <w:rPr>
          <w:sz w:val="20"/>
          <w:szCs w:val="20"/>
          <w:color w:val="auto"/>
        </w:rPr>
      </w:pPr>
      <w:r>
        <w:rPr>
          <w:rFonts w:ascii="Times New Roman" w:cs="Times New Roman" w:eastAsia="Times New Roman" w:hAnsi="Times New Roman"/>
          <w:sz w:val="17"/>
          <w:szCs w:val="17"/>
          <w:color w:val="auto"/>
        </w:rPr>
        <w:t>Successful development of intracellular therapeutics is highly uncertain and is dependent on numerous factors, many of which are beyond our control. Intracellular therapeutics that appear promising in the early phases of development may fail to reach the market for several reasons, including:</w:t>
      </w:r>
    </w:p>
    <w:p>
      <w:pPr>
        <w:spacing w:after="0" w:line="31" w:lineRule="exact"/>
        <w:rPr>
          <w:sz w:val="20"/>
          <w:szCs w:val="20"/>
          <w:color w:val="auto"/>
        </w:rPr>
      </w:pPr>
    </w:p>
    <w:p>
      <w:pPr>
        <w:ind w:left="660" w:right="860" w:hanging="328"/>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or preclinical testing or study results may show our EEV-therapeutics to be less effective than desired or to have harmful or problematic side effects or toxicities;</w:t>
      </w:r>
    </w:p>
    <w:p>
      <w:pPr>
        <w:spacing w:after="0" w:line="54" w:lineRule="exact"/>
        <w:rPr>
          <w:rFonts w:ascii="Times New Roman" w:cs="Times New Roman" w:eastAsia="Times New Roman" w:hAnsi="Times New Roman"/>
          <w:sz w:val="18"/>
          <w:szCs w:val="18"/>
          <w:color w:val="auto"/>
        </w:rPr>
      </w:pPr>
    </w:p>
    <w:p>
      <w:pPr>
        <w:ind w:left="660" w:right="880" w:hanging="328"/>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 may show our oligonucleotides to be less effective than expected (e.g., a clinical trial could fail to meet its primary endpoint(s)) or to have unacceptable side effects or toxicities;</w:t>
      </w:r>
    </w:p>
    <w:p>
      <w:pPr>
        <w:spacing w:after="0" w:line="54" w:lineRule="exact"/>
        <w:rPr>
          <w:rFonts w:ascii="Times New Roman" w:cs="Times New Roman" w:eastAsia="Times New Roman" w:hAnsi="Times New Roman"/>
          <w:sz w:val="18"/>
          <w:szCs w:val="18"/>
          <w:color w:val="auto"/>
        </w:rPr>
      </w:pPr>
    </w:p>
    <w:p>
      <w:pPr>
        <w:ind w:left="660" w:right="260" w:hanging="328"/>
        <w:spacing w:after="0" w:line="245"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receive the necessary regulatory approvals or a delay in receiving such approvals. Among other things, such delays may be caused by slow enrollment in clinical trials, patients dropping out of trials, length of time to achieve trial endpoints, additional time requirements for data analysis, NDA or BLA preparation, discussions with the FDA, a failure to align with the FDA regarding clinical trial endpoints and related approval criteria, an FDA request for additional nonclinical or clinical data, or unexpected safety or manufacturing issues;</w:t>
      </w:r>
    </w:p>
    <w:p>
      <w:pPr>
        <w:spacing w:after="0" w:line="7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costs, formulation issues, pricing or reimbursement issues, or other factors that make our EEV-therapeutics uneconomical;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rights of others and their competing products and technologies that may prevent our EEV-therapeutics from being commercialized.</w:t>
      </w:r>
    </w:p>
    <w:p>
      <w:pPr>
        <w:spacing w:after="0" w:line="208" w:lineRule="exact"/>
        <w:rPr>
          <w:sz w:val="20"/>
          <w:szCs w:val="20"/>
          <w:color w:val="auto"/>
        </w:rPr>
      </w:pPr>
    </w:p>
    <w:p>
      <w:pPr>
        <w:jc w:val="both"/>
        <w:ind w:right="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17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services industry generally, or concerns or rumors about any events of these kinds or other similar risks, have in the past and may in the future lead to market-wide liquidity problems.</w:t>
      </w:r>
    </w:p>
    <w:p>
      <w:pPr>
        <w:spacing w:after="0" w:line="162"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w:t>
      </w:r>
    </w:p>
    <w:p>
      <w:pPr>
        <w:spacing w:after="0" w:line="18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54"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access to deposits or other financial assets or the uninsured loss of deposits or other financial assets;</w:t>
      </w:r>
    </w:p>
    <w:p>
      <w:pPr>
        <w:spacing w:after="0" w:line="90"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statutory, regulatory or contractual obligations, including obligations that require the Company to maintain letters of credit or other credit support arrangements;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cash management arrangements and/or delays in accessing or actual loss of funds subject to cash management arrangements.</w:t>
      </w:r>
    </w:p>
    <w:p>
      <w:pPr>
        <w:spacing w:after="0" w:line="21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our current and/or planned business operations, and our current or projected financial condition and results of operations.</w:t>
      </w:r>
    </w:p>
    <w:p>
      <w:pPr>
        <w:spacing w:after="0" w:line="185" w:lineRule="exact"/>
        <w:rPr>
          <w:sz w:val="20"/>
          <w:szCs w:val="20"/>
          <w:color w:val="auto"/>
        </w:rPr>
      </w:pPr>
    </w:p>
    <w:p>
      <w:pPr>
        <w:ind w:right="180" w:firstLine="648"/>
        <w:spacing w:after="0" w:line="237" w:lineRule="auto"/>
        <w:rPr>
          <w:sz w:val="20"/>
          <w:szCs w:val="20"/>
          <w:color w:val="auto"/>
        </w:rPr>
      </w:pPr>
      <w:r>
        <w:rPr>
          <w:rFonts w:ascii="Times New Roman" w:cs="Times New Roman" w:eastAsia="Times New Roman" w:hAnsi="Times New Roman"/>
          <w:sz w:val="18"/>
          <w:szCs w:val="18"/>
          <w:color w:val="auto"/>
        </w:rPr>
        <w:t>In addition, any further deterioration in the macroeconomic economy or financial services industry could lead to losses or defaults by our suppliers, which in turn, could have a material adverse effect on our current and/or planned business operations and our current or projected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the Company, including but not limited to delayed access or loss of access to uninsured deposits or loss of the ability to draw on existing credit facilities involving a troubled or failed financial institution. Any customer, collaborator or supplier bankruptcy or insolvency, or the failure of any customer or collaborator to make payments when due, or any breach or default by a customer, collaborator or supplier, or the loss of any significant supplier or collaborator relationships, could result in material losses to the Company and may have a material adverse impact on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12"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obtain and maintain patent protection for our therapeutic programs and other proprietary technologies we develop, or if the scope of the patent protection obtained is not sufficiently broad, our competitors could develop and commercialize products and technology similar or identical to ours, and our ability to successfully commercialize our therapeutic programs and other proprietary technologies we may develop may be adversely affected.</w:t>
      </w:r>
    </w:p>
    <w:p>
      <w:pPr>
        <w:spacing w:after="0" w:line="181"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auto"/>
        </w:rPr>
        <w:t>Our success depends in large part on our ability and the abilities of our collaborators to obtain and maintain patent protection in the United States and other countries with respect to our therapeutic programs and other proprietary technologies we may develop. In order to protect our proprietary position, we have filed or intend to file patent applications in the United States and abroad relating to our therapeutic programs and other proprietary technologies we may develop; however, there can be no assurance that any such patent applications will issue as granted patents. If we are unable to obtain or maintain patent protection with respect to our therapeutic programs and other proprietary technologies we may develop, our business, financial condition, results of operations and prospects could be materially harmed.</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protection. In addition, we may rely on third-party collaborators or licensors to file patent applications relating to therapeutic programs or proprietary technology that may be developed or in-licensed. We cannot predict whether the patent applications we are currently pursuing, or that we or our third-party collaborators or licensors may pursue, will issue as patents in any particular jurisdiction or whether the claims of any issued patents will provide sufficient protection against competitors or other third parties.</w:t>
      </w:r>
    </w:p>
    <w:p>
      <w:pPr>
        <w:spacing w:after="0" w:line="184"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w:t>
      </w:r>
    </w:p>
    <w:p>
      <w:pPr>
        <w:spacing w:after="0" w:line="191"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No consistent policy regarding the scope of claims allowable in patents in the biotechnology field has emerged in the United States, and 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patent applications may not result in patents being issued which protect our therapeutic programs and other proprietary technologies we may develop or which effectively prevent others from commercializing competitive technologies and products.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do not currently have issued patents that cover all of our technology or therapeutic candidates. With respect to both licensed and company-owned intellectual property, we cannot be sure that patents will be granted with respect to any of our pending patent applications or with respect to any patent applications filed by us in the future. Moreover, even issued patents do not provide us with the right to practice our technology in relation to the commercialization of our therapeutics. The area of patent and other intellectual property rights in biotechnology is an evolving one with many risks and uncertainties, and third parties may have blocking patents that could be used to prevent us from commercializing our patented therapeutic candidates and practicing our proprietary technology. Our issued patents, those that may issue in the future and those that we in-license may be challenged, invalidated, or circumvented, which could limit our ability to stop competitors from marketing related products or limit the length of the term of patent protection that we may have for our therapeutic candidates. Furthermore, our competitors may independently develop similar technologies.</w:t>
      </w:r>
    </w:p>
    <w:p>
      <w:pPr>
        <w:spacing w:after="0" w:line="187"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Moreover, the claim coverage in a patent application can be significantly reduced before the patent is granted. Even if our patent applications issue as patents, they may not issue in a form that will provide us with any meaningful protection, prevent competitors or other third parties from competing with us or otherwise provide us with any competitive advantage. Any patents issuing from our patent applications may be challenged, narrowed, circumvented or invalidated by third parties. Consequently, we do not know whether our therapeutic programs and other proprietary technology will be protectable or remain protected by valid and enforceable patents. For example, we do not currently have any issued patents covering any of our oligonucleotide therapeutic candidates. The extent to which any patents, if and when granted, will cover our therapeutic candidates is uncertain. Even if a patent is granted, our competitors or other third parties may be able to circumvent the patent by developing similar or alternative technologies or products in a non-infringing manner which could materially adversely affect our business, financial condition, results of operations and prospects. In addition, given the amount of time required for the development, testing and regulatory review of our therapeutic programs and eventual therapeutic candidates, patents protecting the therapeutic candidates might expire before or shortly after such therapeutic candidates are commercialized. As a result, our intellectual property may not provide us with sufficient rights to exclude others from commercializing products similar or identical to ours.</w:t>
      </w:r>
    </w:p>
    <w:p>
      <w:pPr>
        <w:spacing w:after="0" w:line="191" w:lineRule="exact"/>
        <w:rPr>
          <w:sz w:val="20"/>
          <w:szCs w:val="20"/>
          <w:color w:val="auto"/>
        </w:rPr>
      </w:pPr>
    </w:p>
    <w:p>
      <w:pPr>
        <w:ind w:right="160" w:firstLine="648"/>
        <w:spacing w:after="0" w:line="245"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(USPTO) or in other jurisdictions, or become involved in opposition, derivation, revocation, reexamination, post-grant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other similar</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proceedings challenging our patent rights. An adverse determination in any such submission, proceeding or litigation could reduce the scope of, or invalidate or render unenforceable, our patent rights, allow third parties to commercialize our therapeutic programs and other proprietary technologies we may develop and compete directly with us, without payment to us, or result in our inability to manufacture or commercialize products without infringing third-party patent rights. Such proceedings also may result in substantial cost and require significant time from our scientists and management, even if the eventual outcome is favorable to us.</w:t>
      </w:r>
    </w:p>
    <w:p>
      <w:pPr>
        <w:spacing w:after="0" w:line="185"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In addition, if the breadth or strength of protection provided by our patents and patent applications is threatened, regardless of the outcome, it could dissuade companies from collaborating with us to license, develop or commercialize current or future therapeutic candidates.</w:t>
      </w:r>
    </w:p>
    <w:p>
      <w:pPr>
        <w:spacing w:after="0" w:line="15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any therapeutic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spacing w:after="0" w:line="20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We are and expect to continue to be reliant upon third-party licensors for certain patent and other intellectual property rights that are important or necessary to the development of our therapeutic programs, eventual therapeutic candidates, and proprietary technologies. For example, we rely on a license from Ohio State Innovation Foundation (OSIF), an affiliate of The Ohio State University (OSU) to certain patent rights and know-how of OSU. Our license agreement with OSIF imposes, and we expect that any future license agreement will impose, specified diligence, milestone payments, royalty payments, commercialization, development and other obligations on us and require us to meet development timelines, or to exercise diligent or commercially reasonable efforts to develop and commercialize licensed products, in order to maintain the licenses. These milestone payments, and other payments associated with the license, will make it less profitable for us to develop and potentially commercialize our therapeutic candidate. If this agreement is terminated, we could lose intellectual property rights that may be important to our business, potentially be liable for damages to the licensor or potentially be prevented from developing and commercializing our therapeutic candidate. Termination of the agreement or reduction or elimination of our rights under the agreement may also potentially result in us being required to negotiate a new or reinstated agreement with less favorable terms, and it is possible that we may be unable to obtain any such additional license at a reasonable cost or on reasonable terms, if at all. In that event, we may be required to spend significant time and resources to redesign our therapeutic candidate or the method for manufacturing it or to develop or license replacement technology, all of which may not be feasible on a technical or commercial basis. For more information on the terms of the license agreement with OSIF, see “Business— Intellectual property— License agreement with The Ohio State University” and Note 10, Commitments and Contingencies, to our consolidated financial statements included elsewhere in this Annual Report.</w:t>
      </w:r>
    </w:p>
    <w:p>
      <w:pPr>
        <w:spacing w:after="0" w:line="173"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Furthermore, our licensors have, or may in the future have, the right to terminate a license if we materially breach the agreement and fail to cure such breach within a specified period or in the event we undergo certain bankruptcy events. In spite of our best efforts, our current or any future licensors might conclude that we have materially breached our license agreements and might therefore terminate the license agreements. If our license agreements are terminated, we may lose our rights to develop and commercialize therapeutic candidates and technology, lose patent protection, experience significant delays in the development and commercialization of our therapeutic candidates and technology, and incur liability for damages. If these in-licenses are terminated, or if the underlying intellectual property fails to provide the intended exclusivity, our competitors or other third parties could have the freedom to seek regulatory approval of, and to market, products and technologies identical or competitive to ours and we may be required to cease our development and commercialization of certain of our therapeutic candidates and technology.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any therapeutic candidates we may develop and our technology. Any of the foregoing could have a material adverse effect on our competitive position, business, financial condition, results of operations and prospects.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104"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and obligations imposed under the license agreement and other interpretation-related issues;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licensors’ ability to obtain, maintain and defend intellectual property and to enforce intellectual property rights against third parties;</w:t>
      </w:r>
    </w:p>
    <w:p>
      <w:pPr>
        <w:spacing w:after="0" w:line="10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therapeutic candidates and processes infringe, misappropriate or otherwise violate the intellectual property of the licensor that is not subject to the license agreement;</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intellectual property rights under our license agreements;</w:t>
      </w:r>
    </w:p>
    <w:p>
      <w:pPr>
        <w:spacing w:after="0" w:line="103"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development, regulatory, commercialization, financial or other obligations under the license agreement and what activities satisfy those diligence obligations;</w:t>
      </w:r>
    </w:p>
    <w:p>
      <w:pPr>
        <w:spacing w:after="0" w:line="54" w:lineRule="exact"/>
        <w:rPr>
          <w:rFonts w:ascii="Times New Roman" w:cs="Times New Roman" w:eastAsia="Times New Roman" w:hAnsi="Times New Roman"/>
          <w:sz w:val="18"/>
          <w:szCs w:val="18"/>
          <w:color w:val="auto"/>
        </w:rPr>
      </w:pPr>
    </w:p>
    <w:p>
      <w:pPr>
        <w:ind w:left="660" w:right="460" w:hanging="328"/>
        <w:spacing w:after="0" w:line="266"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current or future licensors and us and our partners; and</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1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7"/>
          <w:szCs w:val="17"/>
          <w:color w:val="auto"/>
        </w:rPr>
        <w:t>In addition, any current or future license agreements to which we are a party, including our license agreement with OSIF,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diligence, development, regulatory, commercialization, financial or other obligations under the relevant agreement. In addition, if disputes over intellectual property that we have licensed or any other dispute related to our license agreements prevent or impair our ability to maintain our current license agreements on commercially acceptable terms, we may be unable to successfully develop and commercialize the affected therapeutic candidates and technology. Any of the foregoing could have a material adverse effect on our business, financial condition, results of operations and prospects.</w:t>
      </w:r>
    </w:p>
    <w:p>
      <w:pPr>
        <w:spacing w:after="0" w:line="160"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License agreements we may enter into in the future may be non-exclusive. Accordingly, third parties may also obtain non-exclusive licenses from such licensors with respect to the intellectual property licensed to us under such license agreements. Accordingly, these license agreements may not provide us with exclusive rights to use such licensed patent and other intellectual property rights, or may not provide us with exclusive rights to use such patent and other intellectual property rights in all relevant fields of use and in all territories in which we may wish to develop or commercialize our technology and any therapeutic candidates we may develop in the future.</w:t>
      </w:r>
    </w:p>
    <w:p>
      <w:pPr>
        <w:spacing w:after="0" w:line="185"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Moreover, some of our in-licensed patent and other intellectual property rights may in the future be subject to third party interests such as co-ownership. If we are unable to obtain an exclusive license to such third-party co-owners’ interest, in such patent and other intellectual property rights, such third-party co-owners may be able to license their rights to other third parties, including our competitors, and our competitors could market competing products and technology. We or our licensors may need the cooperation of any such co-owners of our licensed patent and other intellectual property rights in order to enforce them against third parties, and such cooperation may not be provided to us or our licensors.</w:t>
      </w:r>
    </w:p>
    <w:p>
      <w:pPr>
        <w:spacing w:after="0" w:line="185"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Additionally, we may not have complete control over the preparation, filing, prosecution, maintenance, enforcement and defense of patents and patent applications that we license from third parties. It is possible that our licensors’ filing, prosecution and maintenance of the licensed patents and patent applications, enforcement of patents against infringers or defense of such patents against challenges of validity or claims of enforceability may be less vigorous than if we had conducted them ourselves, and accordingly, we cannot be certain that these patents and patent applications will be prepared, filed, prosecuted, maintained, enforced and defended in a manner consistent with the best interests of our business. If our licensors fail to file, prosecute, maintain, enforce and defend such patents and patent applications, or lose rights to those patents or patent applications, the rights we have licensed may be reduced or eliminated, our right to develop and commercialize any of our technology and any therapeutic candidates we may develop that are the subject of such licensed rights could be adversely affected and we may not be able to prevent competitors or other third parties from making, using and selling competing products.</w:t>
      </w:r>
    </w:p>
    <w:p>
      <w:pPr>
        <w:spacing w:after="0" w:line="185"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Furthermore, our owned and in-licensed patent rights may be subject to a reservation of rights by one or more third parties, including the U.S. government. Pursuant to the Bayh-Dole Act of 1980, the U.S. government has certain rights in inventions developed with government funding. These U.S. government rights include a non-exclusive, non-transferable, irrevocable worldwide license to use inventions for any governmental purpose. When new technologies are developed with government funding, in order to secure ownership of patent rights related to the technologies, the recipient of such funding is required to comply with certain government regulations, including timely disclosing the inventions claimed in such patent rights to the U.S. government and timely electing title to such inventions. A failure to meet these obligations may lead to a loss of rights or the unenforceability of relevant patents or patent applications.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current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If the U.S. government decides to exercise these rights, it is not required to engage us as its contractor in connection with doing so. The U.S. government’s rights may</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40"/>
        <w:spacing w:after="0" w:line="238" w:lineRule="auto"/>
        <w:rPr>
          <w:sz w:val="20"/>
          <w:szCs w:val="20"/>
          <w:color w:val="auto"/>
        </w:rPr>
      </w:pPr>
      <w:r>
        <w:rPr>
          <w:rFonts w:ascii="Times New Roman" w:cs="Times New Roman" w:eastAsia="Times New Roman" w:hAnsi="Times New Roman"/>
          <w:sz w:val="18"/>
          <w:szCs w:val="18"/>
          <w:color w:val="auto"/>
        </w:rPr>
        <w:t>also permit it to disclose the funded inventions and technology, which may include our confidential information, to third parties and to exercise march-in rights to use or allow third parties to use the technology that was developed using U.S. government funding.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of the foregoing could harm our business, financial condition, results of operations and prospects significantly.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16"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Filing, prosecuting, maintaining, enforcing and defending patents and other intellectual property rights on our technology and any therapeutic candidates we may develop in all jurisdictions throughout the world would be prohibitively expensive, and accordingly, our intellectual property rights in some jurisdictions outside the United States could be less extensive than those in the United States. In some cases, we or our licensors may not be able to obtain patent or other intellectual property protection for certain technology and therapeutic candidates outside the United States. In addition, the laws of some foreign jurisdictions do not protect intellectual property rights to the same extent as federal and state laws in the United States. Consequently, we and our licensors may not be able to obtain issued patents or other intellectual property rights covering any therapeutic candidates we may develop and our technology in all jurisdictions outside the United States and, as a result, may not be able to prevent third parties from practicing our and our licensors’ inventions in all countries outside the United States, or from selling or importing products made using our inventions in and into the United States or other jurisdictions. Third parties may use our technologies in jurisdictions where we and our licensors have not pursued and obtained patent or other intellectual property protection to develop their own products and, further, may export otherwise infringing, misappropriating or violating products to territories where we have patent or other intellectual property protection, but enforcement is not as strong as that in the United States. These products may compete with any therapeutic candidates we may develop and our technology and our or our licensors’ patents or other intellectual property rights may not be effective or sufficient to prevent them from competing.</w:t>
      </w:r>
    </w:p>
    <w:p>
      <w:pPr>
        <w:spacing w:after="0" w:line="18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Additionally, many companies have encountered significant problems in protecting and defending intellectual property rights in foreign jurisdictions. The legal systems of certain jurisdictions, particularly certain developing countries, do not favor the enforcement of patents, trade secrets and other intellectual property protection, particularly those relating to biotechnology and pharmaceutical products, which could make it difficult for us to stop the infringement, misappropriation or other violation of our patent and other intellectual property rights or marketing of competing products in violation of our intellectual property rights generally. For example, an April 2019 report from the Office of the United States Trade Representative identified a number of countries, including China, Russia, Argentina, Chile and India, where challenges to the procurement and enforcement of patent rights have been reported. Proceedings to enforce our or our licensors’ patent and other intellectual property rights in foreign jurisdictions could result in substantial costs and divert our efforts and attention from other aspects of our business, could put our patent and other intellectual property rights at risk of being invalidated or interpreted narrowly and our patent applications at risk of not issuing and could provoke third parties to assert claims against us. We or our licensors may not prevail in any lawsuits that we or our licensors initiate and, if we or our licensors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0" w:lineRule="exact"/>
        <w:rPr>
          <w:sz w:val="20"/>
          <w:szCs w:val="20"/>
          <w:color w:val="auto"/>
        </w:rPr>
      </w:pPr>
    </w:p>
    <w:p>
      <w:pPr>
        <w:ind w:right="160" w:firstLine="648"/>
        <w:spacing w:after="0" w:line="237" w:lineRule="auto"/>
        <w:rPr>
          <w:sz w:val="20"/>
          <w:szCs w:val="20"/>
          <w:color w:val="auto"/>
        </w:rPr>
      </w:pPr>
      <w:r>
        <w:rPr>
          <w:rFonts w:ascii="Times New Roman" w:cs="Times New Roman" w:eastAsia="Times New Roman" w:hAnsi="Times New Roman"/>
          <w:sz w:val="18"/>
          <w:szCs w:val="18"/>
          <w:color w:val="auto"/>
        </w:rPr>
        <w:t>Many jurisdictions have compulsory licensing laws under which a patent owner may be compelled to grant licenses to third parties. In addition, many jurisdictions limit the enforceability of patents against government agencies or government contractors. In these jurisdictions, the patent owner may have limited remedies, which could materially diminish the value of such patents. If we or any of our licensors is forced to grant a license to third parties with respect to any patents relevant to our business, our competitive position may be impaired, and our business, financial condition, results of operations and prospects may be adversely affected.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85" w:lineRule="exact"/>
        <w:rPr>
          <w:sz w:val="20"/>
          <w:szCs w:val="20"/>
          <w:color w:val="auto"/>
        </w:rPr>
      </w:pPr>
    </w:p>
    <w:p>
      <w:pPr>
        <w:ind w:right="8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any therapeutic candidates we may develop could be found invalid or unenforceable if challenged in court or before administrative bodies in the United States or abroad.</w:t>
      </w:r>
    </w:p>
    <w:p>
      <w:pPr>
        <w:spacing w:after="0" w:line="158"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Our owned and licensed patent rights may be subject to priority, validity, inventorship and enforceability disputes. If we or our licensors are unsuccessful in any of these proceedings, such patent rights may be narrowed, invalidated or held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unenforceable, we may be required to obtain licenses from third parties, which may not be available on commercially reasonable terms or at all, or we may be required to cease the development, manufacture and commercialization of one or more of our therapeutic candidates. Any of the foregoing could have a material adverse effect on our business, financial condition, results of operations and prospects.</w:t>
      </w:r>
    </w:p>
    <w:p>
      <w:pPr>
        <w:spacing w:after="0" w:line="177"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 xml:space="preserve">If we or one of our licensors initiate legal proceedings against a third party to enforce a patent covering any of any therapeutic candidates we may develop or our technology, the defendant could counterclaim that the patent covering the therapeutic candidate or technology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interference proceedings, derivation proceedings,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equivalent proceedings such as opposition, invalidation and revocation proceedings in foreign jurisdictions. Such proceedings could result in the revocation or cancellation of or amendment to our patents in such a way that they no longer cover any therapeutic candidates we may develop or our technology or no longer prevent third parties from competing with any therapeutic candidates we may develop or our technology. The outcome following legal assertions of invalidity and unenforceability is unpredictable. Defense of these claims, regardless of their merit, would involve substantial litigation expense and would be a distraction to management and other employees.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 protection on one or more of our therapeutic candidates or technology. Such a loss of patent protection could have a material adverse effect on our business, financial condition, results of operations and prospects.</w:t>
      </w:r>
    </w:p>
    <w:p>
      <w:pPr>
        <w:spacing w:after="0" w:line="182" w:lineRule="exact"/>
        <w:rPr>
          <w:sz w:val="20"/>
          <w:szCs w:val="20"/>
          <w:color w:val="auto"/>
        </w:rPr>
      </w:pPr>
    </w:p>
    <w:p>
      <w:pPr>
        <w:ind w:right="5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76"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In certain circumstances, we rely on our licensing partners to pay these fees due to U.S. and non-U.S. patent agencies. The USPTO and various non-U.S. government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spacing w:after="0" w:line="181"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or worldwide could diminish the value of patents in general, thereby impairing our ability to protect any therapeutic candidates we may develop and our technology.</w:t>
      </w:r>
    </w:p>
    <w:p>
      <w:pPr>
        <w:spacing w:after="0" w:line="15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patent laws in the United States and worldwide, including patent reform legislation such as the Leahy-Smith America Invents Act (the Leahy-Smith Act), could increase the uncertainties and costs surrounding the prosecution of any owned or in-licensed patent applications and the maintenance, enforcement or defense of any current in-licensed issued patents and issued patents we may own or in-license in the future. The Leahy-Smith Act includes a number of significant changes to U.S.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in-licensed issued patents and issued patents we may own or in-license in the future, all</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of which could have a material adverse effect on our business, financial condition, results of operations and prospects. Since patent applications in the United States and most other countries are confidential for a period of time after filing or until issuance, we cannot be certain that we or our licensors were the first to either (i) file any patent application related to our therapeutic candidates or (ii) invent any of the inventions claimed in our or our licensor’s patents or patent applications.</w:t>
      </w:r>
    </w:p>
    <w:p>
      <w:pPr>
        <w:spacing w:after="0" w:line="181"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 xml:space="preserve">The Leahy-Smith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unpatentable even though the same evidence would be insufficient to invalidate the claim if first presented in a district court action. Accordingly, a third party may attempt to use the USPTO procedures to review patentability of our patent claims that would not have been invalidated if first challenged by the third party as a defendant in a district court action. Therefore, the Leahy-Smith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19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 xml:space="preserve">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As one example, in the case </w:t>
      </w:r>
      <w:r>
        <w:rPr>
          <w:rFonts w:ascii="Times New Roman" w:cs="Times New Roman" w:eastAsia="Times New Roman" w:hAnsi="Times New Roman"/>
          <w:sz w:val="18"/>
          <w:szCs w:val="18"/>
          <w:i w:val="1"/>
          <w:iCs w:val="1"/>
          <w:color w:val="auto"/>
        </w:rPr>
        <w:t>Assoc. for Molecular Pathology v. Myriad Genetics, Inc.</w:t>
      </w:r>
      <w:r>
        <w:rPr>
          <w:rFonts w:ascii="Times New Roman" w:cs="Times New Roman" w:eastAsia="Times New Roman" w:hAnsi="Times New Roman"/>
          <w:sz w:val="18"/>
          <w:szCs w:val="18"/>
          <w:color w:val="auto"/>
        </w:rPr>
        <w:t>, the U.S. Supreme Court held that certain claims to DNA molecules are not patentable simply because they have been isolated from surrounding material. Moreover, in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patent-ineligible subject matter. Accordingly, in view of the guidance memo, there can be no assurance that claims in our patent rights covering any therapeutic candidates we may develop or our technology will be held by the USPTO or equivalent foreign patent offices or by courts in the United States or in foreign jurisdictions to cover patentable subject matter.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any therapeutic candidates we may develop, our business may be harmed.</w:t>
      </w:r>
    </w:p>
    <w:p>
      <w:pPr>
        <w:spacing w:after="0" w:line="216"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therapeutic candidates we may develop and our technology, one or more of our U.S. patents that we license or may own in the future may be eligible for limited patent term extension under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product, a method for using it or a method for manufacturing it may be extended. The application for the extension must be submitted prior to the expiration of the patent for which extension is sought and within 60 days of FDA approval. A patent that covers multiple products for which approval is sought can only be extended in connection with one of the approvals.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the term of any such extension is less than we request, our competitors may obtain approval of competing products following our patent expiration, and our revenue could be reduced. Any of the foregoing could have a material adverse effect on our business, financial condition, results of operations and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 and other intellectual property rights.</w:t>
      </w:r>
    </w:p>
    <w:p>
      <w:pPr>
        <w:spacing w:after="0" w:line="216"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 rights, trade secrets or other intellectual property as an inventor or co-inventor.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example, we or our licensors may have inventorship disputes arise from conflicting obligations of employees, consultants or others who are involved in developing our therapeutic candidates or technology. Litigation may be necessary to defend against these and other claims challenging inventorship or our or our licensors’ ownership of our owned or in-licensed patent rights,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any therapeutic candidates we may develop or our technology.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16"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In addition to seeking patent protection for our therapeutic programs and other proprietary technologies we may develop, we also rely on trade secrets and confidentiality agreements to protect our unpatented know-how, technology, and other proprietary information and to maintain our competitive position. With respect to our EEV Platform and development programs, we consider trade secrets and know-how to be one of our important sources of intellectual property, including our extensive knowledge of oligonucleotide drug delivery techniques and antibody conjugation. Trade secrets and know-how can be difficult to protect. In particular, the trade secrets and know-how in connection with our EEV Platform, development programs and other proprietary technology we may develop may over time be disseminated within the industry through independent development, the publication of journal articles describing the methodology and the movement of personnel with scientific positions in academic and industry.</w:t>
      </w:r>
    </w:p>
    <w:p>
      <w:pPr>
        <w:spacing w:after="0" w:line="189"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72" w:lineRule="exact"/>
        <w:rPr>
          <w:sz w:val="20"/>
          <w:szCs w:val="20"/>
          <w:color w:val="auto"/>
        </w:rPr>
      </w:pPr>
    </w:p>
    <w:p>
      <w:pPr>
        <w:ind w:right="220" w:firstLine="648"/>
        <w:spacing w:after="0" w:line="241" w:lineRule="auto"/>
        <w:rPr>
          <w:sz w:val="20"/>
          <w:szCs w:val="20"/>
          <w:color w:val="auto"/>
        </w:rPr>
      </w:pPr>
      <w:r>
        <w:rPr>
          <w:rFonts w:ascii="Times New Roman" w:cs="Times New Roman" w:eastAsia="Times New Roman" w:hAnsi="Times New Roman"/>
          <w:sz w:val="18"/>
          <w:szCs w:val="18"/>
          <w:color w:val="auto"/>
        </w:rPr>
        <w:t>We may be subject to claims that third parties have an ownership interest in our trade secrets. For example, we may have disputes arise from conflicting obligations of our employees, consultants or others who are involved in developing our therapeutic candidate.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therapeutic programs and other proprietary technologies we may develop. Such an outcome could have a material adverse effect on our business. Even if we are successful in defending against such claims, litigation could result in substantial costs and be a distraction to our management and other employees.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necessary rights to any therapeutic candidate we may develop through acquisitions and in-licenses.</w:t>
      </w:r>
    </w:p>
    <w:p>
      <w:pPr>
        <w:spacing w:after="0" w:line="216"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We currently own or exclusively license intellectual property rights covering certain aspects of our therapeutic programs. Other pharmaceutical companies and academic institutions may also have filed or are planning to file patent applications potentially relevant to our business. In order to avoid infringing these third-party patents, we may find it necessary or prudent to obtain licenses to such patents from such third-party intellectual property holders. However, we may be unable to secure such licenses or otherwise acquire or in-license any compositions, methods of use, processes or other intellectual property rights from third parties that we identify as necessary for our therapeutic programs and other proprietary technologies we may develop. The licensing or acquisition of third-party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intellectual property rights or maintain the existing intellectual property rights we have, we may have to abandon development of the relevant program or therapeutic candidate, which could have a material adverse effect on our business, financial condition, results of operations and prospects.</w:t>
      </w:r>
    </w:p>
    <w:p>
      <w:pPr>
        <w:spacing w:after="0" w:line="158"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158"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Some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management.</w:t>
      </w:r>
    </w:p>
    <w:p>
      <w:pPr>
        <w:spacing w:after="0" w:line="185"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2"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misappropriation or other violations against us or our collaborators may prevent or delay the development and commercialization of our therapeutic programs and other proprietary technologies we may develop.</w:t>
      </w:r>
    </w:p>
    <w:p>
      <w:pPr>
        <w:spacing w:after="0" w:line="158"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 As discussed above, recently, due to changes in U.S. law referred to as patent reform, new procedures including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post-grant review have also been implemented. As stated above, this reform adds uncertainty to the possibility of challenge to our patents in the future.</w:t>
      </w:r>
    </w:p>
    <w:p>
      <w:pPr>
        <w:spacing w:after="0" w:line="18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Numerous U.S. and foreign issued patents and pending patent applications owned by third parties exist in the fields in which we are commercializing or plan to commercialize our therapeutic programs and in which we are developing other proprietary technologies. As the biotechnology and pharmaceutical industries expand and more patents are issued, the risk increases that our therapeutic programs and commercializing activities may give rise to claims of infringement of the patent rights of others. We are aware of third party patents that may cover certain aspects of therapeutic candidates that we are developing or may develop. We cannot assure our stockholders that our therapeutic programs and other proprietary technologies we may develop will not infringe existing or future patents owned by third parties. We may not be aware of patents that have already been issued and that a third party, for example, a competitor in the fields in which we are developing our therapeutic programs, might assert as infringed by us.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third-party patent does not pose a material risk, but in another country, the corresponding third-party patent may pose a material risk to our planned products. As such, we review third-party patents in the relevant pharmaceutical markets. In addition, because patent applications can take many years to issue, there may be currently pending patent applications that may later result in issued patents that we may infringe.</w:t>
      </w:r>
    </w:p>
    <w:p>
      <w:pPr>
        <w:spacing w:after="0" w:line="190"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18"/>
          <w:szCs w:val="18"/>
          <w:color w:val="auto"/>
        </w:rPr>
        <w:t>In the event that any third 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us. In this case, the holders of such patents may be able to block our ability to commercialize the infringing products or technologies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license fees or royalties or both, and the rights granted to us</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might be nonexclusive, which could result in our competitors gaining access to the same intellectual property. If we are unable to obtain a necessary license to a third-party patent on commercially reasonable terms, we may be unable to commercialize the infringing products or technologies or such commercialization efforts may be significantly delayed, which could in turn significantly harm our business.</w:t>
      </w:r>
    </w:p>
    <w:p>
      <w:pPr>
        <w:spacing w:after="0" w:line="177"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or technologies. In addition, we may have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In that event, we would be unable to further develop and commercialize our therapeutic candidate or technologies, which could harm our business significantly. Further, we cannot predict whether any required license would be available at all or whether it would be available on commercially reasonable terms. In the event that we could not obtain a license, we may be unable to further develop our therapeutic candidate and commercialize our product, if approved, which could harm our business significantly. Even if we are able to obtain a license, the license would likely obligate us to pay license fees or royalties or both, and the rights granted to us might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w:t>
      </w:r>
    </w:p>
    <w:p>
      <w:pPr>
        <w:spacing w:after="0" w:line="190"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Engaging in litigation defending against third parties alleging infringement of patent and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could impair our ability to compete in the marketplace. The occurrence of any of the foregoing could have a material adverse effect on our business, financial condition or results of operations.</w:t>
      </w:r>
    </w:p>
    <w:p>
      <w:pPr>
        <w:spacing w:after="0" w:line="185"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7"/>
          <w:szCs w:val="17"/>
          <w:color w:val="auto"/>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If we do not prevail in the patent proceedings the third parties may assert a claim of patent infringement directed at our therapeutic candidates.</w:t>
      </w:r>
    </w:p>
    <w:p>
      <w:pPr>
        <w:spacing w:after="0" w:line="170"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158"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Third parties, such as a competitor, may infringe our patent rights. In an infringement proceeding, a court may decide that a patent owned by us is invalid or unenforceable or may refuse to stop the other party from using the invention at issue on the grounds that the patent does not cover the technology in question. In addition, our patent rights may become involved in inventorship, priority or validity disputes. To counter or defend against such claims can be expensive and time-consuming. An adverse result in any litigation proceeding could put our patent rights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4"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continuation of patent litigation or other proceedings could have a material adverse effect on our ability to compete in the marketplace.</w:t>
      </w:r>
    </w:p>
    <w:p>
      <w:pPr>
        <w:spacing w:after="0" w:line="208"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therapeutic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or equivalent body. Furthermore, in many countries, owning and maintaining a trademark registration may not provide an adequate defense against a subsequent infringement claim asserted by the owner of a senior trademark.</w:t>
      </w:r>
    </w:p>
    <w:p>
      <w:pPr>
        <w:spacing w:after="0" w:line="19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Furthermore, assertions of potential trademark infringement or possible market confusion may lead to coexistence agreements in order to avoid costly disputes related to our trademarks. As a consequence, we may be forced to amend the list of goods and services covered by our trademarks more narrowly than as originally filed and intended, which could adversely affect our ability to establish name recognition. For example, the description of goods and services for our Entrada trademark was amended twice to settle potential disputes with two other biopharmaceutical companies as part of coexistence agreements.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21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660" w:right="44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therapeutic candidate or utilize similar technology but that are not covered by the claims of the patents that we license or may own;</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our current or future patent applications;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covering our inventions;</w:t>
      </w:r>
    </w:p>
    <w:p>
      <w:pPr>
        <w:spacing w:after="0" w:line="103" w:lineRule="exact"/>
        <w:rPr>
          <w:rFonts w:ascii="Times New Roman" w:cs="Times New Roman" w:eastAsia="Times New Roman" w:hAnsi="Times New Roman"/>
          <w:sz w:val="18"/>
          <w:szCs w:val="18"/>
          <w:color w:val="auto"/>
        </w:rPr>
      </w:pPr>
    </w:p>
    <w:p>
      <w:pPr>
        <w:ind w:left="660" w:right="48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current or future patent applications will not lead to issued patents;</w:t>
      </w:r>
    </w:p>
    <w:p>
      <w:pPr>
        <w:spacing w:after="0" w:line="103"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 issuing from our current or future patent applications may be held invalid or unenforceable, including as a result of legal challenges by our competitors or other third parties;</w:t>
      </w:r>
    </w:p>
    <w:p>
      <w:pPr>
        <w:spacing w:after="0" w:line="68"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54"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and our collaborators may develop adjacent or competing products that are outside the scope of our patents;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03"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for patent protection in order to maintain certain trade secrets or know-how, and a third party may subsequently file a patent application covering such intellectual property.</w:t>
      </w:r>
    </w:p>
    <w:p>
      <w:pPr>
        <w:spacing w:after="0" w:line="162" w:lineRule="exact"/>
        <w:rPr>
          <w:sz w:val="20"/>
          <w:szCs w:val="20"/>
          <w:color w:val="auto"/>
        </w:rPr>
      </w:pPr>
    </w:p>
    <w:p>
      <w:pPr>
        <w:ind w:right="700" w:firstLine="648"/>
        <w:spacing w:after="0" w:line="266" w:lineRule="auto"/>
        <w:rPr>
          <w:sz w:val="20"/>
          <w:szCs w:val="20"/>
          <w:color w:val="auto"/>
        </w:rPr>
      </w:pPr>
      <w:r>
        <w:rPr>
          <w:rFonts w:ascii="Times New Roman" w:cs="Times New Roman" w:eastAsia="Times New Roman" w:hAnsi="Times New Roman"/>
          <w:sz w:val="18"/>
          <w:szCs w:val="18"/>
          <w:color w:val="auto"/>
        </w:rPr>
        <w:t>The occurrence of any of these events would have a material adverse effect on our business, financial condition, results of operations and prospects.</w:t>
      </w:r>
    </w:p>
    <w:p>
      <w:pPr>
        <w:spacing w:after="0" w:line="158" w:lineRule="exact"/>
        <w:rPr>
          <w:sz w:val="20"/>
          <w:szCs w:val="20"/>
          <w:color w:val="auto"/>
        </w:rPr>
      </w:pPr>
    </w:p>
    <w:p>
      <w:pPr>
        <w:jc w:val="both"/>
        <w:ind w:right="2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partially depend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p>
    <w:p>
      <w:pPr>
        <w:spacing w:after="0" w:line="17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are dependent, in part, on patents, know-how and proprietary technology licensed from others. Our licenses to such patents, know-how and proprietary technology may not provide exclusive rights in all relevant fields of use and in all territories in which we may wish to develop or commercialize our therapeutics in the future. The agreements under which we license patents, know-how and proprietary technology from others are complex, and certain provisions in such agreements may be susceptible to multiple interpretations.</w:t>
      </w:r>
    </w:p>
    <w:p>
      <w:pPr>
        <w:spacing w:after="0" w:line="167"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If we fail to comply with obligations under any license agreements, our licensors may have the right to terminate our license, in which event we would not be able to develop or market technology or therapeutic candidates covered by the intellectual property licensed under these agreements. In addition, we may need to obtain additional licenses from our existing licensors and others to advance our research or allow commercialization of therapeutic candidates we may develop. It is possible that we may be unable to obtain any additional licenses at a reasonable cost or on reasonable terms, if at all. In either event, we may be required to expend significant time and resources to redesign our technology, therapeutic candidates, or the methods for manufacturing them or to develop or license replacement technology, all of which may not be feasible on a technical or commercial basis. If we are unable to do so, we may be unable to develop or commercialize the affected technology or therapeutic candidates.</w:t>
      </w:r>
    </w:p>
    <w:p>
      <w:pPr>
        <w:spacing w:after="0" w:line="185"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If we or our licensors fail to adequately protect our licensed intellectual property, our ability to commercialize therapeutic candidates could suffer. We do not have complete control over the maintenance, prosecution and litigation of our in-licensed patents and patent applications and may have limited control over future intellectual property that may be in-licensed. For example, we cannot be certain that activities such as the maintenance and prosecution by our licensors have been or will be conducted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w:t>
      </w:r>
    </w:p>
    <w:p>
      <w:pPr>
        <w:spacing w:after="0" w:line="170"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In addition, the resolution of any contract interpretation disagreement that may arise could narrow what we believe to be the scope of our rights to the relevant patents, know-how and proprietary technology, or increase what we believe to be our financial or other obligations under the relevant agreement. Disputes that may arise between us and our licensors regarding intellectual property subject to a license agreement could include disputes regarding:</w:t>
      </w:r>
    </w:p>
    <w:p>
      <w:pPr>
        <w:spacing w:after="0" w:line="73"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03"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03" w:lineRule="exact"/>
        <w:rPr>
          <w:rFonts w:ascii="Times New Roman" w:cs="Times New Roman" w:eastAsia="Times New Roman" w:hAnsi="Times New Roman"/>
          <w:sz w:val="18"/>
          <w:szCs w:val="18"/>
          <w:color w:val="auto"/>
        </w:rPr>
      </w:pPr>
    </w:p>
    <w:p>
      <w:pPr>
        <w:ind w:left="660" w:right="820" w:hanging="328"/>
        <w:spacing w:after="0" w:line="26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therapeutic candidates and what activities satisfy those diligence obligations; and</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w:t>
      </w:r>
    </w:p>
    <w:p>
      <w:pPr>
        <w:spacing w:after="0" w:line="212" w:lineRule="exact"/>
        <w:rPr>
          <w:sz w:val="20"/>
          <w:szCs w:val="20"/>
          <w:color w:val="auto"/>
        </w:rPr>
      </w:pPr>
    </w:p>
    <w:p>
      <w:pPr>
        <w:ind w:right="160" w:firstLine="648"/>
        <w:spacing w:after="0" w:line="239"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technology or therapeutic candidates. As a result, any termination of or disputes over our intellectual property licenses could result in the loss of our ability to develop and commercialize our EEV Platform, or EEV products, or we could lose other significant rights, any of which could have a material adverse effect on our business, financial condition, results of operations and prospects.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For example, our agreements with certain of our third-party research partners provide that improvements developed in the course of our relationship may be owned solely by either us or our third-party research partner, or jointly between us and the third party. If we determine that rights to such improvements owned solely by a research partner or other third party with whom we collaborate are necessary to commercialize our therapeutic candidates or maintain our competitive advantage, we may need to obtain a license from such third party in order to use the improvements and continue developing, manufacturing or marketing our therapeutic candidates. We may not be able to obtain such a license on an exclusive basis, on commercially reasonable terms, or at all, which could prevent us from commercializing our therapeutic candidates or allow our competitors or others the chance to access technology that is important to our business. We also may need the cooperation of any co-owners of our intellectual property in order to enforce such intellectual property against third parties, and such cooperation may not be provided to us.</w:t>
      </w:r>
    </w:p>
    <w:p>
      <w:pPr>
        <w:spacing w:after="0" w:line="183"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product components and processes for our development portfolio through acquisitions and in-licenses.</w:t>
      </w:r>
    </w:p>
    <w:p>
      <w:pPr>
        <w:spacing w:after="0" w:line="158"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The growth of our business may depend in part on our ability to acquire, in-license or use third-party proprietary rights. For example, our therapeutic candidates may require specific formulations to work effectively and efficiently, we may develop therapeutic candidates containing our compounds and pre-existing pharmaceutical compounds, or we may be required by the FDA or comparable foreign regulatory authorities to provide a companion diagnostic test or tests with our therapeutic candidates, any of which could require us to obtain rights to use intellectual property held by third parties. In addition, with respect to any patents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90"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spacing w:after="0" w:line="184"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therapeutic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the additional therapeutic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spacing w:after="0" w:line="18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our collaborators and our service providers may be subject to a variety of privacy and data security laws and contractual obligations, which could increase compliance costs and our failure to comply with them could subject us to potentially significant fines or penalties and otherwise harm our business.</w:t>
      </w:r>
    </w:p>
    <w:p>
      <w:pPr>
        <w:spacing w:after="0" w:line="162"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We maintain a large quantity of sensitive information, including confidential business and patient health information in connection with our preclinical studies, and are subject to laws and regulations governing the privacy and security of such information. The global data protection landscape is rapidly evolving, and we may be affected by or subject to new, amended or existing laws and regulations in the future, including as our operations continue to expand or if we operate in foreign jurisdictions. These laws and regulations may be subject to differing interpretations, which adds to the complexity of processing personal data. Guidance on implementation and compliance practices are often updated or otherwise revised.</w:t>
      </w:r>
    </w:p>
    <w:p>
      <w:pPr>
        <w:spacing w:after="0" w:line="18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the United States, there are numerous federal and state privacy and data security laws and regulations governing the collection, use, disclosure and protection of personal information, including federal and state health information privacy</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laws, federal and state cybersecurity incident notification laws and federal and state consumer protection laws. Each of these laws is subject to varying interpretations and constantly evolving. By way of example, HIPAA imposes privacy and security requirements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U.S. Department of Health and Human Services (HHS), affected individuals and if the breach is large enough, the media. Entities that are found to be in violation of HIPAA may be subject to significant civil, criminal and administrative fines and penalties and/or additional reporting and oversight obligations. Even when HIPAA does not apply, failing to take appropriate steps to keep consumers’ personal information secure may constitute unfair acts or practices in or affecting commerce in violation of Section 5(a) of the Federal Trade Commission Act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220"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By way of example, the California Consumer Privacy Act (CCPA), which went into effect on January 1, 2020, established a comprehensive privacy framework for covered businesses by creating an expanded definition of personal information, establishing new data privacy rights for consumers in the State of California, and imposing special rules on the collection of consumer data from minors. The CCPA also provided for civil penalties for violations of the act, as well as a private right of action for data breaches, which is expected to increase the risk of future data breach litigation.</w:t>
      </w:r>
    </w:p>
    <w:p>
      <w:pPr>
        <w:spacing w:after="0" w:line="186"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Further, a ballot initiative, the California Privacy Rights Act (CPRA), was passed by California voters on November 3, 2020 and as of January 1, 2023 has imposed additional obligations on companies covered by the legislation. The CPRA significantly modified the CCPA, including by creating additional obligations with respect to the processing and storing of personal information and by expanding consumers' rights with respect to certain sensitive information.</w:t>
      </w:r>
    </w:p>
    <w:p>
      <w:pPr>
        <w:spacing w:after="0" w:line="181"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The CCPA and CPRA mark the beginning of a trend toward more stringent privacy legislation in the U.S. While these comprehensive consumer state privacy laws incorporate many similar concepts as the CCPA, there are also several key differences in the scope, application, and enforcement of these laws that will change the operational practices of regulated businesses. These comprehensive privacy laws will, among other things, impact how regulated businesses collect and process personal sensitive data, conduct data protection assessments, transfer personal data to affiliates, and respond to consumer rights requests.</w:t>
      </w:r>
    </w:p>
    <w:p>
      <w:pPr>
        <w:spacing w:after="0" w:line="184"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A number of other states have also proposed new comprehensive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2"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Furthermore, in addition to comprehensive privacy laws, certain states have enacted laws which focus on certain specific types of information. For example, the state of Washington recently passed a health privacy law that will regulate the collection and sharing of health information. The Washington law also has a private right of action, which further increases the relevant compliance risk for covered businesses. Connecticut and Nevada have also passed similar laws regulating consumer health data. Further, a small number of states have passed laws that regulate biometric information. The existence of these laws as well as comprehensive privacy laws in different states in the country make our compliance obligations more complex and costly and may increase the likelihood that we may be subject to enforcement actions or otherwise incur liability for noncompliance. State laws are changing rapidly and there is discussion in the U.S. Congress of a new comprehensive federal data privacy law to which we may likely become subject, if enacted.</w:t>
      </w:r>
    </w:p>
    <w:p>
      <w:pPr>
        <w:spacing w:after="0" w:line="175"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18"/>
          <w:szCs w:val="18"/>
          <w:color w:val="auto"/>
        </w:rPr>
        <w:t>We will be subject to the data protection laws of the European Union (EU) and United Kingdom (UK) in relation to personal data we collect from these territories. These laws impose additional obligations and risk upon our business, including substantial expenses and changes to business operations that are required to comply with these laws. The withdrawal of the UK from the EU (Brexit) and the subsequent separation of the data protection regimes of these territories means we are required to comply with separate data protection laws in the EU and UK which may lead to additional compliance costs and could increase our overall risk. The collection, use, storage, disclosure, transfer, and other processing of personal data in the EU is governed by the provisions of the General Data Protection Regulation, or the EU GDPR. Following the withdrawal of the UK from the EU, the EU GDPR ceased to apply in the UK. As of January 1, 2021, the UK’s European Union (Withdrawal) Act 2018 incorporated the EU GDPR into UK law along with the UK Data Protection Act 2018, referred to as the UK GDPR and together with the EU GDPR, referred to as the GDPR. Failure to comply with</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the GDPR, and any supplemental European Economic Area, or EEA, country’s national data protection laws which may apply by virtue of the location of the individuals whose personal data we collect, may result in fines and other administrative penalties, including monetary penalties of up to €20/£17.5 million or 4% of worldwide revenue (whichever is higher). The GDPR also confers a private right of action on data subjects and consumer associations to lodge complaints with supervisory authorities, seek judicial remedies, and obtain compensation for damages resulting from violations of the GDPR.</w:t>
      </w:r>
    </w:p>
    <w:p>
      <w:pPr>
        <w:spacing w:after="0" w:line="181"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18"/>
          <w:szCs w:val="18"/>
          <w:color w:val="auto"/>
        </w:rPr>
        <w:t>The GDPR imposes several requirements relating to processing personal data, including the requirement to provide notice to individuals about personal data processing activities, ensure an appropriate lawful basis and/or conditions applies to the processing of personal data, having data processing agreements with third parties who process personal data, appointing data protection officers, conducting data protection impact assessments for high risk processing, record-keeping, responding to individuals’ requests to exercise their rights in respect of their personal data, notification of data breaches to the competent national data protection authority, and the implementation of safeguards to protect the security and confidentiality of personal data. The GDPR also imposes several additional requirements relating to the processing of health and other sensitive data which may require us to obtain consent from the individuals to whom the personal data relates.</w:t>
      </w:r>
    </w:p>
    <w:p>
      <w:pPr>
        <w:spacing w:after="0" w:line="1"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7"/>
          <w:szCs w:val="17"/>
          <w:color w:val="auto"/>
        </w:rPr>
        <w:t>The GDPR imposes strict rules on the transfer of personal data out of the EEA/UK to countries not regarded by the European Commission and the UK government as providing adequate protection, or third countries, including the United States. These transfers are prohibited unless an appropriate safeguard specified by data protection laws is implemented, such as the Standard Contractual Clauses, or SCCs, approved by the European Commission, or a derogation applies. Transfers made pursuant to the SCCs need to be assessed on a case-by-case basis to ensure the law in the recipient country provides “essentially equivalent” protections to safeguard the transferred data. If the standard is not met, businesses will be required to adopt supplementary measures. Further, the EU and United States have adopted its adequacy decision for the EU-U.S. Data Privacy Framework (Framework), which entered into force on July 11, 2023. This Framework provides that the protection of personal data transferred between the EU and the United States is comparable to that offered in the EU. This provides a further avenue to ensuring transfers to the United States are carried out in line with GDPR. The UK is not subject to the European Commission’s SCCs but the UK Information Commissioner’s Office has published the UK’s own transfer mechanisms for personal data originating from the UK (the International Data Transfer Agreement and International Data Transfer Addendum (each an IDTA)), which have been in force since March 21, 2022. The IDTA requires the same case-by-case risk assessment of the transfer. In addition, there has been an extension to the Framework to cover UK transfers to the United States. The Framework could be challenged like its predecessor frameworks. The international transfer obligations under the EEA and UK data protection regimes will require significant effort and cost, and may result in us needing to make strategic considerations around where EEA/UK personal data is located and which service providers we can utilize for the processing of EEA/UK personal data, particularly as the enforcement around GDPR international transfer compliance obligations is currently unclear. The above transfer requirements and other future developments regarding the flow of data across borders could increase the cost and complexity of delivering our services in some markets and may lead to governmental enforcement actions, litigation, fines, and penalties or adverse publicity, which could adversely affect our business and financial position.</w:t>
      </w:r>
    </w:p>
    <w:p>
      <w:pPr>
        <w:spacing w:after="0" w:line="191" w:lineRule="exact"/>
        <w:rPr>
          <w:sz w:val="20"/>
          <w:szCs w:val="20"/>
          <w:color w:val="auto"/>
        </w:rPr>
      </w:pPr>
    </w:p>
    <w:p>
      <w:pPr>
        <w:ind w:right="80" w:firstLine="648"/>
        <w:spacing w:after="0" w:line="272" w:lineRule="auto"/>
        <w:rPr>
          <w:sz w:val="20"/>
          <w:szCs w:val="20"/>
          <w:color w:val="auto"/>
        </w:rPr>
      </w:pPr>
      <w:r>
        <w:rPr>
          <w:rFonts w:ascii="Times New Roman" w:cs="Times New Roman" w:eastAsia="Times New Roman" w:hAnsi="Times New Roman"/>
          <w:sz w:val="17"/>
          <w:szCs w:val="17"/>
          <w:color w:val="auto"/>
        </w:rPr>
        <w:t>Although the UK is regarded as a third country under the EU’s GDPR, the European Commission (EC)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w:t>
      </w:r>
    </w:p>
    <w:p>
      <w:pPr>
        <w:spacing w:after="0" w:line="15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The UK Government has also now introduced a Data Protection and Digital Information Bill, or the UK Bill, into the UK legislative process with the intention for this bill to reform the UK’s data protection regime following Brexit. If passed, the final version of the UK Bill will have the effect of further altering the similarities between the UK and EU data protection regime. This may lead to additional compliance costs and could increase our overall risk.</w:t>
      </w:r>
    </w:p>
    <w:p>
      <w:pPr>
        <w:spacing w:after="0" w:line="208"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Compliance with these and any other applicable privacy and data security laws and regulations is a rigorous and time-intensive process. We may be required to modify our data processing practices and policies, put in place additional compliance mechanisms, and utilize management’s time and/or divert resources from other initiatives and projects to ensure compliance with new data protection rules. Any failure or perceived failure by us to comply with any applicable federal, state or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86"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use of new and evolving technologies, such as artificial intelligence, in our offerings may result in spending material resources and presents risks and challenges that can impact our business including by posing security and other risks to our confidential information, proprietary information and personal information, and as a result we may be exposed to reputational harm and liability.</w:t>
      </w:r>
    </w:p>
    <w:p>
      <w:pPr>
        <w:spacing w:after="0" w:line="203"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We continue to build and integrate artificial intelligence into our offerings, and this innovation presents risks and challenges that could affect its adoption, and therefore our business. If we enable or offer solutions that draw controversy due to perceived or actual negative societal impact, we may experience brand or reputational harm, competitive harm or legal liability. The use of certain artificial intelligence technology can give rise to intellectual property risks, including compromises to proprietary intellectual property and intellectual property infringement. Additionally, we expect to see increasing government and supranational regulation related to artificial intelligence use and ethics, which may also significantly increase the burden and cost of research, development and compliance in this area. For example, the EU’s Artificial Intelligence Act (AI Act) — the world’s first comprehensive AI law — is anticipated to enter into force in Spring 2024 and, with some exceptions, become effective 24 months thereafter. This legislation imposes significant obligations on providers and deployers of high risk artificial intelligence systems, and encourages providers and deployers of artificial intelligence systems</w:t>
      </w:r>
    </w:p>
    <w:p>
      <w:pPr>
        <w:spacing w:after="0" w:line="12"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to account for EU ethical principles in their development and use of these systems.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The rapid evolution of artificial intelligence will require the application of significant resources to design, develop, test and maintain our products and services to help ensure that artificial intelligence is implemented in accordance with applicable law and regulation and in a socially responsible manner and to minimize any real or perceived unintended harmful impacts. Our vendors may in turn incorporate artificial intelligence tools into their own offerings, and the providers of these artificial intelligence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open source software could impose limitations on us that may adversely affect our business.</w:t>
      </w:r>
    </w:p>
    <w:p>
      <w:pPr>
        <w:spacing w:after="0" w:line="216"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18"/>
          <w:szCs w:val="18"/>
          <w:color w:val="auto"/>
        </w:rPr>
        <w:t>Should use of open source software be necessary for commercialization of our therapeutic candidates, such use could impose limitations on our ability to commercialize. As a result, as we seek to use our platform in connection with commercially available products, we may be required to license software under different license terms, which may not be possible on commercially reasonable terms, if at all. If we are unable to license software components on terms that permit its use for commercial purposes, we may be required to replace those software components, which could result in delays, additional cost and additional regulatory approvals.</w:t>
      </w:r>
    </w:p>
    <w:p>
      <w:pPr>
        <w:spacing w:after="0" w:line="184" w:lineRule="exact"/>
        <w:rPr>
          <w:sz w:val="20"/>
          <w:szCs w:val="20"/>
          <w:color w:val="auto"/>
        </w:rPr>
      </w:pPr>
    </w:p>
    <w:p>
      <w:pPr>
        <w:ind w:right="140" w:firstLine="648"/>
        <w:spacing w:after="0" w:line="238" w:lineRule="auto"/>
        <w:rPr>
          <w:sz w:val="20"/>
          <w:szCs w:val="20"/>
          <w:color w:val="auto"/>
        </w:rPr>
      </w:pPr>
      <w:r>
        <w:rPr>
          <w:rFonts w:ascii="Times New Roman" w:cs="Times New Roman" w:eastAsia="Times New Roman" w:hAnsi="Times New Roman"/>
          <w:sz w:val="18"/>
          <w:szCs w:val="18"/>
          <w:color w:val="auto"/>
        </w:rPr>
        <w:t>Use and distribution of open source software may entail greater risks than use of third-party commercial software, as open source licensors generally do not provide warranties or other contractual protections regarding infringement claims or the quality of the software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of the open source licenses, be required to release the source code of our proprietary software to the public. This could allow our competitors to create similar products with lower development effort and time, and ultimately could result in a loss of product sales for us. Although we monitor our use of open source software, the terms of many open source licenses have not been interpreted by U.S. courts, and there is a risk that those licenses could be construed in a manner that could impose unanticipated conditions or restrictions on our ability to commercialize our therapeutic candidates. We could be required to seek licenses from third parties in order to continue offering our therapeutic candidates, to re-engineer our therapeutic candidates or to discontinue the sale of our therapeutic candidates in the event re-engineering cannot be accomplished on a timely basis, any of which could materially and adversely affect our business, financial condition, results of operations and prospects.</w:t>
      </w:r>
    </w:p>
    <w:p>
      <w:pPr>
        <w:spacing w:after="0" w:line="172" w:lineRule="exact"/>
        <w:rPr>
          <w:sz w:val="20"/>
          <w:szCs w:val="20"/>
          <w:color w:val="auto"/>
        </w:rPr>
      </w:pPr>
    </w:p>
    <w:p>
      <w:pPr>
        <w:ind w:right="660" w:firstLine="648"/>
        <w:spacing w:after="0" w:line="266"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158"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or other third party will discover our trade secrets or that our trade secrets will be misappropriated or disclosed.</w:t>
      </w:r>
    </w:p>
    <w:p>
      <w:pPr>
        <w:spacing w:after="0" w:line="158"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Because we currently rely on certain third parties to manufacture all or part of our drug product and to perform quality testing, and because we collaborate with various organizations and academic institutions for the advancement of our product engine and development portfolio, we must, at times, share our proprietary technology and confidential information, including trade secrets, with them. We seek to protect our proprietary technology, in part, by entering into</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confidentiality agreements and, if applicable, material transfer agreements, collaborative research agreements, consulting agreements and other similar agreements with our collaborators, advisors, employees, consultants and contractors prior to beginning research or disclosing any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or other third parties, are inadvertently incorporated into the technology of others or are disclosed or used in violation of these agreements. Despite our efforts to protect our trade secrets, our competitors may discover our trade secrets, either through breach of these agreements, independent development or publication of information including our trade secrets by third parties. Given that our proprietary position is based, in part, on our know-how and trade secrets, a competitor’s or other third party’s discovery of our proprietary technology and confidential information or other unauthorized use or disclosure would impair our competitive position and may harm our business, financial condition, results of operations and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to improvements to our therapeutic candidates may be held by third parties.</w:t>
      </w:r>
    </w:p>
    <w:p>
      <w:pPr>
        <w:spacing w:after="0" w:line="216"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In the course of testing our therapeutic candidates, we may enter into agreements with third parties to conduct clinical testing, which may provide that improvements to our therapeutic candidates may be owned solely by a party or jointly between the parties. If we determine that rights to such improvements owned solely by a third party are necessary to commercialize our therapeutic candidates or maintain our competitive advantage, we may need to obtain a license from such third party in order to use the improvements and continue developing, manufacturing or marketing the therapeutic candidates.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Failure to obtain a license on commercially reasonable terms or at all, or to obtain an exclusive license, could prevent us from commercializing our therapeutic candidates or force us to cease some of our business operations, which could materially harm our business. If we determine that rights to improvements jointly owned between us and a third party are necessary to commercialize our therapeutic candidates or maintain our competitive advantage, we may need to obtain an exclusive license from such third party. If we are unable to obtain an exclusive license to any such third-party co-owners’ interest in such improvements, such co-owners may be able to license their rights to other third parties, including our competitors, and our competitors could market competing products and technology. In addition, we may need the cooperation of any such co-owners of our intellectual property in order to enforce such intellectual property against third parties, and such cooperation may not be provided to us. Any of the foregoing could have a material adverse effect on our competitive position, business, financial conditions, results of operations, and prospects.</w:t>
      </w:r>
    </w:p>
    <w:p>
      <w:pPr>
        <w:spacing w:after="0" w:line="184" w:lineRule="exact"/>
        <w:rPr>
          <w:sz w:val="20"/>
          <w:szCs w:val="20"/>
          <w:color w:val="auto"/>
        </w:rPr>
      </w:pPr>
    </w:p>
    <w:p>
      <w:pPr>
        <w:ind w:right="6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172"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in addition to our employees, we engage the services of consultants to assist us in the development of our therapeutic candidate, and other proprietary technologies.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12"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an active, liquid and orderly trading market will develop for our common stock and as a result it may be difficult for our stockholders to sell their shares of our common stock.</w:t>
      </w:r>
    </w:p>
    <w:p>
      <w:pPr>
        <w:spacing w:after="0" w:line="144"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Prior to our initial public offering, no market for shares of our common stock existed and an active trading market for our shares may never develop or be sustained. The lack of an active market may impair our stockholders’ ability to sell their shares at the time they wish to sell them or at a price that they consider reasonable. The lack of an active market may also reduce the fair market value of our stockholders’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181"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Recent volatility in capital markets and lower market prices for many securities may affect our ability to access new capital through sales of shares of our common stock or issuance of indebtedness, which may harm our liquidity, limit</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grow our business, pursue acquisitions or improve our operating infrastructure and restrict our ability to compete in our markets.</w:t>
      </w:r>
    </w:p>
    <w:p>
      <w:pPr>
        <w:spacing w:after="0" w:line="243" w:lineRule="exact"/>
        <w:rPr>
          <w:sz w:val="20"/>
          <w:szCs w:val="20"/>
          <w:color w:val="auto"/>
        </w:rPr>
      </w:pPr>
    </w:p>
    <w:p>
      <w:pPr>
        <w:ind w:right="280" w:firstLine="324"/>
        <w:spacing w:after="0" w:line="245" w:lineRule="auto"/>
        <w:rPr>
          <w:sz w:val="20"/>
          <w:szCs w:val="20"/>
          <w:color w:val="auto"/>
        </w:rPr>
      </w:pPr>
      <w:r>
        <w:rPr>
          <w:rFonts w:ascii="Times New Roman" w:cs="Times New Roman" w:eastAsia="Times New Roman" w:hAnsi="Times New Roman"/>
          <w:sz w:val="18"/>
          <w:szCs w:val="18"/>
          <w:color w:val="auto"/>
        </w:rPr>
        <w:t>Our operations consume substantial amounts of cash, and we intend to continue to make significant investments to support our business growth, respond to business challenges or opportunities, develop new solutions, retain or expand our current levels of personnel, improve our existing solutions,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316"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unanticipated working capital requirements;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enhance our technological infrastructure and our existing solutions;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acquisitions or other strategic relationships;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w:t>
      </w:r>
    </w:p>
    <w:p>
      <w:pPr>
        <w:spacing w:after="0" w:line="212"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investors could lose all or part of their investment.</w:t>
      </w:r>
    </w:p>
    <w:p>
      <w:pPr>
        <w:spacing w:after="0" w:line="21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17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Broad market and industry factors may negatively affect the market price of our common stock, regardless of our actual operating performance. In addition to the factors discussed in this “Risk Factors” section and elsewhere in this Annual Report, these factors include:</w:t>
      </w:r>
    </w:p>
    <w:p>
      <w:pPr>
        <w:spacing w:after="0" w:line="54"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INDs, preclinical studies and clinical trials of our therapeutic candidates or those of our competitors;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announcements by potential competitors of their product development efforts;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trial, not to initiate a clinical trial or to terminate an existing clinical trial;</w:t>
      </w:r>
    </w:p>
    <w:p>
      <w:pPr>
        <w:spacing w:after="0" w:line="103"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for our therapeutic candidates and any adverse development or perceived adverse development with respect to the applicable regulatory authority’s review of such filings;</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potential future in-house manufacturing facilities or CMOs;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therapeutics or therapeutic candidates or our competitors’ products or therapeutic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our initial target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our therapeutic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03"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acquisitions, strategic collaborations, joint ventures, collaborations or capital commitments;</w:t>
      </w:r>
    </w:p>
    <w:p>
      <w:pPr>
        <w:spacing w:after="0" w:line="11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natural disasters or public health emergencies, such as the COVID-19 pandemic;</w:t>
      </w:r>
    </w:p>
    <w:p>
      <w:pPr>
        <w:spacing w:after="0" w:line="103" w:lineRule="exact"/>
        <w:rPr>
          <w:rFonts w:ascii="Times New Roman" w:cs="Times New Roman" w:eastAsia="Times New Roman" w:hAnsi="Times New Roman"/>
          <w:sz w:val="18"/>
          <w:szCs w:val="18"/>
          <w:color w:val="auto"/>
        </w:rPr>
      </w:pPr>
    </w:p>
    <w:p>
      <w:pPr>
        <w:ind w:left="660" w:right="40" w:hanging="328"/>
        <w:spacing w:after="0" w:line="24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industry and market conditions such as recessions, interest rates, fuel prices, foreign currency fluctuations, international tariffs, social, political and economic risks and acts of war (such as the ongoing conflict between Russia and Ukraine and the conflict in the Middle East) or terrorism; and</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21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58"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5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securities or industry analysts publish about us, our business or our market. In the event that one or more of the analysts who covers us issues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Increased attention to, and evolving expectations for, environmental, climate change, social, and governance (ESG) initiatives could increase our costs, harm our reputation, or otherwise adversely impact our business.</w:t>
      </w:r>
    </w:p>
    <w:p>
      <w:pPr>
        <w:spacing w:after="0" w:line="172"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Companies across industries are facing increasing scrutiny from a variety of stakeholders related to their ESG and sustainability practices. Expectations regarding voluntary ESG initiatives and disclosures may result in increased costs (including but not limited to increased costs related to compliance, stakeholder engagement, contracting and insurance), enhanced compliance or disclosure obligations, or other adverse impacts to our business, financial condition, or results of operations.</w:t>
      </w:r>
    </w:p>
    <w:p>
      <w:pPr>
        <w:spacing w:after="0" w:line="181"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While we may at times engage in voluntary initiatives (such as voluntary disclosures, certifications, or goals, among others) to improve the ESG profile of the Company, such initiatives may be costly and may not have the desired effect. Moreover, we may not be able to successfully complete such initiatives due to factors that are within or outside of our control. Even if this is not the case, our actions may subsequently be determined to be insufficient by various stakeholders, and we may be subject to investor or regulator engagement on our ESG efforts, even if such initiatives are currently voluntary.</w:t>
      </w:r>
    </w:p>
    <w:p>
      <w:pPr>
        <w:spacing w:after="0" w:line="18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Certain market participants, including major institutional investors and capital providers, use third-party benchmarks and scores to assess companies’ ESG profiles in making investment or voting decisions. Unfavorable ESG ratings could lead to increased negative investor sentiment towards us, which could negatively impact our share price as well as our access to and cost of capital. To the extent ESG matters negatively impact our reputation, it may also impede our ability to compete as effectively to attract and retain employees, which may adversely impact our operations.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In addition, we expect there will likely be increasing levels of regulation, disclosure-related and otherwise, with respect to ESG matters. For example, the SEC has published propose rules that would require companies to provide significantly expanded climate-related disclosures in their periodic reporting, which may require us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 These and other changes in stakeholder expectations will likely lead to increased costs as well as scrutiny that could heighten all of the risks identified in this risk factor. Additionally, our business partners may be subject to similar expectations, which may augment or create additional risks, including risks that may not be known to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243"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As widely reported, 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For example, inflation generally affects us by increasing our employee-related costs and clinical trial expenses, as well as other operating expenses.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Further, changing circumstances, some of which may be beyond our control, could cause us to consume capital significantly faster than we currently anticipate, and we may need to seek additional funds sooner than planned. Our business could also be impacted by volatility caused by geopolitical events, such as the ongoing conflicts in Ukraine and the Middle East. If the current equity and credit markets deteriorate, or do not improve, it may make any necessary debt or equity financing more difficult, more costly, and more dilutive.</w:t>
      </w:r>
    </w:p>
    <w:p>
      <w:pPr>
        <w:spacing w:after="0" w:line="212"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auto"/>
        </w:rPr>
        <w:t>Failure to secure any necessary financing in a timely manner and on favorable terms could have a material adverse event on our growth strategy, financial performance and stock price and could require us to delay or abandon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 To the extent that our profitability and strategies are negatively affected by downturns or volatility in general economic conditions, our business and results of operations may be materially adversely affected.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stock price may decline due in part to the volatility of the stock market and the general economic downturn.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affected by macroeconomic conditions, including rising inflation, interest rates and supply chain constraints.</w:t>
      </w:r>
    </w:p>
    <w:p>
      <w:pPr>
        <w:spacing w:after="0" w:line="216"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Various macroeconomic factors could adversely affect our business and the results of our operations and financial condition, including changes in inflation, interest rates and overall economic conditions and uncertainties such as those resulting from the current and future conditions in the global financial markets. Recent supply chain constraints have led to higher inflation, which if sustained could have a negative impact on our product development and operations. If inflation or other factors were to significantly increase our business costs, our ability to develop our current pipeline and new therapeutic products may be negatively affected. Interest rates, the liquidity of the credit markets and the volatility of the capital markets could also affect the operation of our business and our ability to raise capital on favorable terms, or at all, in order to fund our operations. Similarly, these macroeconomic factors could affect the ability of our third-party suppliers and manufacturers to manufacture clinical trial materials for our product candidates.</w:t>
      </w:r>
    </w:p>
    <w:p>
      <w:pPr>
        <w:spacing w:after="0" w:line="185"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executive officers, directors, holders of 5% or more of our capital stock and their respective affiliates beneficially owned approximately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71.0% of our outstanding voting stock as of December 31, 2023. These stockholders, acting together, may be able to impact matters requiring stockholder</w:t>
      </w:r>
    </w:p>
    <w:p>
      <w:pPr>
        <w:spacing w:after="0" w:line="234" w:lineRule="auto"/>
        <w:rPr>
          <w:sz w:val="20"/>
          <w:szCs w:val="20"/>
          <w:color w:val="auto"/>
        </w:rPr>
      </w:pPr>
      <w:r>
        <w:rPr>
          <w:rFonts w:ascii="Times New Roman" w:cs="Times New Roman" w:eastAsia="Times New Roman" w:hAnsi="Times New Roman"/>
          <w:sz w:val="18"/>
          <w:szCs w:val="18"/>
          <w:color w:val="auto"/>
        </w:rPr>
        <w:t>approval. For example, they may be able to impact elections of directors, amendments of our organizational documents or approval of any merger, sale of</w:t>
      </w:r>
    </w:p>
    <w:p>
      <w:pPr>
        <w:spacing w:after="0" w:line="235" w:lineRule="auto"/>
        <w:rPr>
          <w:sz w:val="20"/>
          <w:szCs w:val="20"/>
          <w:color w:val="auto"/>
        </w:rPr>
      </w:pPr>
      <w:r>
        <w:rPr>
          <w:rFonts w:ascii="Times New Roman" w:cs="Times New Roman" w:eastAsia="Times New Roman" w:hAnsi="Times New Roman"/>
          <w:sz w:val="18"/>
          <w:szCs w:val="18"/>
          <w:color w:val="auto"/>
        </w:rPr>
        <w:t>assets or other major corporate transaction. This may prevent or discourage unsolicited acquisition proposals or offers for our common stock that investors</w:t>
      </w:r>
    </w:p>
    <w:p>
      <w:pPr>
        <w:spacing w:after="0" w:line="219" w:lineRule="auto"/>
        <w:rPr>
          <w:sz w:val="20"/>
          <w:szCs w:val="20"/>
          <w:color w:val="auto"/>
        </w:rPr>
      </w:pPr>
      <w:r>
        <w:rPr>
          <w:rFonts w:ascii="Times New Roman" w:cs="Times New Roman" w:eastAsia="Times New Roman" w:hAnsi="Times New Roman"/>
          <w:sz w:val="18"/>
          <w:szCs w:val="18"/>
          <w:color w:val="auto"/>
        </w:rPr>
        <w:t>may feel are in their best interest as one of our stockholders. The interests of this group of stockholders may not always coincide with each investor’s</w:t>
      </w:r>
    </w:p>
    <w:p>
      <w:pPr>
        <w:spacing w:after="0" w:line="235" w:lineRule="auto"/>
        <w:rPr>
          <w:sz w:val="20"/>
          <w:szCs w:val="20"/>
          <w:color w:val="auto"/>
        </w:rPr>
      </w:pPr>
      <w:r>
        <w:rPr>
          <w:rFonts w:ascii="Times New Roman" w:cs="Times New Roman" w:eastAsia="Times New Roman" w:hAnsi="Times New Roman"/>
          <w:sz w:val="18"/>
          <w:szCs w:val="18"/>
          <w:color w:val="auto"/>
        </w:rPr>
        <w:t>interests or the interests of other stockholders and they may act in a manner that advances their best interests and not necessarily those of other</w:t>
      </w:r>
    </w:p>
    <w:p>
      <w:pPr>
        <w:spacing w:after="0"/>
        <w:rPr>
          <w:sz w:val="20"/>
          <w:szCs w:val="20"/>
          <w:color w:val="auto"/>
        </w:rPr>
      </w:pPr>
      <w:r>
        <w:rPr>
          <w:rFonts w:ascii="Times New Roman" w:cs="Times New Roman" w:eastAsia="Times New Roman" w:hAnsi="Times New Roman"/>
          <w:sz w:val="18"/>
          <w:szCs w:val="18"/>
          <w:color w:val="auto"/>
        </w:rPr>
        <w:t>stockholders, including seeking a premium value for their common stock, and might affect the prevailing market price for our common stock.</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or rights to purchase common stock, including pursuant to our 2021 Plan, could result in additional dilution of the percentage ownership of our stockholders and could cause our stock price to fall.</w:t>
      </w:r>
    </w:p>
    <w:p>
      <w:pPr>
        <w:spacing w:after="0" w:line="158"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w:t>
      </w:r>
    </w:p>
    <w:p>
      <w:pPr>
        <w:spacing w:after="0" w:line="185"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Pursuant to our 2021 Stock Option and Incentive Plan (2021 Plan), our management is authorized to grant stock options to our employees, directors and consultants. If the number of shares reserved under our 2021 Plan is increased pursuant to the terms of the 2021 Plan, our stockholders may experience additional dilution, which could cause our stock price to fall.</w:t>
      </w:r>
    </w:p>
    <w:p>
      <w:pPr>
        <w:spacing w:after="0" w:line="17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Any of the above events could significantly harm our business, prospects, financial condition and results of operations and cause the price of our common stock to decline.</w:t>
      </w:r>
    </w:p>
    <w:p>
      <w:pPr>
        <w:spacing w:after="0" w:line="158" w:lineRule="exact"/>
        <w:rPr>
          <w:sz w:val="20"/>
          <w:szCs w:val="20"/>
          <w:color w:val="auto"/>
        </w:rPr>
      </w:pPr>
    </w:p>
    <w:p>
      <w:pPr>
        <w:ind w:right="5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therapeutic candidates.</w:t>
      </w:r>
    </w:p>
    <w:p>
      <w:pPr>
        <w:spacing w:after="0" w:line="172"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18"/>
          <w:szCs w:val="18"/>
          <w:color w:val="auto"/>
        </w:rPr>
        <w:t>We do not have any committed external source of funds or other support for our development and commercialization efforts, and we cannot be certain that additional funding will be available on acceptable terms, or at all. Until such time, if ever, as we can generate substantial product revenues, we expect to finance our cash needs through equity offerings, debt financings, or other capital sources, including potential collaborations, licenses and other similar arrangements. To the extent that we raise additional capital through the sale of equity or convertible debt securities, our stockholders’ ownership interest will be diluted, and the terms of these securities may include liquidation or other preferences that adversely affect our stockholders’ rights. Any future debt financing and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 Such restrictions could adversely impact our ability to conduct our operations and execute our business plan.</w:t>
      </w:r>
    </w:p>
    <w:p>
      <w:pPr>
        <w:spacing w:after="0" w:line="187"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As a result of our recurring losses from operations and recurring negative cash flows from operations, there is uncertainty regarding our ability to maintain liquidity sufficient to operate our business effectively. If we raise additional funds through future collaborations, licenses and other similar arrangements, we may have to relinquish valuable rights to our future revenue streams, research programs, therapeutic candidates or EEV Platform, or grant licenses on terms that may not be favorable to us and/or that may reduce the value of our common stock.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therapeutic candidates that we would otherwise prefer to develop and market ourselves. Any of the above events could significantly harm our business, prospects, financial condition and results of operations and cause the price of our common stock to decline.</w:t>
      </w:r>
    </w:p>
    <w:p>
      <w:pPr>
        <w:spacing w:after="0" w:line="18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158"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69" w:lineRule="exact"/>
        <w:rPr>
          <w:sz w:val="20"/>
          <w:szCs w:val="20"/>
          <w:color w:val="auto"/>
        </w:rPr>
      </w:pPr>
    </w:p>
    <w:p>
      <w:pPr>
        <w:ind w:left="660" w:right="100" w:hanging="328"/>
        <w:spacing w:after="0" w:line="250"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our periodic reports;</w:t>
      </w:r>
    </w:p>
    <w:p>
      <w:pPr>
        <w:spacing w:after="0" w:line="55"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(Sarbanes-Oxley Act);</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328"/>
        <w:spacing w:after="0" w:line="266"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proxy statements; and</w:t>
      </w:r>
    </w:p>
    <w:p>
      <w:pPr>
        <w:spacing w:after="0" w:line="10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stockholder votes on executive compensation and stockholder approval of any golden parachute payments not previously approved.</w:t>
      </w:r>
    </w:p>
    <w:p>
      <w:pPr>
        <w:spacing w:after="0" w:line="162"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not be comparable to companies that comply with the new or revised accounting pronouncements as of public company effective dates.</w:t>
      </w:r>
    </w:p>
    <w:p>
      <w:pPr>
        <w:spacing w:after="0" w:line="181" w:lineRule="exact"/>
        <w:rPr>
          <w:sz w:val="20"/>
          <w:szCs w:val="20"/>
          <w:color w:val="auto"/>
        </w:rPr>
      </w:pPr>
    </w:p>
    <w:p>
      <w:pPr>
        <w:jc w:val="both"/>
        <w:ind w:right="200" w:firstLine="648"/>
        <w:spacing w:after="0" w:line="245"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$1.235 billion in annual revenue; (ii) the date we qualify as a “large accelerated filer,” with at least $700.0 million of equity securities held by non-affiliates; (iii) the date on which we have issued more than $1.0 billion in non-convertible debt securities during the prior three-year period; and (iv) the last day of the fiscal year ending after the fifth anniversary of our initial public offering.</w:t>
      </w:r>
    </w:p>
    <w:p>
      <w:pPr>
        <w:spacing w:after="0" w:line="167"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may still qualify as a “smaller reporting company,” which would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We cannot predict if investors will find our common stock less attractive because we may rely on these exemptions.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216"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173"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certificate of incorporation, our bylaws and Delaware law might discourage, delay or prevent a change in control of our company or changes in our management and, therefore, depress the market price of our common stock.</w:t>
      </w:r>
    </w:p>
    <w:p>
      <w:pPr>
        <w:spacing w:after="0" w:line="158" w:lineRule="exact"/>
        <w:rPr>
          <w:sz w:val="20"/>
          <w:szCs w:val="20"/>
          <w:color w:val="auto"/>
        </w:rPr>
      </w:pPr>
    </w:p>
    <w:p>
      <w:pPr>
        <w:ind w:right="260" w:firstLine="648"/>
        <w:spacing w:after="0" w:line="242" w:lineRule="auto"/>
        <w:rPr>
          <w:sz w:val="20"/>
          <w:szCs w:val="20"/>
          <w:color w:val="auto"/>
        </w:rPr>
      </w:pPr>
      <w:r>
        <w:rPr>
          <w:rFonts w:ascii="Times New Roman" w:cs="Times New Roman" w:eastAsia="Times New Roman" w:hAnsi="Times New Roman"/>
          <w:sz w:val="18"/>
          <w:szCs w:val="18"/>
          <w:color w:val="auto"/>
        </w:rPr>
        <w:t>Our fourth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These provisions include, among other things:</w:t>
      </w:r>
    </w:p>
    <w:p>
      <w:pPr>
        <w:spacing w:after="0" w:line="76" w:lineRule="exact"/>
        <w:rPr>
          <w:sz w:val="20"/>
          <w:szCs w:val="20"/>
          <w:color w:val="auto"/>
        </w:rPr>
      </w:pPr>
    </w:p>
    <w:p>
      <w:pPr>
        <w:ind w:left="660" w:right="380" w:hanging="328"/>
        <w:spacing w:after="0" w:line="266"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actions through written consent, which requires that all stockholder actions be taken at a meeting of our stockholders;</w:t>
      </w:r>
    </w:p>
    <w:p>
      <w:pPr>
        <w:spacing w:after="0" w:line="103" w:lineRule="exact"/>
        <w:rPr>
          <w:rFonts w:ascii="Times New Roman" w:cs="Times New Roman" w:eastAsia="Times New Roman" w:hAnsi="Times New Roman"/>
          <w:sz w:val="18"/>
          <w:szCs w:val="18"/>
          <w:color w:val="auto"/>
        </w:rPr>
      </w:pPr>
    </w:p>
    <w:p>
      <w:pPr>
        <w:ind w:left="660" w:right="600" w:hanging="328"/>
        <w:spacing w:after="0" w:line="266"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board of directors acting pursuant to a resolution approved by the affirmative vote of a majority of the directors then in office;</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103"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our voting stock to amend any bylaws by stockholder action;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right="40" w:hanging="328"/>
        <w:spacing w:after="0" w:line="250"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by the affirmative vote of a majority of the outstanding shares of our voting stock to amend or repeal specified provisions of our certificate of incorporation, and the affirmative vote of a majority of the outstanding shares of each class entitled to vote thereon as a class, at a duly constituted meeting of stockholders called expressly for such purpose; and</w:t>
      </w:r>
    </w:p>
    <w:p>
      <w:pPr>
        <w:spacing w:after="0" w:line="68"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62"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Any provision of our fourth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73" w:lineRule="exact"/>
        <w:rPr>
          <w:sz w:val="20"/>
          <w:szCs w:val="20"/>
          <w:color w:val="auto"/>
        </w:rPr>
      </w:pPr>
    </w:p>
    <w:p>
      <w:pPr>
        <w:jc w:val="both"/>
        <w:ind w:right="7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7"/>
          <w:szCs w:val="17"/>
          <w:color w:val="auto"/>
        </w:rPr>
        <w:t>Our amended and restated bylaws provide that, unless we consent in writing to an alternative forum, the Court of Chancery of the State of Delaware is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w:t>
      </w:r>
    </w:p>
    <w:p>
      <w:pPr>
        <w:spacing w:after="0" w:line="2" w:lineRule="exact"/>
        <w:rPr>
          <w:sz w:val="20"/>
          <w:szCs w:val="20"/>
          <w:color w:val="auto"/>
        </w:rPr>
      </w:pPr>
    </w:p>
    <w:p>
      <w:pPr>
        <w:ind w:right="20" w:firstLine="8"/>
        <w:spacing w:after="0" w:line="234" w:lineRule="auto"/>
        <w:tabs>
          <w:tab w:leader="none" w:pos="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Delaware General Corporation Law, our certificate of incorporation or our bylaws or (iv) any action asserting a claim that is governed by the internal affairs doctrine, in each case subject to the Court of Chancery having personal jurisdiction over the indispensable parties named as defendants therein (Delaware Forum Provision). The Delaware Forum Provision will not apply to any causes of action arising under the Securities Act or the Exchange Act. Our amended and restated bylaws further provide that, unless we consent in writing to the selection of an alternative forum, the federal district courts of the U.S. shall be the sole and exclusive forum for resolving any complaint asserting a cause or causes of action arising under the Securities Act (Federal Forum Provision).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spacing w:after="0" w:line="18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in our amended and restated bylaws may impose additional litigation costs on stockholders in pursuing any such claims. Additionally, the forum selection clauses in our amended and restated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12" w:lineRule="exact"/>
        <w:rPr>
          <w:sz w:val="20"/>
          <w:szCs w:val="20"/>
          <w:color w:val="auto"/>
        </w:rPr>
      </w:pPr>
    </w:p>
    <w:p>
      <w:pPr>
        <w:jc w:val="both"/>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as a result of operating as a public company, and our management is required to devote substantial time to related compliance initiatives.</w:t>
      </w:r>
    </w:p>
    <w:p>
      <w:pPr>
        <w:spacing w:after="0" w:line="158" w:lineRule="exact"/>
        <w:rPr>
          <w:sz w:val="20"/>
          <w:szCs w:val="20"/>
          <w:color w:val="auto"/>
        </w:rPr>
      </w:pPr>
    </w:p>
    <w:p>
      <w:pPr>
        <w:jc w:val="both"/>
        <w:ind w:right="240" w:firstLine="648"/>
        <w:spacing w:after="0" w:line="250"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and these expenses may increase even more after we are no longer an “emerging growth company.” We are subject to the reporting requirements of the Securities Exchange Act of 1934, as amended (Exchange Act), the Sarbanes-</w:t>
      </w: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Oxley Act, the Dodd-Frank Wall Street Reform and Protection Act, as well as rules adopted, and to be adopted, by the SEC and Nasdaq. Our management and other personnel devote and will need to continue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we expect these rules and regulations to make it more difficult and more expensive for us to obtain director and officer liability insurance and we may be required to incur substantial costs to maintain sufficient coverage, particularly in light of recent cost increases related to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7" w:lineRule="exact"/>
        <w:rPr>
          <w:sz w:val="20"/>
          <w:szCs w:val="20"/>
          <w:color w:val="auto"/>
        </w:rPr>
      </w:pPr>
    </w:p>
    <w:p>
      <w:pPr>
        <w:ind w:right="120" w:firstLine="648"/>
        <w:spacing w:after="0" w:line="237" w:lineRule="auto"/>
        <w:rPr>
          <w:sz w:val="20"/>
          <w:szCs w:val="20"/>
          <w:color w:val="auto"/>
        </w:rPr>
      </w:pPr>
      <w:r>
        <w:rPr>
          <w:rFonts w:ascii="Times New Roman" w:cs="Times New Roman" w:eastAsia="Times New Roman" w:hAnsi="Times New Roman"/>
          <w:sz w:val="18"/>
          <w:szCs w:val="18"/>
          <w:color w:val="auto"/>
        </w:rPr>
        <w:t>In addition, as a public company we are required to incur additional costs and obligations in order to comply with SEC rules that implement Section 404 of the Sarbanes-Oxley Act. Under these rules, beginning with our second annual report on Form 10-K after we become a public company, we are required to make a formal assessment of the effectiveness of our internal control over financial reporting, and once we cease to be an emerging growth company, we may be required to include an attestation report on internal control over financial reporting issued by our independent registered public accounting firm. To achieve compliance with Section 404, we are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81"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experience material weaknesses in the future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w:t>
      </w:r>
    </w:p>
    <w:p>
      <w:pPr>
        <w:spacing w:after="0" w:line="176"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We may in the future discover material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5" w:lineRule="exact"/>
        <w:rPr>
          <w:sz w:val="20"/>
          <w:szCs w:val="20"/>
          <w:color w:val="auto"/>
        </w:rPr>
      </w:pPr>
    </w:p>
    <w:p>
      <w:pPr>
        <w:ind w:right="200" w:firstLine="648"/>
        <w:spacing w:after="0"/>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stock exchange on which our common stock is listed, the SEC or other regulatory authorities.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16"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5"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216"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only protect us from some business risks, which will leave us exposed to significant uninsured liabilities.</w:t>
      </w:r>
    </w:p>
    <w:p>
      <w:pPr>
        <w:spacing w:after="0" w:line="216"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property, general liability, employment benefits liability, business automobile, workers’ compensation, and directors’ and officers’, employment practices and fiduciary liability insurance. We do not know, however, if we will be able to maintain insurance with adequate levels of coverage. Any significant uninsured liability may require us to pay substantial amounts, which would adversely affect our financial position and results of operations.</w:t>
      </w:r>
    </w:p>
    <w:p>
      <w:pPr>
        <w:spacing w:after="0" w:line="17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76"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or modifications to approved drugs and biologics to be reviewed and/or approved by necessary government agencies, which would adversely affect our business.</w:t>
      </w:r>
    </w:p>
    <w:p>
      <w:pPr>
        <w:spacing w:after="0" w:line="189" w:lineRule="exact"/>
        <w:rPr>
          <w:sz w:val="20"/>
          <w:szCs w:val="20"/>
          <w:color w:val="auto"/>
        </w:rPr>
      </w:pPr>
    </w:p>
    <w:p>
      <w:pPr>
        <w:ind w:right="120" w:firstLine="648"/>
        <w:spacing w:after="0" w:line="241" w:lineRule="auto"/>
        <w:rPr>
          <w:sz w:val="20"/>
          <w:szCs w:val="20"/>
          <w:color w:val="auto"/>
        </w:rPr>
      </w:pPr>
      <w:r>
        <w:rPr>
          <w:rFonts w:ascii="Times New Roman" w:cs="Times New Roman" w:eastAsia="Times New Roman" w:hAnsi="Times New Roman"/>
          <w:sz w:val="18"/>
          <w:szCs w:val="18"/>
          <w:color w:val="auto"/>
        </w:rPr>
        <w:t>Since March 2020 when foreign and domestic inspections of facilities were largely placed on hold, the FDA has been working to resume pre-pandemic levels of inspection activities, including routine surveillance, bioresearch monitoring and pre-approval inspections. Should the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 During the COVID-19 pandemic, a number of companies announced receipt of complete response letters due to the FDA’s inability to complete required inspections for their applications.</w:t>
      </w:r>
    </w:p>
    <w:p>
      <w:pPr>
        <w:spacing w:after="0" w:line="184" w:lineRule="exact"/>
        <w:rPr>
          <w:sz w:val="20"/>
          <w:szCs w:val="20"/>
          <w:color w:val="auto"/>
        </w:rPr>
      </w:pPr>
    </w:p>
    <w:p>
      <w:pPr>
        <w:ind w:right="340" w:firstLine="648"/>
        <w:spacing w:after="0" w:line="242" w:lineRule="auto"/>
        <w:rPr>
          <w:sz w:val="20"/>
          <w:szCs w:val="20"/>
          <w:color w:val="auto"/>
        </w:rPr>
      </w:pPr>
      <w:r>
        <w:rPr>
          <w:rFonts w:ascii="Times New Roman" w:cs="Times New Roman" w:eastAsia="Times New Roman" w:hAnsi="Times New Roman"/>
          <w:sz w:val="18"/>
          <w:szCs w:val="18"/>
          <w:color w:val="auto"/>
        </w:rPr>
        <w:t>Regulatory authorities outside the United States may adopt similar restrictions or other policy measures in response to a worldwide pandemic, such as COVID-19, and may experience delays in their regulatory activities. If a prolonged government shutdown occurs, or if global health concerns continue to prevent the FDA or other regulatory authorities from conducting their regular inspections, reviews, or other regulatory activities, including formal and informal interactions with product developers, it could significantly impact the ability of the FDA or other regulatory authorities to timely review and process our future regulatory submissions, which could have a material adverse effect on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As part of our overall risk management process, we have established a cybersecurity risk management program for assessing, identifying, and managing risks from cybersecurity threats. Our cybersecurity risk management program is informed by recognized industry standards and frameworks and incorporates elements of the same, including elements of the National Institute of Standards and Technology (“NIST”) Cybersecurity Framework and the Federal Information Processing Standards Publication (“FIPS”).</w:t>
      </w:r>
    </w:p>
    <w:p>
      <w:pPr>
        <w:spacing w:after="0" w:line="2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cybersecurity risk management program includes a control framework and operations that utilizes tools and processes designed to prevent, detect, and analyze current and emerging cybersecurity threats, and we maintain plans and strategies to address any cybersecurity threats and incidents. These tools and processes include, but are not limited to, periodic cybersecurity risk assessments and vulnerability analyses, as well as monitoring for critical risks from cybersecurity threats using automated tools. Personnel at all levels and departments are made aware of our cybersecurity policies through participation in cybersecurity risk awareness trainings during onboarding and on an annual basis thereafter.</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As necessary and appropriate, we engage consultants, or other third parties, in connection with our cybersecurity risk assessment processes. These service providers assist us in designing and implementing cybersecurity procedures, as well as in monitoring and testing the effectiveness of our cybersecurity safeguards. For example, we engage these vendors to conduct annual risk assessments, including internal and external penetration testing, to identify cybersecurity threats, as well as to perform cybersecurity risk assessments in the event of substantial changes to our business practices that may affect our information systems. These cybersecurity risk assessments are designed to include identification of reasonably foreseeable internal and external cybersecurity risks, analysis on the likelihood and potential damage that could result from such risks, and feedback on the sufficiency of our existing procedures, systems, and safeguards to mitigate such cybersecurity risks.</w:t>
      </w:r>
    </w:p>
    <w:p>
      <w:pPr>
        <w:spacing w:after="0" w:line="21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As part of our cybersecurity risk management program, we maintain processes related to third-party vendor cybersecurity risk management. As appropriate, we contractually require certain third-parties to certify that they have the ability to implement and maintain appropriate cybersecurity measures, consistent with applicable laws, and to promptly report any suspected cybersecurity incidents that may affect our company or our data.</w:t>
      </w:r>
    </w:p>
    <w:p>
      <w:pPr>
        <w:spacing w:after="0" w:line="189"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We face a number of cybersecurity risks in connection with our business. Although risks from cybersecurity threats have to date not materially affected us, and we do not believe they are reasonably likely to materially affect us, our business strategy, results of operations or financial condition, we have, from time to time, experienced threats and security incidents relating to our and our third party vendors’ information systems. For more information, please refer to Item 1A, “Risk Factors,” in this annual report on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including risks from cybersecurity threats. Our board of directors has delegated this cybersecurity risk management oversight function to our audit committee. Under the purview of our audit committee, our President and Chief Operating Officer, General Counsel, and Chief Financial Officer (“CFO”) collectively, the “Risk Management Committee”) are primarily responsible for assessing, managing and mitigating our critical risks from cybersecurity threats. Our Head of Information Technology (“IT”), who reports directly to our CFO, has primary responsibility for the day-to-day management of our cybersecurity risk management program. The individual currently operating as our Head of IT possesses approximately 19 years of experience with information technology and cybersecurity risk management programs. Our Head of IT’s responsibilities, with support from our internal IT team and external IT consultants, include assessing, monitoring, and managing our cybersecurity risks.</w:t>
      </w:r>
    </w:p>
    <w:p>
      <w:pPr>
        <w:spacing w:after="0" w:line="205"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Our Head of IT periodically reports to our CFO on matters relating to our overall cybersecurity risk management program and, in the event of a cybersecurity incident, reports directly to our entire Risk Management Committee. The CFO reports on the cybersecurity risk management program to the other members of our Risk Management Committee and, alongside our General Counsel, provides quarterly cybersecurity risk management briefings to the audit committee, including discussion of cybersecurity risks, that include any recent cybersecurity incidents and related responses, cybersecurity systems testing, activities of third parties, and other matters relevant to our overall cybersecurity risk management. Our audit committee provides quarterly updates, as appropriate, on the cybersecurity risk management program, to our full board of directors.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80" w:firstLine="648"/>
        <w:spacing w:after="0" w:line="312" w:lineRule="auto"/>
        <w:rPr>
          <w:sz w:val="20"/>
          <w:szCs w:val="20"/>
          <w:color w:val="auto"/>
        </w:rPr>
      </w:pPr>
      <w:r>
        <w:rPr>
          <w:rFonts w:ascii="Times New Roman" w:cs="Times New Roman" w:eastAsia="Times New Roman" w:hAnsi="Times New Roman"/>
          <w:sz w:val="17"/>
          <w:szCs w:val="17"/>
          <w:color w:val="auto"/>
        </w:rPr>
        <w:t>Our corporate headquarters are located in Boston, Massachusetts, where we lease a facility containing approximately 81,229 square feet of office, research and development and laboratory space. The lease expires in February 2033, subject to an option to extend the lease for five additional years.</w:t>
      </w:r>
    </w:p>
    <w:p>
      <w:pPr>
        <w:spacing w:after="0" w:line="14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also continue to lease approximately 23,189 of space at 6 Tide Street, our previous headquarters. The lease expires in November 2025, subject to an option to extend the lease for three additional years.</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believe our facilities are adequate and suitable for our current needs and that should it be needed, suitable additional or alternative space will be available to accommodate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arising in the ordinary course of our business. While the outcome of any such proceedings cannot be predicted with certainty, as of December 31, 2023, we were not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79" w:lineRule="exact"/>
        <w:rPr>
          <w:sz w:val="20"/>
          <w:szCs w:val="20"/>
          <w:color w:val="auto"/>
        </w:rPr>
      </w:pPr>
    </w:p>
    <w:p>
      <w:pPr>
        <w:jc w:val="center"/>
        <w:ind w:right="868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607" w:right="4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Our common stock has traded on the Nasdaq Global Market under the symbol “TRDA” since October 29, 2021. Prior to that date, there was no public trading market for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Our Common Stock</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March 6, 2024, there were approximately 26 stockholders of record of our common stock. The actual number of stockholders is greater than the number of record holders, and includes stockholders who are beneficial owners, but whose shares are held in street name by brokers and other nominees. The number of holders of record also does not include stockholders whose shares may be held in trust by other entities.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5 of Form 10-K regarding equity compensation plans is incorporated herein by reference to Item 12 of Part III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16"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auto"/>
        </w:rPr>
        <w:t>On December 7, 2022, the Company entered into a stock purchase agreement (the “Stock Purchase Agreement”) with Vertex Pharmaceuticals Incorporated (Vertex), pursuant to which Vertex agreed to purchase from the Company 1,618,613 shares (the “Shares”) of the Company’s common stock, par value $0.0001 per share, in a private placement transaction for an aggregate purchase price of approximately $26.3 million or $16.26 per share. The purchase price per Share is equal to one hundred five percent (105%) of the daily volume-weighted average per share price of the Company’s common stock on the Nasdaq Global Market over the ten trading days ending on and including the last trading day prior to the execution of the Stock Purchase Agreement. On February 8, 2023, following the expiration of the waiting period and clearance under the Hart-Scott-Rodino Antitrust Improvements Act of 1976, the private placement transaction closed.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Initial Public Offering of Common Stock</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In November 2021, the Company completed its initial public offering (IPO) in which the Company issued and sold 10,436,250 shares of its common stock, including 1,361,250 shares pursuant to the full exercise of the underwriters’ option to purchase additional shares, at a public offering price of $20.00 per share. All of the shares of common stock issued and sold in our IPO were registered under the Securities Act pursuant to a registration statement on Form S-1, as amended (File No. 333-260160), which was declared effective by the Securities and Exchange Commission (the SEC) on October 28, 2021. Goldman Sachs &amp; Co. LLC, Cowen and Company, LLC and Evercore Group L.L.C. acted as joint book-running managers for the offering.</w:t>
      </w:r>
    </w:p>
    <w:p>
      <w:pPr>
        <w:spacing w:after="0" w:line="18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aggregate net proceeds received by the Company from the IPO were approximately $190.7 million, after deducting underwriting discounts and commissions of $14.6 million, and offering expenses payable by the Company of $3.4 million. No offering expenses were paid directly or indirectly to any of our directors or officers (or their associates) or persons owning 10% or more of any class of our equity securities or to any other affiliates.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has been no material change in our planned use of the net proceeds from the offering as described in our final prospectus.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or Affiliated Purchasers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appearing elsewhere in this Annual Report on Form 10-K (Annual Report). Some of the information contained in this discussion and analysis or set forth elsewhere in this Annual Report, including information with respect to our plans and strategy for our business, includes forward-looking statements that involve risks and uncertainties. As a result of many factors, including those factors set forth in the “Risk Factors” section of this Annual Report, our actual results could differ materially from the results described in, or implied by, the forward-looking statements contained in the following discussion and analysis. You should carefully read the “Cautionary Note Regarding Forward Looking Statements” and “Risk Factors” sections of this Annual Report to gain an understanding of the important factors that could cause actual results to differ materially from our forward-looking statements contained in the following discussion and analysis.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We are a clinical-stage biopharmaceutical company aiming to transform the lives of patients by establishing a new class of medicines which engage intracellular targets that have long been considered inaccessible. The Company’s Endosomal Escape Vehicle (EEV™)-therapeutics are designed to enable the efficient delivery of a wide range of therapeutics into a variety of organs and tissues, resulting in an improved therapeutic index. Through our proprietary, highly versatile and modular EEV platform (EEV Platform), we are building a robust development portfolio of therapeutic candidates. Our first two drug candidates are in clinical trials, and we expect to initiate additional regulatory filings by the end of 2024. We believe that the potential success of our early programs can translate into the efficient development of additional EEV therapeutic candidates and allow us to build portfolios in neuromuscular disease and beyond.</w:t>
      </w:r>
    </w:p>
    <w:p>
      <w:pPr>
        <w:spacing w:after="0" w:line="198"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 xml:space="preserve">Our most advanced therapeutic candidate, ENTR-601-44, is being developed for patients with DMD that are exon 44 skipping amenable. On July 24, 2023, we received authorization from the MHRA for our Phase 1 clinical trial in healthy volunteers, ENTR-601-44-101. The Phase 1 clinical trial's primary objective is to evaluate the safety and tolerability of a single dose of ENTR-601-44 in healthy volunteers, with a target enrollment of approximately 40 participants. The trial will also evaluate pharmacokinetics and target engagement as measured by exon skipping in the skeletal muscle, bearing the Company's recent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showed that exon skipping was approximately 10-40x higher in dystrophic muscle compared to healthy muscle, suggesting that data from healthy normal volunteers may substantially underestimate potential potency. On March 13, 2024, we announced that the first, second and third cohorts of participants had been successfully dosed and we expect to report data from the Phase 1 clinical trial in the second half of 2024. The data from this trial will inform our global clinical development strategy, and if favorable, support regulatory filings to open a global multiple ascending dose (MAD) Phase 2 trial in the fourth quarter of 2024. It is expected that countries will be included in the trial on a rolling basis, as dependent on discussions with individual regulators.</w:t>
      </w:r>
    </w:p>
    <w:p>
      <w:pPr>
        <w:spacing w:after="0" w:line="172"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On December 19, 2022, we announced that we received a clinical hold notice from the FDA regarding the IND application for ENTR-601-44. The FDA has requested that we continue to gather and submit additional information regarding ENTR-601-44 and we are actively working to resolve the clinical hold in the United States.</w:t>
      </w:r>
    </w:p>
    <w:p>
      <w:pPr>
        <w:spacing w:after="0" w:line="177" w:lineRule="exact"/>
        <w:rPr>
          <w:sz w:val="20"/>
          <w:szCs w:val="20"/>
          <w:color w:val="auto"/>
        </w:rPr>
      </w:pPr>
    </w:p>
    <w:p>
      <w:pPr>
        <w:ind w:right="360" w:firstLine="583"/>
        <w:spacing w:after="0" w:line="242" w:lineRule="auto"/>
        <w:rPr>
          <w:sz w:val="20"/>
          <w:szCs w:val="20"/>
          <w:color w:val="auto"/>
        </w:rPr>
      </w:pPr>
      <w:r>
        <w:rPr>
          <w:rFonts w:ascii="Times New Roman" w:cs="Times New Roman" w:eastAsia="Times New Roman" w:hAnsi="Times New Roman"/>
          <w:sz w:val="18"/>
          <w:szCs w:val="18"/>
          <w:color w:val="auto"/>
        </w:rPr>
        <w:t>On January 9, 2023, we announced the selection of a second clinical candidate within our Duchenne franchise, ENTR-601-45, for the potential treatment of people living with DMD who are exon 45 skipping amenable. We plan to submit a CTA/IND application for ENTR-601-45 in the fourth quarter of 2024.</w:t>
      </w:r>
    </w:p>
    <w:p>
      <w:pPr>
        <w:spacing w:after="0" w:line="197" w:lineRule="exact"/>
        <w:rPr>
          <w:sz w:val="20"/>
          <w:szCs w:val="20"/>
          <w:color w:val="auto"/>
        </w:rPr>
      </w:pPr>
    </w:p>
    <w:p>
      <w:pPr>
        <w:ind w:right="320" w:firstLine="583"/>
        <w:spacing w:after="0" w:line="272" w:lineRule="auto"/>
        <w:rPr>
          <w:sz w:val="20"/>
          <w:szCs w:val="20"/>
          <w:color w:val="auto"/>
        </w:rPr>
      </w:pPr>
      <w:r>
        <w:rPr>
          <w:rFonts w:ascii="Times New Roman" w:cs="Times New Roman" w:eastAsia="Times New Roman" w:hAnsi="Times New Roman"/>
          <w:sz w:val="17"/>
          <w:szCs w:val="17"/>
          <w:color w:val="auto"/>
        </w:rPr>
        <w:t xml:space="preserve">On November 7, 2023, we announced the selection of a third clinical candidate within our Duchenne franchise, ENTR-601-50, for the potential treatment of people living with DMD who are exon 50 skipping amenable. The selection of ENTR-501-50 is based on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preclinical data that demonstrated robust exon 50 skipping across cardiac and skeletal muscle groups. We plan to submit a CTA/IND application for ENTR-601-50 in 2025.</w:t>
      </w:r>
    </w:p>
    <w:p>
      <w:pPr>
        <w:spacing w:after="0" w:line="172" w:lineRule="exact"/>
        <w:rPr>
          <w:sz w:val="20"/>
          <w:szCs w:val="20"/>
          <w:color w:val="auto"/>
        </w:rPr>
      </w:pPr>
    </w:p>
    <w:p>
      <w:pPr>
        <w:jc w:val="both"/>
        <w:ind w:right="180" w:firstLine="648"/>
        <w:spacing w:after="0" w:line="250" w:lineRule="auto"/>
        <w:rPr>
          <w:sz w:val="20"/>
          <w:szCs w:val="20"/>
          <w:color w:val="auto"/>
        </w:rPr>
      </w:pPr>
      <w:r>
        <w:rPr>
          <w:rFonts w:ascii="Times New Roman" w:cs="Times New Roman" w:eastAsia="Times New Roman" w:hAnsi="Times New Roman"/>
          <w:sz w:val="18"/>
          <w:szCs w:val="18"/>
          <w:color w:val="auto"/>
        </w:rPr>
        <w:t>We have also entered into a Strategic Collaboration and License Agreement, which was amended in October 2023, (the Vertex Agreement) with Vertex Pharmaceuticals Incorporated (Vertex) pursuant to which we granted Vertex an exclusive worldwide license to research, develop, manufacture and commercialize VX-670, our intracellular EEV-based</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therapeutic candidate for the treatment of myotonic dystrophy type 1 (DM1) that targets expanded CUG repeats in DM1 protein kinase (DMPK) mRNA transcripts, as well as any additional EEV-based therapeutic candidates that may be identified by the Company for the potential treatment of DM1 in the course of the parties’ global research collaboration. The Vertex Agreement provides for a four-year global research collaboration under which Vertex will fund our continued preclinical development of VX-670, as well as the option to fund additional DM1-related research activities with a goal of identifying other EEV-based therapeutic product candidates for the potential treatment of DM1. Other than our efforts under this research collaboration, Vertex will be responsible for global development, manufacturing and commercialization of the licensed products.</w:t>
      </w:r>
    </w:p>
    <w:p>
      <w:pPr>
        <w:spacing w:after="0" w:line="180"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Under the terms of the Vertex Agreement, Entrada received $250.0 million from the Vertex agreement comprised of an upfront payment of $223.7 million and an equity investment of $26.3 million in our common stock at $16.26 per share. In October 2023, the Company achieved a milestone pursuant to the Vertex Agreement related to preclinical IND-enabling GLP toxicology studies of VX-670 that triggered a $17.5 million milestone payment, which the Company received in November 2023.</w:t>
      </w:r>
    </w:p>
    <w:p>
      <w:pPr>
        <w:spacing w:after="0" w:line="204"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231F20"/>
        </w:rPr>
        <w:t>On January 7, 2024 Vertex announced authorization from the MHRA of a clinical trial application for VX-670 for patients with DM1 and initiation of a Phase 1/2 clinical trial in patients with DM1 in Canada and that it will initiate the study in the UK in the near-term. Vertex also noted that they submitted an IND application to the FDA for VX-670. The FDA requested additional information, which resulted in a clinical hold. Vertex is working to address the FDA's comments in order to initiate the study in the U.S.</w:t>
      </w:r>
    </w:p>
    <w:p>
      <w:pPr>
        <w:spacing w:after="0" w:line="181"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On July 31, 2023 we entered into a license agreement to advance the development of ENTR-501 with Pierrepont Therapeutics, Inc., a mitochondrial disease-focused company. ENTR-501 is an intracellular thymidine phosphorylase enzyme replacement therapy in development for the treatment of mitochondrial neurogastrointestinal encephalomyopathy (MNGIE). MNGIE is a slowly progressive, but fatal, disease characterized by elevated levels of thymidine. Preliminary preclinical studies have demonstrated that ENTR-501 reduces toxic thymidine levels below those observed in wild-type mice. Pharmacokinetic and acute and chronic toxicology studies indicated both a long circulating half-life and a favorable tolerability profile. We continue to believe that the program will have an important role to play in the future treatment of patients with MNGIE.</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Since our inception, we have devoted substantially all our resources to research and development efforts relating to our EEV Platform, advancing development of our portfolio of programs and general and administrative support for these operations, including raising capital. Since our inception, we have raised over $650.0 million of gross proceeds from sales of stock to leading biotechnology investors and from the Vertex Agreement.</w:t>
      </w:r>
    </w:p>
    <w:p>
      <w:pPr>
        <w:spacing w:after="0" w:line="169"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Since inception, we have incurred significant net losses. As of December 31, 2023, we had an accumulated deficit of $195.0 million. We expect to continue to generate operating losses and negative operating cash flows for the foreseeable future as we advance our platform and EEV therapeutic candidates. We will not generate any revenue from product sales unless and until we successfully complete clinical development and obtain regulatory approval for one or more therapeutic candidates, if ever. If we obtain regulatory approval for any therapeutic candidates, we expect to incur significant expenses related to developing our internal commercialization capability to support product sales, marketing and distribution.</w:t>
      </w:r>
    </w:p>
    <w:p>
      <w:pPr>
        <w:spacing w:after="0" w:line="177"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Furthermore, we expect to incur additional costs associated with operating as a public company, including significant legal, accounting, investor relations and other expenses. As a result, we will need substantial additional funding to support our continuing operations and pursue our growth strategy, as we advance therapeutic candidates through preclinical and, if successful, into clinical development, seek regulatory approval, prepare for and, if any therapeutic candidates are approved, proceed to commercialization and operate as a public company. Until such time as we can generate significant revenue from product sales, if ever, we expect to finance our operations through the sale of equity, debt financings or other capital sources, including potential collaborations with other companies or other strategic transactions.</w:t>
      </w:r>
    </w:p>
    <w:p>
      <w:pPr>
        <w:spacing w:after="0" w:line="180"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If we are unable to obtain funding, we will be forced to delay, reduce, or eliminate some or all of our research and development programs, product portfolio expansion and ultimate commercialization efforts, which would adversely affect our business prospects, or we may be unable to continue operations. Although we continue to pursue these plans, we may not be successful in obtaining sufficient funding on terms acceptable to us to fund continuing operations, if at all.</w:t>
      </w:r>
    </w:p>
    <w:p>
      <w:pPr>
        <w:spacing w:after="0" w:line="177"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we are unable to predict the timing or amount of increased expenses or when or if we will be able to achieve or maintain profitability. Even if we can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As of December 31, 2023, we had cash, cash equivalents and marketable securities of $352.0 million. We believe that our cash, cash equivalents and marketable securities as of December 31, 2023, together with ongoing research support and the anticipated achievement of certain milestones under the Vertex Agreement will be sufficient to extend our cash runway through the second quarter of 2026, supporting the Company's expansion and continued development of EEV therapeutic candidates targeting Duchenne muscular dystrophy and advance EEV-therapeutic candidates in indications beyond neuromuscular disease. We have based this estimate on assumptions that may prove to be wrong, and we could exhaust our available capital resources sooner than we expect. See “Management’s Discussion and Analysis of Financial Condition and Results of Operations—Liquidity and Capital Resources.” To finance our operations beyond that point we will need to raise additional capital, which cannot be assured.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All of our revenue to date has been derived from the Vertex Agreement. We do not expect to generate any revenue from the sale of products unless and until such time that our product candidates have advanced through clinical development and regulatory approval, if ever. If our development efforts for our therapeutic candidates are successful and result in regulatory approval or we successfully enter into collaboration or license arrangements with third parties, we may generate revenue in the future from product sales, payments from collaboration or license arrangements including those that we may enter into with third parties, or any combination thereof.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discovery efforts, and the development of our programs. These expenses include:</w:t>
      </w:r>
    </w:p>
    <w:p>
      <w:pPr>
        <w:spacing w:after="0" w:line="162" w:lineRule="exact"/>
        <w:rPr>
          <w:sz w:val="20"/>
          <w:szCs w:val="20"/>
          <w:color w:val="auto"/>
        </w:rPr>
      </w:pPr>
    </w:p>
    <w:p>
      <w:pPr>
        <w:ind w:left="660" w:right="36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related benefits and stock-based compensation expense for individuals engaged in research and development functions;</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discovery and preclinical development of our therapeutic candidates and research programs, including under agreements with third parties, such as consultants, contractors and CROs;</w:t>
      </w:r>
    </w:p>
    <w:p>
      <w:pPr>
        <w:spacing w:after="0" w:line="1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developing and validating our manufacturing process for use in our preclinical studies and potential future clinical trials, including the cost of raw materials used in our research and development activities and engaging with third party CMOs;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connection with the performance of research and development activities under the Vertex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laboratory supplies and research materials;</w:t>
      </w:r>
    </w:p>
    <w:p>
      <w:pPr>
        <w:spacing w:after="0" w:line="225"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payments made under third-party licensing agreements and related future payments should certain development and regulatory milestones be achieved; and</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direct and allocated expenses, including rent and other operating costs, incurred as a result of our research and development activities.</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 Upfront payments under license agreements are expensed upon receipt of the license and annual maintenance fees under license agreements are expensed in the period in which they are incurred. Milestone payments under license agreements are accrued, with a corresponding expense being recognized, in the period in which the milestone is determined to be probable of achievement and the related amount is reasonably estimable.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Our research and development costs are primarily devoted to supporting our neuromuscular program development and platform discovery efforts. Our direct, external research and development expenses consist primarily of fees paid to outside consultants, CROs, CMOs and research laboratories in connection with our process development, manufacturing and clinical development activities. Our direct external research and development expenses also include fees incurred under license and intellectual property purchase agreements. We expect to track these external research and development costs on a program-by-program basis as we identify specific programs and product candidates to advance into clinical development.</w:t>
      </w:r>
    </w:p>
    <w:p>
      <w:pPr>
        <w:spacing w:after="0" w:line="17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do not allocate employee costs, costs associated with our development efforts and facilities, including depreciation or other indirect costs, to specific programs because these costs are deployed across multiple programs and, as such, are not separately classified. We use internal resources and third-party consultants primarily to conduct our research and development activities as well as for managing our process development, manufacturing and clinical development activities.</w:t>
      </w:r>
    </w:p>
    <w:p>
      <w:pPr>
        <w:spacing w:after="0" w:line="177"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Therapeutic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platform development efforts and planned preclinical and clinical development activities in the near term and in the future. We expect that the research and development expenses of our programs will increase in the near term as we initiate and conduct clinical trials as well as investigational new drug (CTA/IND)-enabling activities for our therapeutic candidates. Therefore, we cannot reasonably estimate or know the nature, timing, and costs of the efforts that will be necessary to complete the preclinical and clinical development of any of our therapeutic candidates. The successful development of our therapeutic candidates is highly uncertain. This is due to the numerous risks and uncertainties associated with product development, including the following:</w:t>
      </w:r>
    </w:p>
    <w:p>
      <w:pPr>
        <w:spacing w:after="0" w:line="179" w:lineRule="exact"/>
        <w:rPr>
          <w:sz w:val="20"/>
          <w:szCs w:val="20"/>
          <w:color w:val="auto"/>
        </w:rPr>
      </w:pPr>
    </w:p>
    <w:p>
      <w:pPr>
        <w:ind w:left="660" w:right="32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rate of progress and expenses of our ongoing and potential future research activities, including preclinical and IND-enabling studies, clinical trials and other research and development activities we decide to pursue;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enrollment and completion of clinical trials under current good clinical practices;</w:t>
      </w:r>
    </w:p>
    <w:p>
      <w:pPr>
        <w:spacing w:after="0" w:line="225"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filing and acceptance of INDs or comparable foreign applications that allow commencement of future clinical trials for our therapeutic candidates;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likelihood of resolution of the clinical hold on our IND application for ENTR-601-44 and initiation of clinical trials for ENTR-601-44 in the United States;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therapeutic candidates show safety and efficacy in our clinical trials and an acceptable risk-benefit profile in the intended populations;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research and development personnel;</w:t>
      </w:r>
    </w:p>
    <w:p>
      <w:pPr>
        <w:spacing w:after="0" w:line="225"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obtain regulatory and marketing approvals of our therapeutic candidates for the expected indications and patient populations;</w:t>
      </w:r>
    </w:p>
    <w:p>
      <w:pPr>
        <w:spacing w:after="0" w:line="161"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agreements with third-party manufacturers for clinical supply for our clinical trials and commercial manufacturing, if our therapeutic candidates are approved;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therapeutic candidates, if and when approved, whether alone or in collaboration with others;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tolerability and efficacy profile of our therapeutic candidates following approval;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 to support our potential therapeutic candidates on favorable business terms;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decisions we make to discontinue, delay or modify our programs to focus on others;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protecting and enforcing patent and trade secret protection and regulatory exclusivity for our therapeutic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adequate coverage and reimbursement from third party payors;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worldwide pandemics and health crises.</w:t>
      </w:r>
    </w:p>
    <w:p>
      <w:pPr>
        <w:spacing w:after="0" w:line="22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therapeutic candidates could significantly change the costs and timing associated with the development of that therapeutic candidate. We may never succeed in obtaining regulatory approval for any of our therapeutic candidates.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personnel-related costs, including stock-based compensation, for our personnel in executive, legal, finance and accounting, corporate and business development, human resources and other administrative functions. General and administrative expenses also include: legal fees relating to intellectual property and corporate matters; professional fees paid for accounting, auditing, consulting and tax services; insurance costs; travel expenses; information technology expenses; and facility costs not otherwise included in research and development expenses.</w:t>
      </w:r>
    </w:p>
    <w:p>
      <w:pPr>
        <w:spacing w:after="0" w:line="183"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and expand our facilities to support our continued research activities and development of our programs and EEV Platform. We also anticipate that we will incur increased accounting, audit, legal, regulatory, compliance, director and officer insurance and investor and public relations expenses associated with operating as a public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and other income (expense) consists primarily of interest earned on our invested cash equivalents and marketable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recorded income tax expense of $18.7 million for the year ended December 31, 2023. The income tax expense recorded was driven largely by the current tax liability associated with the tax recognition of the Vertex Agreement payments received during 2023. A significant portion of the taxable income related to the collaboration payment is offset by current year expenses and prior year accumulated losses. For additional details about the current year tax provision, refer to Note 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to the Consolidated Financial Statements appearing elsewhere in this Annual Report on Form 10-K.</w:t>
      </w:r>
    </w:p>
    <w:p>
      <w:pPr>
        <w:spacing w:after="0" w:line="18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2023, we had federal net operating loss carryforwards of $14.6 million, which may be available to offset future taxable income. None of our federal net operating loss carryforwards will expire, but all are limited in their usage to an annual deduction equal to 80% of annual taxable income. In addition, as of December 31, 2023, we had state net operating loss carryforwards of $8.7 million, which may be available to offset future taxable income and expire at various dates beginning in 2036. As of December 31, 2023, we also had federal and state research and development tax credit carryforwards of $2.1 million and $0.8 million, respectively, which may be available to reduce future tax liabilities and expire at various dates beginning in 2039 and 2035,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consolidated financial statements, which have been prepared in accordance with generally accepted accounting principles in the United States. The preparation of our consolidated financial statements and related disclosures requires us to make judgments, estimates and assumptions that affect the reported amounts of assets and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appearing elsewhere in this Annual Report, we believe that the following accounting policies are those most critical to the judgments and estimates used in the preparation of our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All of our revenue to date has been generated from the Vertex Agreement. We account for revenue pursuant to ASC Topic 606, "Revenue from Contracts with Customers" (ASC 606). For additional details regarding our associated accounting policies of ASC 606, refer to Notes 2, </w:t>
      </w:r>
      <w:r>
        <w:rPr>
          <w:rFonts w:ascii="Times New Roman" w:cs="Times New Roman" w:eastAsia="Times New Roman" w:hAnsi="Times New Roman"/>
          <w:sz w:val="18"/>
          <w:szCs w:val="18"/>
          <w:i w:val="1"/>
          <w:iCs w:val="1"/>
          <w:color w:val="auto"/>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Significant Accounting Policies, </w:t>
      </w:r>
      <w:r>
        <w:rPr>
          <w:rFonts w:ascii="Times New Roman" w:cs="Times New Roman" w:eastAsia="Times New Roman" w:hAnsi="Times New Roman"/>
          <w:sz w:val="18"/>
          <w:szCs w:val="18"/>
          <w:color w:val="auto"/>
        </w:rPr>
        <w:t>and 12,</w:t>
      </w:r>
      <w:r>
        <w:rPr>
          <w:rFonts w:ascii="Times New Roman" w:cs="Times New Roman" w:eastAsia="Times New Roman" w:hAnsi="Times New Roman"/>
          <w:sz w:val="18"/>
          <w:szCs w:val="18"/>
          <w:i w:val="1"/>
          <w:iCs w:val="1"/>
          <w:color w:val="auto"/>
        </w:rPr>
        <w:t xml:space="preserve"> Collaboration and License Agreements</w:t>
      </w:r>
      <w:r>
        <w:rPr>
          <w:rFonts w:ascii="Times New Roman" w:cs="Times New Roman" w:eastAsia="Times New Roman" w:hAnsi="Times New Roman"/>
          <w:sz w:val="18"/>
          <w:szCs w:val="18"/>
          <w:color w:val="auto"/>
        </w:rPr>
        <w:t>, to the consolidated financial statements appearing elsewhere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on Form 10-K.</w:t>
      </w:r>
    </w:p>
    <w:p>
      <w:pPr>
        <w:spacing w:after="0" w:line="180"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make the following significant judgements and estimates to determine amounts to be recognized in collaboration revenue.</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recognizes revenue as research and development services are provided using an input method, according to the costs incurred as related to the respective research services and the costs expected to be incurred in the future to satisfy the performance obligations. As the Company progresses towards satisfaction of performance obligations under the Vertex Agreement, the estimated costs associated with the remaining effort required to complete the performance obligations in accordance with the research plans may change, which may materially impact revenue recognition. The Company regularly evaluates and, when necessary, updates the costs associated with the remaining effort pursuant to the performance obligations under the Vertex Agreement.</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380" w:firstLine="648"/>
        <w:spacing w:after="0" w:line="277" w:lineRule="auto"/>
        <w:rPr>
          <w:sz w:val="20"/>
          <w:szCs w:val="20"/>
          <w:color w:val="auto"/>
        </w:rPr>
      </w:pPr>
      <w:r>
        <w:rPr>
          <w:rFonts w:ascii="Times New Roman" w:cs="Times New Roman" w:eastAsia="Times New Roman" w:hAnsi="Times New Roman"/>
          <w:sz w:val="17"/>
          <w:szCs w:val="17"/>
          <w:color w:val="auto"/>
        </w:rPr>
        <w:t>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We make estimates of our accrued expenses as of each balance sheet date in the consolidated financial statements based on facts and circumstances known to us at that time. We periodically corroborate the accuracy of these estimates with the service providers and make adjustments, if necessary. Examples of estimated accrued research and development expenses include those related to fees paid to:</w:t>
      </w:r>
    </w:p>
    <w:p>
      <w:pPr>
        <w:spacing w:after="0" w:line="168"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discovery and preclinical development activities;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in connection with preclinical studies and testing;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manufacturers in connection with the development and scale up activities and the production of materials.</w:t>
      </w:r>
    </w:p>
    <w:p>
      <w:pPr>
        <w:spacing w:after="0" w:line="225"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We base the expense recorded related to contract research and manufacturing on our estimates of the services received and efforts expended pursuant to quotes and contracts with multiple service providers that conduct services and supply materials. The financial terms of these agreements are subject to negotiation, vary from contract to contract and may result in uneven payment flows. In accruing service fees, we estimate the time period over which services were performed and the level of effort expended in each period. If the actual timing of the performance of services or the level of effort varies from the estimate, we adjust the accrual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While the majority of our service providers invoice us in arrears for services performed, on a pre-determined schedule or when contractual milestones are met, some require advance payments. There may be instances in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which payments made to our vendors will exceed the level of services provided and result in a prepayment of the expense. We record these as prepaid expenses on our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account for all stock-based compensation awards granted as stock-based compensation expense at fair value in accordance with FASB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Our stock-based payments include stock options and grants of common stock restricted for vesting conditions. The measurement date for awards is the date of grant, and stock-based compensation costs are recognized as expense over the requisite service period, which is generally the vesting period, on a straight-line basis. Stock-based compensation expense is classified in the accompanying consolidated statements of operations based on the function to which the related services are provided. Forfeitures are recorded as they occur.</w:t>
      </w:r>
    </w:p>
    <w:p>
      <w:pPr>
        <w:spacing w:after="0" w:line="18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fair value of each stock option grant is estimated on the date of grant using the Black-Scholes option-pricing model, which requires inputs based on certain subjective assumptions, including the expected share price volatility, the expected term of the option, the risk-free interest rate for a period that approximates the expected term of the option, and our expected dividend yield. Prior to our IPO, there was no public market for our common stock, and consequently, the estimated fair value of our common stock was determined by our board of directors as of the date of each option grant, with input from management, considering third-party valuations of our common stock as well as our board of directors’ assessment of additional objective and subjective factors that it believed were relevant and which may have changed from the date of the most recent third-party valuation through the date of the grant.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 of Privately-Held-Company Equity Securities Issued as Compensation</w:t>
      </w:r>
      <w:r>
        <w:rPr>
          <w:rFonts w:ascii="Times New Roman" w:cs="Times New Roman" w:eastAsia="Times New Roman" w:hAnsi="Times New Roman"/>
          <w:sz w:val="18"/>
          <w:szCs w:val="18"/>
          <w:color w:val="auto"/>
        </w:rPr>
        <w:t xml:space="preserve"> (Practice Aid). The Practice Aid identifies various available methods for allocating the enterprise value across classes of series of capital stock in determining the fair value of our common stock at each valuation date. Since our IPO, we have determined the fair market value of our common stock using the closing price of our common stock as reported on the Nasdaq Global Market.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Subsequent to the IPO, the fair value of the common stock underlying our stock-based awards is the closing price of our common stock on the date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grant.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notes to our consolidated financial statements included elsewhere in this Annual Report for a description of recent accounting pronouncements applicable to our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2023 and 2022</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2640" w:type="dxa"/>
            <w:vAlign w:val="bottom"/>
            <w:gridSpan w:val="4"/>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240" w:type="dxa"/>
            <w:vAlign w:val="bottom"/>
            <w:vMerge w:val="continue"/>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940" w:type="dxa"/>
            <w:vAlign w:val="bottom"/>
            <w:shd w:val="clear" w:color="auto" w:fill="CCEEFF"/>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129,013</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129,013</w:t>
            </w:r>
          </w:p>
        </w:tc>
        <w:tc>
          <w:tcPr>
            <w:tcW w:w="0" w:type="dxa"/>
            <w:vAlign w:val="bottom"/>
          </w:tcPr>
          <w:p>
            <w:pPr>
              <w:spacing w:after="0"/>
              <w:rPr>
                <w:sz w:val="1"/>
                <w:szCs w:val="1"/>
                <w:color w:val="auto"/>
              </w:rPr>
            </w:pPr>
          </w:p>
        </w:tc>
      </w:tr>
      <w:tr>
        <w:trPr>
          <w:trHeight w:val="25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99,884</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33,275</w:t>
            </w:r>
          </w:p>
        </w:tc>
        <w:tc>
          <w:tcPr>
            <w:tcW w:w="0" w:type="dxa"/>
            <w:vAlign w:val="bottom"/>
          </w:tcPr>
          <w:p>
            <w:pPr>
              <w:spacing w:after="0"/>
              <w:rPr>
                <w:sz w:val="1"/>
                <w:szCs w:val="1"/>
                <w:color w:val="auto"/>
              </w:rPr>
            </w:pPr>
          </w:p>
        </w:tc>
      </w:tr>
      <w:tr>
        <w:trPr>
          <w:trHeight w:val="250"/>
        </w:trPr>
        <w:tc>
          <w:tcPr>
            <w:tcW w:w="6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32,291</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0" w:type="dxa"/>
            <w:vAlign w:val="bottom"/>
          </w:tcPr>
          <w:p>
            <w:pPr>
              <w:spacing w:after="0"/>
              <w:rPr>
                <w:sz w:val="1"/>
                <w:szCs w:val="1"/>
                <w:color w:val="auto"/>
              </w:rPr>
            </w:pPr>
          </w:p>
        </w:tc>
      </w:tr>
      <w:tr>
        <w:trPr>
          <w:trHeight w:val="250"/>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132,175</w:t>
            </w:r>
          </w:p>
        </w:tc>
        <w:tc>
          <w:tcPr>
            <w:tcW w:w="1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34,927</w:t>
            </w:r>
          </w:p>
        </w:tc>
        <w:tc>
          <w:tcPr>
            <w:tcW w:w="0" w:type="dxa"/>
            <w:vAlign w:val="bottom"/>
          </w:tcPr>
          <w:p>
            <w:pPr>
              <w:spacing w:after="0"/>
              <w:rPr>
                <w:sz w:val="1"/>
                <w:szCs w:val="1"/>
                <w:color w:val="auto"/>
              </w:rPr>
            </w:pPr>
          </w:p>
        </w:tc>
      </w:tr>
      <w:tr>
        <w:trPr>
          <w:trHeight w:val="250"/>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(97,248)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94,086</w:t>
            </w:r>
          </w:p>
        </w:tc>
        <w:tc>
          <w:tcPr>
            <w:tcW w:w="0" w:type="dxa"/>
            <w:vAlign w:val="bottom"/>
          </w:tcPr>
          <w:p>
            <w:pPr>
              <w:spacing w:after="0"/>
              <w:rPr>
                <w:sz w:val="1"/>
                <w:szCs w:val="1"/>
                <w:color w:val="auto"/>
              </w:rPr>
            </w:pPr>
          </w:p>
        </w:tc>
      </w:tr>
      <w:tr>
        <w:trPr>
          <w:trHeight w:val="24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9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9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15,218</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12,586</w:t>
            </w:r>
          </w:p>
        </w:tc>
        <w:tc>
          <w:tcPr>
            <w:tcW w:w="0" w:type="dxa"/>
            <w:vAlign w:val="bottom"/>
          </w:tcPr>
          <w:p>
            <w:pPr>
              <w:spacing w:after="0"/>
              <w:rPr>
                <w:sz w:val="1"/>
                <w:szCs w:val="1"/>
                <w:color w:val="auto"/>
              </w:rPr>
            </w:pPr>
          </w:p>
        </w:tc>
      </w:tr>
      <w:tr>
        <w:trPr>
          <w:trHeight w:val="250"/>
        </w:trPr>
        <w:tc>
          <w:tcPr>
            <w:tcW w:w="6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9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15,218</w:t>
            </w:r>
          </w:p>
        </w:tc>
        <w:tc>
          <w:tcPr>
            <w:tcW w:w="1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12,586</w:t>
            </w:r>
          </w:p>
        </w:tc>
        <w:tc>
          <w:tcPr>
            <w:tcW w:w="0" w:type="dxa"/>
            <w:vAlign w:val="bottom"/>
          </w:tcPr>
          <w:p>
            <w:pPr>
              <w:spacing w:after="0"/>
              <w:rPr>
                <w:sz w:val="1"/>
                <w:szCs w:val="1"/>
                <w:color w:val="auto"/>
              </w:rPr>
            </w:pPr>
          </w:p>
        </w:tc>
      </w:tr>
      <w:tr>
        <w:trPr>
          <w:trHeight w:val="25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40" w:type="dxa"/>
            <w:vAlign w:val="bottom"/>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100" w:type="dxa"/>
            <w:vAlign w:val="bottom"/>
          </w:tcPr>
          <w:p>
            <w:pPr>
              <w:spacing w:after="0"/>
              <w:rPr>
                <w:sz w:val="21"/>
                <w:szCs w:val="21"/>
                <w:color w:val="auto"/>
              </w:rPr>
            </w:pPr>
          </w:p>
        </w:tc>
        <w:tc>
          <w:tcPr>
            <w:tcW w:w="94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(94,616)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106,672</w:t>
            </w:r>
          </w:p>
        </w:tc>
        <w:tc>
          <w:tcPr>
            <w:tcW w:w="0" w:type="dxa"/>
            <w:vAlign w:val="bottom"/>
          </w:tcPr>
          <w:p>
            <w:pPr>
              <w:spacing w:after="0"/>
              <w:rPr>
                <w:sz w:val="1"/>
                <w:szCs w:val="1"/>
                <w:color w:val="auto"/>
              </w:rPr>
            </w:pPr>
          </w:p>
        </w:tc>
      </w:tr>
      <w:tr>
        <w:trPr>
          <w:trHeight w:val="257"/>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9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(18,741)</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(18,741)</w:t>
            </w:r>
          </w:p>
        </w:tc>
        <w:tc>
          <w:tcPr>
            <w:tcW w:w="0" w:type="dxa"/>
            <w:vAlign w:val="bottom"/>
          </w:tcPr>
          <w:p>
            <w:pPr>
              <w:spacing w:after="0"/>
              <w:rPr>
                <w:sz w:val="1"/>
                <w:szCs w:val="1"/>
                <w:color w:val="auto"/>
              </w:rPr>
            </w:pPr>
          </w:p>
        </w:tc>
      </w:tr>
      <w:tr>
        <w:trPr>
          <w:trHeight w:val="25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Borders>
              <w:top w:val="single" w:sz="8" w:color="auto"/>
              <w:bottom w:val="single" w:sz="8" w:color="auto"/>
            </w:tcBorders>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(94,616)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87,931</w:t>
            </w:r>
          </w:p>
        </w:tc>
        <w:tc>
          <w:tcPr>
            <w:tcW w:w="0" w:type="dxa"/>
            <w:vAlign w:val="bottom"/>
          </w:tcPr>
          <w:p>
            <w:pPr>
              <w:spacing w:after="0"/>
              <w:rPr>
                <w:sz w:val="1"/>
                <w:szCs w:val="1"/>
                <w:color w:val="auto"/>
              </w:rPr>
            </w:pPr>
          </w:p>
        </w:tc>
      </w:tr>
      <w:tr>
        <w:trPr>
          <w:trHeight w:val="21"/>
        </w:trPr>
        <w:tc>
          <w:tcPr>
            <w:tcW w:w="6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270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240" w:type="dxa"/>
            <w:vAlign w:val="bottom"/>
            <w:vMerge w:val="continue"/>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10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ENTR-601-44</w:t>
            </w:r>
          </w:p>
        </w:tc>
        <w:tc>
          <w:tcPr>
            <w:tcW w:w="100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100" w:type="dxa"/>
            <w:vAlign w:val="bottom"/>
          </w:tcPr>
          <w:p>
            <w:pPr>
              <w:spacing w:after="0"/>
              <w:rPr>
                <w:sz w:val="21"/>
                <w:szCs w:val="21"/>
                <w:color w:val="auto"/>
              </w:rPr>
            </w:pPr>
          </w:p>
        </w:tc>
        <w:tc>
          <w:tcPr>
            <w:tcW w:w="100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0" w:type="dxa"/>
            <w:vAlign w:val="bottom"/>
          </w:tcPr>
          <w:p>
            <w:pPr>
              <w:spacing w:after="0"/>
              <w:rPr>
                <w:sz w:val="1"/>
                <w:szCs w:val="1"/>
                <w:color w:val="auto"/>
              </w:rPr>
            </w:pPr>
          </w:p>
        </w:tc>
      </w:tr>
      <w:tr>
        <w:trPr>
          <w:trHeight w:val="263"/>
        </w:trPr>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ENTR-601-45</w:t>
            </w:r>
          </w:p>
        </w:tc>
        <w:tc>
          <w:tcPr>
            <w:tcW w:w="10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8,439</w:t>
            </w:r>
          </w:p>
        </w:tc>
        <w:tc>
          <w:tcPr>
            <w:tcW w:w="0" w:type="dxa"/>
            <w:vAlign w:val="bottom"/>
          </w:tcPr>
          <w:p>
            <w:pPr>
              <w:spacing w:after="0"/>
              <w:rPr>
                <w:sz w:val="1"/>
                <w:szCs w:val="1"/>
                <w:color w:val="auto"/>
              </w:rPr>
            </w:pPr>
          </w:p>
        </w:tc>
      </w:tr>
      <w:tr>
        <w:trPr>
          <w:trHeight w:val="250"/>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ENTR-601-50</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0" w:type="dxa"/>
            <w:vAlign w:val="bottom"/>
          </w:tcPr>
          <w:p>
            <w:pPr>
              <w:spacing w:after="0"/>
              <w:rPr>
                <w:sz w:val="1"/>
                <w:szCs w:val="1"/>
                <w:color w:val="auto"/>
              </w:rPr>
            </w:pPr>
          </w:p>
        </w:tc>
      </w:tr>
      <w:tr>
        <w:trPr>
          <w:trHeight w:val="263"/>
        </w:trPr>
        <w:tc>
          <w:tcPr>
            <w:tcW w:w="6240" w:type="dxa"/>
            <w:vAlign w:val="bottom"/>
            <w:shd w:val="clear" w:color="auto" w:fill="CCEEFF"/>
          </w:tcPr>
          <w:p>
            <w:pPr>
              <w:ind w:left="200"/>
              <w:spacing w:after="0" w:line="263" w:lineRule="exact"/>
              <w:rPr>
                <w:sz w:val="20"/>
                <w:szCs w:val="20"/>
                <w:color w:val="auto"/>
              </w:rPr>
            </w:pPr>
            <w:r>
              <w:rPr>
                <w:rFonts w:ascii="Times New Roman" w:cs="Times New Roman" w:eastAsia="Times New Roman" w:hAnsi="Times New Roman"/>
                <w:sz w:val="18"/>
                <w:szCs w:val="18"/>
                <w:color w:val="auto"/>
              </w:rPr>
              <w:t>Collaboration services</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11,898</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50"/>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preclinical and discovery programs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57"/>
        </w:trPr>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unallocated</w:t>
            </w:r>
          </w:p>
        </w:tc>
        <w:tc>
          <w:tcPr>
            <w:tcW w:w="10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0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0" w:type="dxa"/>
            <w:vAlign w:val="bottom"/>
          </w:tcPr>
          <w:p>
            <w:pPr>
              <w:spacing w:after="0"/>
              <w:rPr>
                <w:sz w:val="1"/>
                <w:szCs w:val="1"/>
                <w:color w:val="auto"/>
              </w:rPr>
            </w:pPr>
          </w:p>
        </w:tc>
      </w:tr>
      <w:tr>
        <w:trPr>
          <w:trHeight w:val="250"/>
        </w:trPr>
        <w:tc>
          <w:tcPr>
            <w:tcW w:w="6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external costs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13,719</w:t>
            </w:r>
          </w:p>
        </w:tc>
        <w:tc>
          <w:tcPr>
            <w:tcW w:w="0" w:type="dxa"/>
            <w:vAlign w:val="bottom"/>
          </w:tcPr>
          <w:p>
            <w:pPr>
              <w:spacing w:after="0"/>
              <w:rPr>
                <w:sz w:val="1"/>
                <w:szCs w:val="1"/>
                <w:color w:val="auto"/>
              </w:rPr>
            </w:pPr>
          </w:p>
        </w:tc>
      </w:tr>
      <w:tr>
        <w:trPr>
          <w:trHeight w:val="257"/>
        </w:trPr>
        <w:tc>
          <w:tcPr>
            <w:tcW w:w="6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Internal costs, including personnel related</w:t>
            </w:r>
          </w:p>
        </w:tc>
        <w:tc>
          <w:tcPr>
            <w:tcW w:w="10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57,140</w:t>
            </w:r>
          </w:p>
        </w:tc>
        <w:tc>
          <w:tcPr>
            <w:tcW w:w="10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19,556</w:t>
            </w:r>
          </w:p>
        </w:tc>
        <w:tc>
          <w:tcPr>
            <w:tcW w:w="0" w:type="dxa"/>
            <w:vAlign w:val="bottom"/>
          </w:tcPr>
          <w:p>
            <w:pPr>
              <w:spacing w:after="0"/>
              <w:rPr>
                <w:sz w:val="1"/>
                <w:szCs w:val="1"/>
                <w:color w:val="auto"/>
              </w:rPr>
            </w:pPr>
          </w:p>
        </w:tc>
      </w:tr>
      <w:tr>
        <w:trPr>
          <w:trHeight w:val="25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0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99,884</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66,609</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33,275</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640" w:hanging="308"/>
        <w:spacing w:after="0"/>
        <w:tabs>
          <w:tab w:leader="none" w:pos="6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year amounts for collaboration services relate to research and development costs incurred for VX-670 prior to entering into the Vertex Agreement.</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expenses were $99.9 million for the year ended December 31, 2023, compared to $66.6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The increase of $33.3 million in research and development expenses was primarily attributable to:</w:t>
      </w:r>
    </w:p>
    <w:p>
      <w:pPr>
        <w:spacing w:after="0" w:line="207" w:lineRule="exact"/>
        <w:rPr>
          <w:sz w:val="20"/>
          <w:szCs w:val="20"/>
          <w:color w:val="auto"/>
        </w:rPr>
      </w:pPr>
    </w:p>
    <w:p>
      <w:pPr>
        <w:jc w:val="both"/>
        <w:ind w:left="660" w:right="280" w:hanging="328"/>
        <w:spacing w:after="0" w:line="266"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$19.6 million in internal costs driven by increased headcount in our research and development function, inclusive of stock-based compensation expense of $6.2 million and $4.2 million for the years ended December 31, 2023 and 2022, respectively, and increased facilities costs to support our expanding operations;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$13.7 million in external costs primarily driven by higher costs incurred as we advance our preclinical activities for our ENTR-601-45 and other preclinical and discovery programs.</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expect that our research and development expenses will increase as we continue our current research and development activities, continue clinical trials for ENTR-601-44 and our partnered candidate, VX-670, initiate new research programs, continue our preclinical development of therapeutic candidates, and progress ENTR-601-45, ENTR-601-50, and future product candidates, into clinical trials.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and administrative expenses for the year ended December 31, 2023 were $32.3 million, compared to $30.6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The increase of $1.7 million was primarily attributable to the following:</w:t>
      </w:r>
    </w:p>
    <w:p>
      <w:pPr>
        <w:spacing w:after="0" w:line="207" w:lineRule="exact"/>
        <w:rPr>
          <w:sz w:val="20"/>
          <w:szCs w:val="20"/>
          <w:color w:val="auto"/>
        </w:rPr>
      </w:pPr>
    </w:p>
    <w:p>
      <w:pPr>
        <w:ind w:left="660" w:right="240" w:hanging="328"/>
        <w:spacing w:after="0" w:line="312" w:lineRule="auto"/>
        <w:tabs>
          <w:tab w:leader="none" w:pos="65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$2.3 million increase in personnel-related costs, primarily as a result of the increase in headcount in our general and administrative function, inclusive of stock-based compensation expense of $6.9 million and $5.7 million for the years ended December 31, 2023 and 2022, respectively;</w:t>
      </w:r>
    </w:p>
    <w:p>
      <w:pPr>
        <w:spacing w:after="0" w:line="13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 million decrease in professional services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$0.4 million increase in facility and equipment-related expenses in connection with the operating lease for our corporate headquarters; and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Income</w:t>
      </w:r>
    </w:p>
    <w:p>
      <w:pPr>
        <w:spacing w:after="0" w:line="22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Total interest and other income was $15.2 million for the year ended December 31, 2023, compared to $2.6 million of interest and other income for the year ended December 31, 2022. This increase is primarily driven by higher interest rates and larger investments in debt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recorded an income tax expense of $18.7 million for the year ended December 31, 2023. The income tax expense was driven largely by the current tax liability associated with the tax recognition of the Vertex Agreement payments received during 2023. The Company reported no income tax expense for the year ended December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Since our inception in 2016, we have incurred significant operating losses. As of December 31, 2023 and 2022, we had an accumulated deficit of $195.0 million and $188.3 million, respectively. We expect to continue to generate operating losses and negative operating cash flows for the foreseeable future as we advance our platform and EEV therapeutic candidates. Since our inception, we have raised over $650 million of gross proceeds from sales of stock to leading biotechnology investors and from the Vertex Agreement. As of December 31, 2023, we had cash, cash equivalents and marketable securities of $352.0 million.</w:t>
      </w:r>
    </w:p>
    <w:p>
      <w:pPr>
        <w:spacing w:after="0" w:line="18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September 2023, we entered into a sales agreement (Sales Agreement) with Cowen and Company, LLC (Cowen) under which we may, from time to time, issue and sell shares of our common stock having aggregate sales proceeds of up to $150.0 million, in a series of one or more ATM equity offerings (the 2023 ATM Program). Cowen is not required to sell any specific share amounts but acts as the Company’s sales agent, using commercially reasonable efforts consistent with its normal trading and sales practices. Pursuant to the Sales Agreement, shares will be sold pursuant to our shelf registration statement on Form S-3 (File No. 333-268099) filed with the SEC on November 1, 2022, including the base prospectus contained therein, as declared effective by the SEC on November 7, 2022. The Company’s common stock will be sold at prevailing market prices at the time of the sale, and as a result, prices may vary. As of December 31, 2023, we have not sold any shares of common stock under the ATM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20" w:type="dxa"/>
            <w:vAlign w:val="bottom"/>
            <w:gridSpan w:val="4"/>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9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7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139,803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(93,786)</w:t>
            </w:r>
          </w:p>
        </w:tc>
        <w:tc>
          <w:tcPr>
            <w:tcW w:w="0" w:type="dxa"/>
            <w:vAlign w:val="bottom"/>
          </w:tcPr>
          <w:p>
            <w:pPr>
              <w:spacing w:after="0"/>
              <w:rPr>
                <w:sz w:val="1"/>
                <w:szCs w:val="1"/>
                <w:color w:val="auto"/>
              </w:rPr>
            </w:pP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(148,650)</w:t>
            </w:r>
          </w:p>
        </w:tc>
        <w:tc>
          <w:tcPr>
            <w:tcW w:w="0" w:type="dxa"/>
            <w:vAlign w:val="bottom"/>
          </w:tcPr>
          <w:p>
            <w:pPr>
              <w:spacing w:after="0"/>
              <w:rPr>
                <w:sz w:val="1"/>
                <w:szCs w:val="1"/>
                <w:color w:val="auto"/>
              </w:rPr>
            </w:pPr>
          </w:p>
        </w:tc>
      </w:tr>
      <w:tr>
        <w:trPr>
          <w:trHeight w:val="25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21,037</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57"/>
        </w:trPr>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22,445</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(241,957)</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net cash provided by operating activities was $139.8 million, driven by our net loss of $6.7 million, a net cash increase from changes in our operating assets and liabilities of $136.3 million, which was primarily related to the upfront and milestone payment received from Vertex, and adjustments for non-cash items, primarily relating to stock-based compensation expense of $13.1 million, depreciation expense of $2.8 million, and net accretion of premiums and discounts on marketable securities of $5.7 million.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 ended December 31, 2022, net cash used in operating activities was $93.8 million, consisting primarily of our net loss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$94.6 million, a net cash decrease from changes in our operating assets and liabilities of $11.1 million, and adjustments for non-cash items, primarily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to stock-based compensation expense of $9.9 million, depreciation expense of $1.9 million, and net amortization of premiums and discounts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 million on marketable securities.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$138.4 million for the year ended December 31, 2023, consisting primarily of $407.2 million in purchases of marketable securities, partially offset by $274.4 million from the maturities of marketable securities, and $5.6 million in purchases of property and equipment.</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$148.7 million for the year ended December 31, 2022, consisting primarily of $222.0 million in purchases of marketable securities, partially offset by $76.2 million from the maturities of marketable securities, and $2.9 million from purchases of property and equipment.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$21.0 million for the year ended December 31, 2023, consisting of $19.4 million in net proceeds from the issuance of 1,618,613 shares in connection with the Vertex Agreement, $1.2 million proceeds from stock option exercises and $0.4 million from the issuance of common stock under our employee stock purchase plan.</w:t>
      </w:r>
    </w:p>
    <w:p>
      <w:pPr>
        <w:spacing w:after="0" w:line="17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$0.5 million for the year ended December 31, 2022, consisting of $0.2 million of proceeds from stock option exercises and $0.3 million from the issuance of common stock under our employee stock purchase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expect to incur significant expenses and operating losses for the foreseeable future as we advance the preclinical and, if successful, the clinical development of our programs. In addition, we expect to incur additional costs associated with operating as a public company. Our operating expenses and future funding requirements are expected to increase substantially as we continue to advance our portfolio of programs. We believe that our cash, cash equivalents and marketable securities as of December 31, 2023, together with ongoing research support and the anticipated achievement of certain milestones under the Vertex Agreement will be sufficient to extend our cash runway through the second quarter of 2026, supporting the Company's expansion and continued development of EEV therapeutic candidates targeting Duchenne muscular dystrophy and advance EEV-therapeutic candidates in indications beyond neuromuscular disease. We have based this estimate on assumptions that may prove to be wrong, and we could utilize our available capital resources sooner than we expect.</w:t>
      </w:r>
    </w:p>
    <w:p>
      <w:pPr>
        <w:spacing w:after="0" w:line="19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our candidates, we are unable to estimate the exact amount of our working capital requirements. Our future capital requirements will depend on many factors, including costs associated with:</w:t>
      </w:r>
    </w:p>
    <w:p>
      <w:pPr>
        <w:spacing w:after="0" w:line="176"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our current research programs and our preclinical development of therapeutic candidates from our current research programs;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to identify additional research programs and additional therapeutic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our existing and future therapeutic candidates into clinical development;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initiating preclinical studies and clinical trials for any therapeutic candidates we identify and develop or expand development of existing programs into additional indications;</w:t>
      </w:r>
    </w:p>
    <w:p>
      <w:pPr>
        <w:spacing w:after="0" w:line="16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expanding, enforcing, defending and protecting our intellectual property portfolio and providing reimbursement of third-party expenses related to our patent portfolio;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manufacturing for our therapeutic candidates and commercial manufacturing if any therapeutic candidate is approved;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clinical and commercial supply for the development and manufacture of our therapeutic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regulatory and marketing approvals for any of our therapeutic candidates that we develop, if any;</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to identify, establish and maintain additional collaborations and license agreements, and the success of those collaborations and license agreements;</w:t>
      </w:r>
    </w:p>
    <w:p>
      <w:pPr>
        <w:spacing w:after="0" w:line="16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establishing a sales, marketing and distribution infrastructure to commercialize any platforms for which we may obtain marketing approval, either by ourselves or in collaboration with others;</w:t>
      </w:r>
    </w:p>
    <w:p>
      <w:pPr>
        <w:sectPr>
          <w:pgSz w:w="11900" w:h="16838" w:orient="portrait"/>
          <w:cols w:equalWidth="0" w:num="1">
            <w:col w:w="11200"/>
          </w:cols>
          <w:pgMar w:left="320" w:top="60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from commercial sales of therapeutic candidates we may develop for which we receive marketing approval;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personnel including research and development, clinical and commercial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operational, financial and management information systems and personnel, including personnel to support our product development;</w:t>
      </w:r>
    </w:p>
    <w:p>
      <w:pPr>
        <w:spacing w:after="0" w:line="22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sufficient market acceptance, coverage and adequate reimbursement from third-party payors and adequate market share and revenue for any approved products;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or in-licensing products, intellectual property and technologies;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costs of operating as a public company and recent increases in inflationary rates.</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to support our cost structure, we expect to finance our cash needs through a combination of equity offerings, debt financings, license and collaboration agreements and other similar arrangements. To the extent that we raise additional capital through the sale of equity or convertible debt securities, the ownership interest of our stockholders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therapeutic candidates or grant licenses on terms that may not be favorable to us and/or may reduce the value of our common stock. If we are unable to raise additional funds when needed, we may be required to delay, limit, reduce or terminate our product development or future commercialization efforts or grant rights to develop and market our therapeutic candidates even if we would otherwise prefer to develop and market such therapeutic candidates ourselves.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IDB Lease</w:t>
      </w:r>
    </w:p>
    <w:p>
      <w:pPr>
        <w:spacing w:after="0" w:line="254"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We have a noncancellable operating lease of approximately 81,229 square feet of office and laboratory space at One Design Center Place in Boston, Massachusetts (IDB Lease). The term of the IDB lease is approximately 10 years and commenced in February 2023. The initial fixed rental rate is $0.5 million per month, which is for a 12 month period during which the base rent is payable for 65,000 square feet, and will increase 3% per annum thereafter for the entire 81,229 square feet leased.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IDB Sublease</w:t>
      </w:r>
    </w:p>
    <w:p>
      <w:pPr>
        <w:spacing w:after="0" w:line="24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subleases a portion of the office and laboratory space leased under the IDB Lease to a third-party (subtenant). The term of the sublease commenced in April 2023. The sublease term is 3 years. The initial fixed rental rate is approximately $0.2 million per month and will increase 3% per annum thereafter.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 Tide Street Lease</w:t>
      </w:r>
    </w:p>
    <w:p>
      <w:pPr>
        <w:spacing w:after="0" w:line="254"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have a noncancellable operating lease of 23,189 square feet of office and laboratory space at 6 Tide Street in Boston, Massachusetts. The term for the lease will end on November 30, 2025. The fixed rental rate is $0.5 million per month for the remainder of the lease term.</w:t>
      </w:r>
    </w:p>
    <w:p>
      <w:pPr>
        <w:spacing w:after="0" w:line="187"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about our lease commitments, see Note 11,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our consolidated financial statements included elsewhere in this Annual Report.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 xml:space="preserve">We have also entered into a license agreement (OSIF License Agreement) with Ohio State Innovation Foundation (OSIF), an affiliate of The Ohio State University (OSU), under which we are obligated to make specific milestone and royalty payments. The payment obligations under this agreement are contingent upon future events, such as our achievement of specified development, regulatory and commercial milestones, or generating product sales. For additional information about our OSIF License Agreement and amounts that could become payable in the future under such agreements, see “Business— Intellectual property— License agreement with The Ohio State University” and </w:t>
      </w:r>
      <w:r>
        <w:rPr>
          <w:rFonts w:ascii="Times New Roman" w:cs="Times New Roman" w:eastAsia="Times New Roman" w:hAnsi="Times New Roman"/>
          <w:sz w:val="18"/>
          <w:szCs w:val="18"/>
          <w:i w:val="1"/>
          <w:iCs w:val="1"/>
          <w:color w:val="auto"/>
        </w:rPr>
        <w:t>Note 10</w:t>
      </w:r>
      <w:r>
        <w:rPr>
          <w:rFonts w:ascii="Times New Roman" w:cs="Times New Roman" w:eastAsia="Times New Roman" w:hAnsi="Times New Roman"/>
          <w:sz w:val="18"/>
          <w:szCs w:val="18"/>
          <w:color w:val="auto"/>
        </w:rPr>
        <w:t>, Commitments and Contingencies, to our consolidated financial statements included elsewhere in this Annual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Funding Commitments</w:t>
      </w:r>
    </w:p>
    <w:p>
      <w:pPr>
        <w:spacing w:after="0" w:line="256"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third-party manufacturers, and other third parties for preclinical research studies and testing and manufacturing services. These contracts do not contain minimum purchase commitments and are cancellable by us upon prior written notice. Payments due upon cancellation consist only of payments for services provided or expenses incurred, including non-cancelable obligations of our service providers, up to the date of cancellation.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or EGC, under the Jumpstart Our Business Startups Act of 2012 (the JOBS Act). Section 107 of the JOBS Act provides that an EGC can take advantage of the extended transition period provided in Section 7(a)(2)(B) of the Securities Act of 1933, as amended, for complying with new or revised accounting standards. Thus, an EGC can delay the adoption of certain accounting standards until those standards would otherwise apply to private companies. We have elected to avail ourselves of delayed adoption of new or revised accounting standards and, therefore, we will be subject to the same requirements to adopt new or revised accounting standards as private entities.</w:t>
      </w:r>
    </w:p>
    <w:p>
      <w:pPr>
        <w:spacing w:after="0" w:line="183"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As an EGC, we may, and intend to, take advantage of certain exemptions and reduced reporting requirements under the JOBS Act. Subject to certain conditions, as an EGC:</w:t>
      </w:r>
    </w:p>
    <w:p>
      <w:pPr>
        <w:spacing w:after="0" w:line="162" w:lineRule="exact"/>
        <w:rPr>
          <w:sz w:val="20"/>
          <w:szCs w:val="20"/>
          <w:color w:val="auto"/>
        </w:rPr>
      </w:pPr>
    </w:p>
    <w:p>
      <w:pPr>
        <w:ind w:left="660" w:right="120" w:hanging="328"/>
        <w:spacing w:after="0" w:line="282" w:lineRule="auto"/>
        <w:tabs>
          <w:tab w:leader="none" w:pos="65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present only two years of audited financial statements and only two years of related Management’s Discussion and Analysis of Financial Condition and Results of Operations;</w:t>
      </w:r>
    </w:p>
    <w:p>
      <w:pPr>
        <w:spacing w:after="0" w:line="16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avail ourselves of the exemption from providing an auditor’s attestation report on our system of internal controls over financial reporting pursuant to Section 404(b) of the Sarbanes-Oxley Act of 2002, as amended (the Sarbanes-Oxley Act);</w:t>
      </w:r>
    </w:p>
    <w:p>
      <w:pPr>
        <w:spacing w:after="0" w:line="16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avail ourselves of the exemption from complying with any requirement that may be adopted by the Public Company Accounting Oversight Board (PCAOB) regarding mandatory audit firm rotation or a supplement to the auditor’s report providing additional information about the audit and the financial statements, known as the auditor discussion and analysis;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provide reduced disclosure about our executive compensation arrangements;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require nonbinding advisory votes on executive compensation or stockholder approval of any golden parachute payments.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remain an EGC until the earliest to occur of (i) the last day of the fiscal year following the fifth anniversary of the completion of our IPO,</w:t>
      </w:r>
    </w:p>
    <w:p>
      <w:pPr>
        <w:spacing w:after="0" w:line="27" w:lineRule="exact"/>
        <w:rPr>
          <w:rFonts w:ascii="Times New Roman" w:cs="Times New Roman" w:eastAsia="Times New Roman" w:hAnsi="Times New Roman"/>
          <w:sz w:val="18"/>
          <w:szCs w:val="18"/>
          <w:color w:val="auto"/>
        </w:rPr>
      </w:pPr>
    </w:p>
    <w:p>
      <w:pPr>
        <w:ind w:right="120" w:firstLine="8"/>
        <w:spacing w:after="0" w:line="255" w:lineRule="auto"/>
        <w:tabs>
          <w:tab w:leader="none" w:pos="26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total annual gross revenues of $1.235 billion or more, (iii) the date on which we have issued more than $1.0 billion in non-convertible debt during the previous rolling three-year period or (iv) the date on which we are deemed to be a large accelerated filer under the Securities Exchange Act of 1934, as amended (the Exchange Act).</w:t>
      </w:r>
    </w:p>
    <w:p>
      <w:pPr>
        <w:spacing w:after="0" w:line="18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similar to emerging growth companies, smaller reporting companies have reduced disclosure obligations regarding executive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07" w:right="4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720" w:type="dxa"/>
            <w:vAlign w:val="bottom"/>
          </w:tcPr>
          <w:p>
            <w:pPr>
              <w:spacing w:after="0"/>
              <w:rPr>
                <w:sz w:val="20"/>
                <w:szCs w:val="20"/>
                <w:color w:val="auto"/>
              </w:rPr>
            </w:pPr>
          </w:p>
        </w:tc>
      </w:tr>
      <w:tr>
        <w:trPr>
          <w:trHeight w:val="432"/>
        </w:trPr>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720" w:type="dxa"/>
            <w:vAlign w:val="bottom"/>
          </w:tcPr>
          <w:p>
            <w:pPr>
              <w:spacing w:after="0"/>
              <w:rPr>
                <w:sz w:val="24"/>
                <w:szCs w:val="24"/>
                <w:color w:val="auto"/>
              </w:rPr>
            </w:pPr>
          </w:p>
        </w:tc>
      </w:tr>
      <w:tr>
        <w:trPr>
          <w:trHeight w:val="445"/>
        </w:trPr>
        <w:tc>
          <w:tcPr>
            <w:tcW w:w="80" w:type="dxa"/>
            <w:vAlign w:val="bottom"/>
          </w:tcPr>
          <w:p>
            <w:pPr>
              <w:spacing w:after="0"/>
              <w:rPr>
                <w:sz w:val="24"/>
                <w:szCs w:val="24"/>
                <w:color w:val="auto"/>
              </w:rPr>
            </w:pPr>
          </w:p>
        </w:tc>
        <w:tc>
          <w:tcPr>
            <w:tcW w:w="93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Report of Ernst &amp; Young LLP, Independent Registered Public Accounting Firm (PCAOB ID: 42)</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7"/>
        </w:trPr>
        <w:tc>
          <w:tcPr>
            <w:tcW w:w="80" w:type="dxa"/>
            <w:vAlign w:val="bottom"/>
          </w:tcPr>
          <w:p>
            <w:pPr>
              <w:spacing w:after="0"/>
              <w:rPr>
                <w:sz w:val="20"/>
                <w:szCs w:val="20"/>
                <w:color w:val="auto"/>
              </w:rPr>
            </w:pPr>
          </w:p>
        </w:tc>
        <w:tc>
          <w:tcPr>
            <w:tcW w:w="572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36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0"/>
        </w:trPr>
        <w:tc>
          <w:tcPr>
            <w:tcW w:w="8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36"/>
        </w:trPr>
        <w:tc>
          <w:tcPr>
            <w:tcW w:w="80" w:type="dxa"/>
            <w:vAlign w:val="bottom"/>
          </w:tcPr>
          <w:p>
            <w:pPr>
              <w:spacing w:after="0"/>
              <w:rPr>
                <w:sz w:val="20"/>
                <w:szCs w:val="20"/>
                <w:color w:val="auto"/>
              </w:rPr>
            </w:pPr>
          </w:p>
        </w:tc>
        <w:tc>
          <w:tcPr>
            <w:tcW w:w="46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w:t>
            </w:r>
          </w:p>
        </w:tc>
        <w:tc>
          <w:tcPr>
            <w:tcW w:w="4660" w:type="dxa"/>
            <w:vAlign w:val="bottom"/>
            <w:gridSpan w:val="2"/>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6"/>
        </w:trPr>
        <w:tc>
          <w:tcPr>
            <w:tcW w:w="80" w:type="dxa"/>
            <w:vAlign w:val="bottom"/>
          </w:tcPr>
          <w:p>
            <w:pPr>
              <w:spacing w:after="0"/>
              <w:rPr>
                <w:sz w:val="20"/>
                <w:szCs w:val="20"/>
                <w:color w:val="auto"/>
              </w:rPr>
            </w:pPr>
          </w:p>
        </w:tc>
        <w:tc>
          <w:tcPr>
            <w:tcW w:w="93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7"/>
        </w:trPr>
        <w:tc>
          <w:tcPr>
            <w:tcW w:w="80" w:type="dxa"/>
            <w:vAlign w:val="bottom"/>
          </w:tcPr>
          <w:p>
            <w:pPr>
              <w:spacing w:after="0"/>
              <w:rPr>
                <w:sz w:val="20"/>
                <w:szCs w:val="20"/>
                <w:color w:val="auto"/>
              </w:rPr>
            </w:pPr>
          </w:p>
        </w:tc>
        <w:tc>
          <w:tcPr>
            <w:tcW w:w="35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5800" w:type="dxa"/>
            <w:vAlign w:val="bottom"/>
            <w:gridSpan w:val="3"/>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0"/>
        </w:trPr>
        <w:tc>
          <w:tcPr>
            <w:tcW w:w="8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0" w:type="dxa"/>
            <w:vAlign w:val="bottom"/>
            <w:gridSpan w:val="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37"/>
        </w:trPr>
        <w:tc>
          <w:tcPr>
            <w:tcW w:w="80" w:type="dxa"/>
            <w:vAlign w:val="bottom"/>
          </w:tcPr>
          <w:p>
            <w:pPr>
              <w:spacing w:after="0"/>
              <w:rPr>
                <w:sz w:val="20"/>
                <w:szCs w:val="20"/>
                <w:color w:val="auto"/>
              </w:rPr>
            </w:pPr>
          </w:p>
        </w:tc>
        <w:tc>
          <w:tcPr>
            <w:tcW w:w="93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0"/>
        </w:trPr>
        <w:tc>
          <w:tcPr>
            <w:tcW w:w="8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07" w:right="4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To the Stockholders and the Board of Directors of Entrada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Opinion on the Financial Statements</w:t>
      </w:r>
    </w:p>
    <w:p>
      <w:pPr>
        <w:spacing w:after="0" w:line="229"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7"/>
          <w:szCs w:val="17"/>
          <w:color w:val="333333"/>
        </w:rPr>
        <w:t>We have audited the accompanying consolidated balance sheets of Entrada Therapeutics, Inc. (the Company) as of December 31, 2023, and 2022, the related consolidated statements of operations and comprehensive loss,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Basis for Opinion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333333"/>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333333"/>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We have served as the Company’s auditor since 2021.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March 13, 2024</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ENTRADA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04"/>
        </w:trPr>
        <w:tc>
          <w:tcPr>
            <w:tcW w:w="790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r>
      <w:tr>
        <w:trPr>
          <w:trHeight w:val="23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67,602</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45,157</w:t>
            </w:r>
          </w:p>
        </w:tc>
      </w:tr>
      <w:tr>
        <w:trPr>
          <w:trHeight w:val="270"/>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284,367</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143,555</w:t>
            </w:r>
          </w:p>
        </w:tc>
      </w:tr>
      <w:tr>
        <w:trPr>
          <w:trHeight w:val="27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Collaboration receivable</w:t>
            </w: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1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21,163</w:t>
            </w:r>
          </w:p>
        </w:tc>
      </w:tr>
      <w:tr>
        <w:trPr>
          <w:trHeight w:val="25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369,771</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209,875</w:t>
            </w:r>
          </w:p>
        </w:tc>
      </w:tr>
      <w:tr>
        <w:trPr>
          <w:trHeight w:val="27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11,191</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7,681</w:t>
            </w:r>
          </w:p>
        </w:tc>
      </w:tr>
      <w:tr>
        <w:trPr>
          <w:trHeight w:val="25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r>
      <w:tr>
        <w:trPr>
          <w:trHeight w:val="257"/>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operating leases</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81,490</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25,340</w:t>
            </w:r>
          </w:p>
        </w:tc>
      </w:tr>
      <w:tr>
        <w:trPr>
          <w:trHeight w:val="27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w:t>
            </w:r>
          </w:p>
        </w:tc>
      </w:tr>
      <w:tr>
        <w:trPr>
          <w:trHeight w:val="223"/>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469,192</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252,056</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7"/>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w:t>
            </w:r>
          </w:p>
        </w:tc>
      </w:tr>
      <w:tr>
        <w:trPr>
          <w:trHeight w:val="270"/>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11,325</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7,576</w:t>
            </w:r>
          </w:p>
        </w:tc>
      </w:tr>
      <w:tr>
        <w:trPr>
          <w:trHeight w:val="27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obligations, current portion</w:t>
            </w: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8,406</w:t>
            </w:r>
          </w:p>
        </w:tc>
      </w:tr>
      <w:tr>
        <w:trPr>
          <w:trHeight w:val="27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132,261</w:t>
            </w:r>
          </w:p>
        </w:tc>
        <w:tc>
          <w:tcPr>
            <w:tcW w:w="1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158,796</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21,972</w:t>
            </w:r>
          </w:p>
        </w:tc>
      </w:tr>
      <w:tr>
        <w:trPr>
          <w:trHeight w:val="25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 net of current portion</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60,321</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17,530</w:t>
            </w:r>
          </w:p>
        </w:tc>
      </w:tr>
      <w:tr>
        <w:trPr>
          <w:trHeight w:val="27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7,715</w:t>
            </w:r>
          </w:p>
        </w:tc>
        <w:tc>
          <w:tcPr>
            <w:tcW w:w="1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226,832</w:t>
            </w:r>
          </w:p>
        </w:tc>
        <w:tc>
          <w:tcPr>
            <w:tcW w:w="1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39,502</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25"/>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par value $0.0001; 150,000,000 shares authorized; 33,461,771 shares issued and</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33,437,296 shares outstanding as of December 31, 2023 and 31,448,508 shares issued and 31,394,767</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61"/>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outstanding as of December 31, 2022</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7900" w:type="dxa"/>
            <w:vAlign w:val="bottom"/>
            <w:shd w:val="clear" w:color="auto" w:fill="CCEEFF"/>
          </w:tcPr>
          <w:p>
            <w:pPr>
              <w:ind w:left="180"/>
              <w:spacing w:after="0" w:line="207" w:lineRule="exact"/>
              <w:rPr>
                <w:sz w:val="20"/>
                <w:szCs w:val="20"/>
                <w:color w:val="auto"/>
              </w:rPr>
            </w:pPr>
            <w:r>
              <w:rPr>
                <w:rFonts w:ascii="Times New Roman" w:cs="Times New Roman" w:eastAsia="Times New Roman" w:hAnsi="Times New Roman"/>
                <w:sz w:val="18"/>
                <w:szCs w:val="18"/>
                <w:color w:val="auto"/>
              </w:rPr>
              <w:t>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w:t>
            </w: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437,132</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402,893</w:t>
            </w:r>
          </w:p>
        </w:tc>
      </w:tr>
      <w:tr>
        <w:trPr>
          <w:trHeight w:val="257"/>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r>
      <w:tr>
        <w:trPr>
          <w:trHeight w:val="27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(194,970)</w:t>
            </w:r>
          </w:p>
        </w:tc>
        <w:tc>
          <w:tcPr>
            <w:tcW w:w="1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(188,285)</w:t>
            </w:r>
          </w:p>
        </w:tc>
      </w:tr>
      <w:tr>
        <w:trPr>
          <w:trHeight w:val="250"/>
        </w:trPr>
        <w:tc>
          <w:tcPr>
            <w:tcW w:w="7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242,360</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212,554</w:t>
            </w:r>
          </w:p>
        </w:tc>
      </w:tr>
      <w:tr>
        <w:trPr>
          <w:trHeight w:val="248"/>
        </w:trPr>
        <w:tc>
          <w:tcPr>
            <w:tcW w:w="7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469,192</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252,056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ENTRADA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129,013</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99,884</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66,609</w:t>
            </w: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32,291</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30,639</w:t>
            </w:r>
          </w:p>
        </w:tc>
        <w:tc>
          <w:tcPr>
            <w:tcW w:w="0" w:type="dxa"/>
            <w:vAlign w:val="bottom"/>
          </w:tcPr>
          <w:p>
            <w:pPr>
              <w:spacing w:after="0"/>
              <w:rPr>
                <w:sz w:val="1"/>
                <w:szCs w:val="1"/>
                <w:color w:val="auto"/>
              </w:rPr>
            </w:pPr>
          </w:p>
        </w:tc>
      </w:tr>
      <w:tr>
        <w:trPr>
          <w:trHeight w:val="250"/>
        </w:trPr>
        <w:tc>
          <w:tcPr>
            <w:tcW w:w="7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132,175</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97,248</w:t>
            </w: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(97,248)</w:t>
            </w: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15,218</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0" w:type="dxa"/>
            <w:vAlign w:val="bottom"/>
          </w:tcPr>
          <w:p>
            <w:pPr>
              <w:spacing w:after="0"/>
              <w:rPr>
                <w:sz w:val="1"/>
                <w:szCs w:val="1"/>
                <w:color w:val="auto"/>
              </w:rPr>
            </w:pPr>
          </w:p>
        </w:tc>
      </w:tr>
      <w:tr>
        <w:trPr>
          <w:trHeight w:val="250"/>
        </w:trPr>
        <w:tc>
          <w:tcPr>
            <w:tcW w:w="7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income</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15,218</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0" w:type="dxa"/>
            <w:vAlign w:val="bottom"/>
          </w:tcPr>
          <w:p>
            <w:pPr>
              <w:spacing w:after="0"/>
              <w:rPr>
                <w:sz w:val="1"/>
                <w:szCs w:val="1"/>
                <w:color w:val="auto"/>
              </w:rPr>
            </w:pPr>
          </w:p>
        </w:tc>
      </w:tr>
      <w:tr>
        <w:trPr>
          <w:trHeight w:val="25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(94,616)</w:t>
            </w:r>
          </w:p>
        </w:tc>
        <w:tc>
          <w:tcPr>
            <w:tcW w:w="0" w:type="dxa"/>
            <w:vAlign w:val="bottom"/>
          </w:tcPr>
          <w:p>
            <w:pPr>
              <w:spacing w:after="0"/>
              <w:rPr>
                <w:sz w:val="1"/>
                <w:szCs w:val="1"/>
                <w:color w:val="auto"/>
              </w:rPr>
            </w:pPr>
          </w:p>
        </w:tc>
      </w:tr>
      <w:tr>
        <w:trPr>
          <w:trHeight w:val="257"/>
        </w:trPr>
        <w:tc>
          <w:tcPr>
            <w:tcW w:w="7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(18,741)</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(94,616)</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common shares outstanding, basic and 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60" w:type="dxa"/>
            <w:vAlign w:val="bottom"/>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33,050,319</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31,293,312</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comprehensive loss: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Unrealized income (loss) on marketable securities, net of tax of $0</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0" w:type="dxa"/>
            <w:vAlign w:val="bottom"/>
          </w:tcPr>
          <w:p>
            <w:pPr>
              <w:spacing w:after="0"/>
              <w:rPr>
                <w:sz w:val="1"/>
                <w:szCs w:val="1"/>
                <w:color w:val="auto"/>
              </w:rPr>
            </w:pPr>
          </w:p>
        </w:tc>
      </w:tr>
      <w:tr>
        <w:trPr>
          <w:trHeight w:val="25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0" w:type="dxa"/>
            <w:vAlign w:val="bottom"/>
          </w:tcPr>
          <w:p>
            <w:pPr>
              <w:spacing w:after="0"/>
              <w:rPr>
                <w:sz w:val="1"/>
                <w:szCs w:val="1"/>
                <w:color w:val="auto"/>
              </w:rPr>
            </w:pPr>
          </w:p>
        </w:tc>
      </w:tr>
      <w:tr>
        <w:trPr>
          <w:trHeight w:val="250"/>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8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(96,673)</w:t>
            </w:r>
          </w:p>
        </w:tc>
        <w:tc>
          <w:tcPr>
            <w:tcW w:w="0" w:type="dxa"/>
            <w:vAlign w:val="bottom"/>
          </w:tcPr>
          <w:p>
            <w:pPr>
              <w:spacing w:after="0"/>
              <w:rPr>
                <w:sz w:val="1"/>
                <w:szCs w:val="1"/>
                <w:color w:val="auto"/>
              </w:rPr>
            </w:pPr>
          </w:p>
        </w:tc>
      </w:tr>
      <w:tr>
        <w:trPr>
          <w:trHeight w:val="21"/>
        </w:trPr>
        <w:tc>
          <w:tcPr>
            <w:tcW w:w="7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ENTRADA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20" w:type="dxa"/>
            <w:vAlign w:val="bottom"/>
          </w:tcPr>
          <w:p>
            <w:pPr>
              <w:spacing w:after="0"/>
              <w:rPr>
                <w:sz w:val="12"/>
                <w:szCs w:val="12"/>
                <w:color w:val="auto"/>
              </w:rPr>
            </w:pPr>
          </w:p>
        </w:tc>
        <w:tc>
          <w:tcPr>
            <w:tcW w:w="1920" w:type="dxa"/>
            <w:vAlign w:val="bottom"/>
            <w:gridSpan w:val="5"/>
            <w:vMerge w:val="restart"/>
          </w:tcPr>
          <w:p>
            <w:pPr>
              <w:ind w:left="5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2"/>
                <w:szCs w:val="12"/>
                <w:color w:val="auto"/>
              </w:rPr>
            </w:pPr>
          </w:p>
        </w:tc>
        <w:tc>
          <w:tcPr>
            <w:tcW w:w="1220" w:type="dxa"/>
            <w:vAlign w:val="bottom"/>
            <w:gridSpan w:val="2"/>
            <w:vMerge w:val="restart"/>
          </w:tcPr>
          <w:p>
            <w:pPr>
              <w:ind w:left="20"/>
              <w:spacing w:after="0" w:line="150" w:lineRule="exact"/>
              <w:rPr>
                <w:sz w:val="20"/>
                <w:szCs w:val="20"/>
                <w:color w:val="auto"/>
              </w:rPr>
            </w:pPr>
            <w:r>
              <w:rPr>
                <w:rFonts w:ascii="Times New Roman" w:cs="Times New Roman" w:eastAsia="Times New Roman" w:hAnsi="Times New Roman"/>
                <w:sz w:val="13"/>
                <w:szCs w:val="13"/>
                <w:b w:val="1"/>
                <w:bCs w:val="1"/>
                <w:color w:val="auto"/>
              </w:rPr>
              <w:t>Additional Paid</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in</w:t>
            </w:r>
          </w:p>
        </w:tc>
        <w:tc>
          <w:tcPr>
            <w:tcW w:w="100" w:type="dxa"/>
            <w:vAlign w:val="bottom"/>
          </w:tcPr>
          <w:p>
            <w:pPr>
              <w:spacing w:after="0"/>
              <w:rPr>
                <w:sz w:val="12"/>
                <w:szCs w:val="12"/>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5"/>
              </w:rPr>
              <w:t>Total Stockholders’</w:t>
            </w:r>
          </w:p>
        </w:tc>
        <w:tc>
          <w:tcPr>
            <w:tcW w:w="0" w:type="dxa"/>
            <w:vAlign w:val="bottom"/>
          </w:tcPr>
          <w:p>
            <w:pPr>
              <w:spacing w:after="0"/>
              <w:rPr>
                <w:sz w:val="1"/>
                <w:szCs w:val="1"/>
                <w:color w:val="auto"/>
              </w:rPr>
            </w:pPr>
          </w:p>
        </w:tc>
      </w:tr>
      <w:tr>
        <w:trPr>
          <w:trHeight w:val="85"/>
        </w:trPr>
        <w:tc>
          <w:tcPr>
            <w:tcW w:w="4020" w:type="dxa"/>
            <w:vAlign w:val="bottom"/>
          </w:tcPr>
          <w:p>
            <w:pPr>
              <w:spacing w:after="0"/>
              <w:rPr>
                <w:sz w:val="7"/>
                <w:szCs w:val="7"/>
                <w:color w:val="auto"/>
              </w:rPr>
            </w:pPr>
          </w:p>
        </w:tc>
        <w:tc>
          <w:tcPr>
            <w:tcW w:w="192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jc w:val="center"/>
              <w:ind w:right="18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40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Accumulated Deficit</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31,224,336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center"/>
              <w:ind w:left="477"/>
              <w:spacing w:after="0"/>
              <w:rPr>
                <w:sz w:val="20"/>
                <w:szCs w:val="20"/>
                <w:color w:val="auto"/>
              </w:rPr>
            </w:pPr>
            <w:r>
              <w:rPr>
                <w:rFonts w:ascii="Times New Roman" w:cs="Times New Roman" w:eastAsia="Times New Roman" w:hAnsi="Times New Roman"/>
                <w:sz w:val="13"/>
                <w:szCs w:val="13"/>
                <w:color w:val="auto"/>
                <w:w w:val="91"/>
              </w:rPr>
              <w:t>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392,384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(93,669)</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298,718</w:t>
            </w:r>
          </w:p>
        </w:tc>
        <w:tc>
          <w:tcPr>
            <w:tcW w:w="0" w:type="dxa"/>
            <w:vAlign w:val="bottom"/>
          </w:tcPr>
          <w:p>
            <w:pPr>
              <w:spacing w:after="0"/>
              <w:rPr>
                <w:sz w:val="1"/>
                <w:szCs w:val="1"/>
                <w:color w:val="auto"/>
              </w:rPr>
            </w:pPr>
          </w:p>
        </w:tc>
      </w:tr>
      <w:tr>
        <w:trPr>
          <w:trHeight w:val="20"/>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020" w:type="dxa"/>
            <w:vAlign w:val="bottom"/>
            <w:vMerge w:val="continue"/>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84,526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ind w:left="41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early exercised options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58,015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center"/>
              <w:ind w:left="41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0" w:type="dxa"/>
            <w:vAlign w:val="bottom"/>
          </w:tcPr>
          <w:p>
            <w:pPr>
              <w:spacing w:after="0"/>
              <w:rPr>
                <w:sz w:val="1"/>
                <w:szCs w:val="1"/>
                <w:color w:val="auto"/>
              </w:rPr>
            </w:pPr>
          </w:p>
        </w:tc>
      </w:tr>
      <w:tr>
        <w:trPr>
          <w:trHeight w:val="193"/>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common stock under the employee stock purchase plan</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27,890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center"/>
              <w:ind w:left="41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4"/>
                <w:szCs w:val="14"/>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41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9,895</w:t>
            </w:r>
          </w:p>
        </w:tc>
        <w:tc>
          <w:tcPr>
            <w:tcW w:w="0" w:type="dxa"/>
            <w:vAlign w:val="bottom"/>
          </w:tcPr>
          <w:p>
            <w:pPr>
              <w:spacing w:after="0"/>
              <w:rPr>
                <w:sz w:val="1"/>
                <w:szCs w:val="1"/>
                <w:color w:val="auto"/>
              </w:rPr>
            </w:pPr>
          </w:p>
        </w:tc>
      </w:tr>
      <w:tr>
        <w:trPr>
          <w:trHeight w:val="193"/>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800" w:type="dxa"/>
            <w:vAlign w:val="bottom"/>
            <w:gridSpan w:val="2"/>
          </w:tcPr>
          <w:p>
            <w:pPr>
              <w:jc w:val="center"/>
              <w:ind w:left="41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(2,057)</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center"/>
              <w:ind w:left="41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(94,616)</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(94,616)</w:t>
            </w:r>
          </w:p>
        </w:tc>
        <w:tc>
          <w:tcPr>
            <w:tcW w:w="0" w:type="dxa"/>
            <w:vAlign w:val="bottom"/>
          </w:tcPr>
          <w:p>
            <w:pPr>
              <w:spacing w:after="0"/>
              <w:rPr>
                <w:sz w:val="1"/>
                <w:szCs w:val="1"/>
                <w:color w:val="auto"/>
              </w:rPr>
            </w:pPr>
          </w:p>
        </w:tc>
      </w:tr>
      <w:tr>
        <w:trPr>
          <w:trHeight w:val="196"/>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2022</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31,394,767</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tcPr>
          <w:p>
            <w:pPr>
              <w:jc w:val="center"/>
              <w:ind w:left="477"/>
              <w:spacing w:after="0"/>
              <w:rPr>
                <w:sz w:val="20"/>
                <w:szCs w:val="20"/>
                <w:color w:val="auto"/>
              </w:rPr>
            </w:pPr>
            <w:r>
              <w:rPr>
                <w:rFonts w:ascii="Times New Roman" w:cs="Times New Roman" w:eastAsia="Times New Roman" w:hAnsi="Times New Roman"/>
                <w:sz w:val="13"/>
                <w:szCs w:val="13"/>
                <w:color w:val="auto"/>
                <w:w w:val="91"/>
              </w:rPr>
              <w:t>3</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402,893</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(2,057)</w:t>
            </w:r>
          </w:p>
        </w:tc>
        <w:tc>
          <w:tcPr>
            <w:tcW w:w="8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(188,285)</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212,554</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214,078</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center"/>
              <w:ind w:left="41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w:t>
            </w:r>
          </w:p>
        </w:tc>
        <w:tc>
          <w:tcPr>
            <w:tcW w:w="0" w:type="dxa"/>
            <w:vAlign w:val="bottom"/>
          </w:tcPr>
          <w:p>
            <w:pPr>
              <w:spacing w:after="0"/>
              <w:rPr>
                <w:sz w:val="1"/>
                <w:szCs w:val="1"/>
                <w:color w:val="auto"/>
              </w:rPr>
            </w:pPr>
          </w:p>
        </w:tc>
      </w:tr>
      <w:tr>
        <w:trPr>
          <w:trHeight w:val="193"/>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in connection with the Vertex Agreement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1,618,613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center"/>
              <w:ind w:left="41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19,407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19,407</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early exercised options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33,416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center"/>
              <w:ind w:left="41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r>
        <w:trPr>
          <w:trHeight w:val="193"/>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138,361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center"/>
              <w:ind w:left="41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common stock under the employee stock purchase plan</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38,061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center"/>
              <w:ind w:left="41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8"/>
                <w:szCs w:val="18"/>
                <w:color w:val="auto"/>
              </w:rPr>
            </w:pPr>
          </w:p>
        </w:tc>
        <w:tc>
          <w:tcPr>
            <w:tcW w:w="800" w:type="dxa"/>
            <w:vAlign w:val="bottom"/>
            <w:gridSpan w:val="2"/>
          </w:tcPr>
          <w:p>
            <w:pPr>
              <w:jc w:val="center"/>
              <w:ind w:left="41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13,111</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center"/>
              <w:ind w:left="41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2,252</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2,252</w:t>
            </w:r>
          </w:p>
        </w:tc>
        <w:tc>
          <w:tcPr>
            <w:tcW w:w="0" w:type="dxa"/>
            <w:vAlign w:val="bottom"/>
          </w:tcPr>
          <w:p>
            <w:pPr>
              <w:spacing w:after="0"/>
              <w:rPr>
                <w:sz w:val="1"/>
                <w:szCs w:val="1"/>
                <w:color w:val="auto"/>
              </w:rPr>
            </w:pPr>
          </w:p>
        </w:tc>
      </w:tr>
      <w:tr>
        <w:trPr>
          <w:trHeight w:val="193"/>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800" w:type="dxa"/>
            <w:vAlign w:val="bottom"/>
            <w:gridSpan w:val="2"/>
          </w:tcPr>
          <w:p>
            <w:pPr>
              <w:jc w:val="center"/>
              <w:ind w:left="41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(6,685)</w:t>
            </w:r>
          </w:p>
        </w:tc>
        <w:tc>
          <w:tcPr>
            <w:tcW w:w="0" w:type="dxa"/>
            <w:vAlign w:val="bottom"/>
          </w:tcPr>
          <w:p>
            <w:pPr>
              <w:spacing w:after="0"/>
              <w:rPr>
                <w:sz w:val="1"/>
                <w:szCs w:val="1"/>
                <w:color w:val="auto"/>
              </w:rPr>
            </w:pPr>
          </w:p>
        </w:tc>
      </w:tr>
      <w:tr>
        <w:trPr>
          <w:trHeight w:val="23"/>
        </w:trPr>
        <w:tc>
          <w:tcPr>
            <w:tcW w:w="40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33,437,296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center"/>
              <w:ind w:left="477"/>
              <w:spacing w:after="0"/>
              <w:rPr>
                <w:sz w:val="20"/>
                <w:szCs w:val="20"/>
                <w:color w:val="auto"/>
              </w:rPr>
            </w:pPr>
            <w:r>
              <w:rPr>
                <w:rFonts w:ascii="Times New Roman" w:cs="Times New Roman" w:eastAsia="Times New Roman" w:hAnsi="Times New Roman"/>
                <w:sz w:val="13"/>
                <w:szCs w:val="13"/>
                <w:color w:val="auto"/>
                <w:w w:val="91"/>
              </w:rPr>
              <w:t>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437,132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(194,970)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242,360</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w w:val="99"/>
              </w:rPr>
              <w:t>ENTRADA THERAPEUTICS, INC.</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7960" w:type="dxa"/>
            <w:vAlign w:val="bottom"/>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7960" w:type="dxa"/>
            <w:vAlign w:val="bottom"/>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86"/>
        </w:trPr>
        <w:tc>
          <w:tcPr>
            <w:tcW w:w="7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63"/>
        </w:trPr>
        <w:tc>
          <w:tcPr>
            <w:tcW w:w="79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0"/>
        </w:trPr>
        <w:tc>
          <w:tcPr>
            <w:tcW w:w="7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(94,616)</w:t>
            </w:r>
          </w:p>
        </w:tc>
      </w:tr>
      <w:tr>
        <w:trPr>
          <w:trHeight w:val="263"/>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0"/>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63"/>
        </w:trPr>
        <w:tc>
          <w:tcPr>
            <w:tcW w:w="7960" w:type="dxa"/>
            <w:vAlign w:val="bottom"/>
            <w:shd w:val="clear" w:color="auto" w:fill="CCEEFF"/>
          </w:tcPr>
          <w:p>
            <w:pPr>
              <w:ind w:left="200"/>
              <w:spacing w:after="0" w:line="207"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9,895</w:t>
            </w:r>
          </w:p>
        </w:tc>
      </w:tr>
      <w:tr>
        <w:trPr>
          <w:trHeight w:val="257"/>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amortization of premium (accretion of discount) on marketable securities</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57"/>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6"/>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Collaboration receivable</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(14,022)</w:t>
            </w:r>
          </w:p>
        </w:tc>
      </w:tr>
      <w:tr>
        <w:trPr>
          <w:trHeight w:val="250"/>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 operating leases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7,651</w:t>
            </w:r>
          </w:p>
        </w:tc>
      </w:tr>
      <w:tr>
        <w:trPr>
          <w:trHeight w:val="263"/>
        </w:trPr>
        <w:tc>
          <w:tcPr>
            <w:tcW w:w="7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r>
      <w:tr>
        <w:trPr>
          <w:trHeight w:val="250"/>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5,287</w:t>
            </w:r>
          </w:p>
        </w:tc>
      </w:tr>
      <w:tr>
        <w:trPr>
          <w:trHeight w:val="263"/>
        </w:trPr>
        <w:tc>
          <w:tcPr>
            <w:tcW w:w="7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r>
      <w:tr>
        <w:trPr>
          <w:trHeight w:val="250"/>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139,976</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(7,451)</w:t>
            </w:r>
          </w:p>
        </w:tc>
      </w:tr>
      <w:tr>
        <w:trPr>
          <w:trHeight w:val="256"/>
        </w:trPr>
        <w:tc>
          <w:tcPr>
            <w:tcW w:w="7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139,803</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(93,786)</w:t>
            </w: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3"/>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r>
      <w:tr>
        <w:trPr>
          <w:trHeight w:val="250"/>
        </w:trPr>
        <w:tc>
          <w:tcPr>
            <w:tcW w:w="7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(407,207)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(221,977)</w:t>
            </w:r>
          </w:p>
        </w:tc>
      </w:tr>
      <w:tr>
        <w:trPr>
          <w:trHeight w:val="257"/>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274,426</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76,214</w:t>
            </w:r>
          </w:p>
        </w:tc>
      </w:tr>
      <w:tr>
        <w:trPr>
          <w:trHeight w:val="250"/>
        </w:trPr>
        <w:tc>
          <w:tcPr>
            <w:tcW w:w="7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(138,395)</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(148,650)</w:t>
            </w:r>
          </w:p>
        </w:tc>
      </w:tr>
      <w:tr>
        <w:trPr>
          <w:trHeight w:val="24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50"/>
        </w:trPr>
        <w:tc>
          <w:tcPr>
            <w:tcW w:w="7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Proceeds from issuance of common stock in connection with the Vertex Agreement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50"/>
        </w:trPr>
        <w:tc>
          <w:tcPr>
            <w:tcW w:w="79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Proceeds from issuance of common stock under the employee stock purchase plan</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56"/>
        </w:trPr>
        <w:tc>
          <w:tcPr>
            <w:tcW w:w="7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21,037</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(241,957)</w:t>
            </w:r>
          </w:p>
        </w:tc>
      </w:tr>
      <w:tr>
        <w:trPr>
          <w:trHeight w:val="25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49,107</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291,064</w:t>
            </w:r>
          </w:p>
        </w:tc>
      </w:tr>
      <w:tr>
        <w:trPr>
          <w:trHeight w:val="25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71,552</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49,107</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0"/>
        </w:trPr>
        <w:tc>
          <w:tcPr>
            <w:tcW w:w="7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63"/>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77,584</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Right-of-use assets surrendered as part of lease modification</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9,445</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Recognition of right-of-use assets upon adoption of ASC 842</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32,991</w:t>
            </w:r>
          </w:p>
        </w:tc>
      </w:tr>
      <w:tr>
        <w:trPr>
          <w:trHeight w:val="250"/>
        </w:trPr>
        <w:tc>
          <w:tcPr>
            <w:tcW w:w="7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Transfer of deposits for equipment from operating to investing cash flows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63"/>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Vesting of options early exercised subject to repurchase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43"/>
        </w:trPr>
        <w:tc>
          <w:tcPr>
            <w:tcW w:w="7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14,717</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10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07" w:right="14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ENTRADA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Entrada Therapeutics, Inc. (Entrada or the Company) is a clinical-stage biopharmaceutical company aiming to transform the lives of patients by establishing a new class of medicines which engage intracellular targets that have long been considered inaccessible. The Company’s Endosomal Escape Vehicle (EEV™)-therapeutics are designed to enable the efficient delivery of a wide range of therapeutics into a variety of organs and tissues, resulting in an improved therapeutic index. The Company was incorporated in Delaware on September 22, 2016 and its principal offices are located in Boston, Massachusetts.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Since its inception, the Company has devoted substantially all of its resources to its research and development efforts relating to its proprietary, highly versatile and modular EEV platform (EEV Platform), advancing development of its portfolio of programs and general and administrative support for these operations, including raising capital. The Company is subject to risks and uncertainties common to early-stage companies in the biotechnology industry, including, but not limited to, technical risks associated with the successful research, development and manufacturing of therapeutic candidates, development by competitors of new technological innovations, dependence on key personnel, protection of proprietary technology, compliance with government regulations and the ability to secure additional capital to fund operations. Therapeutic candidates currently under development will require significant additional research and development efforts, including extensive preclinical and clinical testing and regulatory approval prior to commercialization. These efforts will require significant amounts of additional capital, adequate personnel and infrastructure. Even if the Company’s product development efforts are successful, it is uncertain when, if ever, the Company will realize revenue from product sales.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 accordance with Accounting Standards Codification (ASC) 205-40,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the Company evaluated whether there are conditions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events, considered in the aggregate, that raise substantial doubt about its ability to continue as a going concern within one year after the date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 are issued. The Company has incurred significant net losses since its inception, including net losses of $6.7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$94.6 million for the years ended December 31, 2023 and 2022, respectively. As of December 31, 2023, the Company had an accumulated deficit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$195.0 million. To date, the Company has funded its operations primarily through the sale of equity securities and collaboration payments. Other than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recognition of revenue related to the collaboration payments received during the year ended December 31, 2023, the Company expects to continue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generate operating losses and negative operating cash flows for the foreseeable future.</w:t>
      </w:r>
    </w:p>
    <w:p>
      <w:pPr>
        <w:spacing w:after="0" w:line="207" w:lineRule="exact"/>
        <w:rPr>
          <w:sz w:val="20"/>
          <w:szCs w:val="20"/>
          <w:color w:val="auto"/>
        </w:rPr>
      </w:pPr>
    </w:p>
    <w:p>
      <w:pPr>
        <w:ind w:right="280" w:firstLine="648"/>
        <w:spacing w:after="0" w:line="255" w:lineRule="auto"/>
        <w:rPr>
          <w:sz w:val="20"/>
          <w:szCs w:val="20"/>
          <w:color w:val="auto"/>
        </w:rPr>
      </w:pPr>
      <w:r>
        <w:rPr>
          <w:rFonts w:ascii="Times New Roman" w:cs="Times New Roman" w:eastAsia="Times New Roman" w:hAnsi="Times New Roman"/>
          <w:sz w:val="18"/>
          <w:szCs w:val="18"/>
          <w:color w:val="auto"/>
        </w:rPr>
        <w:t>The Company expects that its cash, cash equivalents, and marketable securities of $352.0 million as of December 31, 2023 will be sufficient to fund its operations and capital expenditure requirements for at least the next twelve months from the date of issuance of these consolidated financial statements. The Company will need additional financing to support its continuing operations and pursue its business strategy and may pursue additional cash resources through a combination of equity offerings, debt financings, collaborations, strategic alliances, licensing, or other arrangements. The Company may be unable to raise additional funds or enter into such other agreements when needed or on favorable terms or at all. The inability to raise capital as and when needed would have a negative impact on the Company’s financial condition and its ability to pursue its business strategy. The Company will need to generate significant revenue to achieve profitability, and it may never do so.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reflect the operations of the Company and have been prepared in conformity with generally accepted accounting principles in the United States of America (GAAP). Any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reference in these notes to applicable guidance is meant to refer to the authoritative GAAP as found in the ASC and Accounting Standards Update (ASU) of the Financial Accounting Standards Board (FASB).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those of the Company and its wholly-owned subsidiary. All intercompany balances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liabilities, revenue and expenses,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estimates related to revenue recognition, accrual and prepayment of research and development expenses, the valuation of stock-based compensation and income taxes.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Changes in estimates are recorded in the period in which they become known. Actual results may differ from those estimates or assumptions.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Company manages its operations as a single segment. The Company’s chief operating decision maker, its Chief Executive Officer, manages the Company’s operations on a consolidated basis for the purposes of assessing performance and making operating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To date, all revenue has been generated from the Company's Strategic Collaboration and License Agreement with Vertex, which closed in February 2023 and was amended in October 2023 (Vertex Agreement), and falls within the scope of ASC Topic 606, "Revenue from Contracts with Customers" (ASC 606), under which the Company licensed rights to VX-670 and performs research and development services. The terms of this arrangement includes a non-refundable upfront payment, reimbursement for research and development costs; development, regulatory, and commercial milestone payments; and royalties on net sales of licensed products.</w:t>
      </w:r>
    </w:p>
    <w:p>
      <w:pPr>
        <w:spacing w:after="0" w:line="183"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to which it is entitled in exchange for the goods or services it transfers to the customer.</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For contracts within the scope of ASC 606, the Company assesses the goods or services promised within each contract and determines those that are performance obligations. Arrangements that include rights to additional goods or services that are exercisable at a customer’s discretion are generally considered options. The Company assesses if these options provide a material right to the customer and if so, they are considered separate performance obligations. The identification of material rights requires judgments related to the determination of the value of the underlying license relative to the option exercise price, including assumptions about technical feasibility and the probability of developing a candidate that would be subject to the option rights. The exercise of a material right is accounted for as a contract modification for accounting purposes.</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promised goods or services are separable from the other aspects of the contractual relationship. Promised goods and services are considered distinct</w:t>
      </w:r>
    </w:p>
    <w:p>
      <w:pPr>
        <w:sectPr>
          <w:pgSz w:w="11900" w:h="16838" w:orient="portrait"/>
          <w:cols w:equalWidth="0" w:num="1">
            <w:col w:w="11180"/>
          </w:cols>
          <w:pgMar w:left="320" w:top="60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07" w:right="39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provided that: (i) the customer can benefit from the good or service either on its own or together with other resources that are readily available to the customer (that is, the good or service is capable of being distinct) and (ii) the entity’s promise to transfer the good or service to the customer is separately identifiable from other promises in the contract (that is, the promise to transfer the good or service is distinct within the context of the contract). In assessing whether a promised good or service is distinct, the Company considers factors such as the research, manufacturing and commercialization capabilities of the collaboration partner and the availability of the associated expertise in the general marketplace. The Company also considers the intended benefit of the contract in assessing whether a promised good or service is separately identifiable from other promises in the contract. If a promised good or service is not distinct, an entity is required to combine that good or service with other promised goods or services until it identifies a bundle of goods or services that is distinct.</w:t>
      </w:r>
    </w:p>
    <w:p>
      <w:pPr>
        <w:spacing w:after="0" w:line="19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estimates the transaction price based on the amount expected to be received for transferring the promised goods or services in the contract. The consideration may include fixed consideration or variable consideration. For contracts within the scope of ASC 606 that contain elements within the scope of a different ASC Topic, the Company excludes the fair value such elements from the transaction price.</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 as a change in estimate.</w:t>
      </w:r>
    </w:p>
    <w:p>
      <w:pPr>
        <w:spacing w:after="0" w:line="18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If an arrangement includes development or regulatory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in the period in which the Company deems the milestone to be probable. Milestone payments that are not within the Company’s control or a customer's control, such as regulatory approvals, are generally not considered probable of being achieved until those approvals are received.</w:t>
      </w:r>
    </w:p>
    <w:p>
      <w:pPr>
        <w:spacing w:after="0" w:line="18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transaction price is allocated to the identified performance obligations in proportion to their standalone selling prices (SSP) on a relative SSP basis. SSP is determined at contract inception and is not updated to reflect changes between contract inception and when the performance obligations are satisfied. Determining the SSP for performance obligations may require significant judgment. In developing the SSP for a performance obligation, the Company considers applicable market conditions and relevant entity-specific factors, including factors that were contemplated in negotiating the agreement with the customer and estimated costs. The Company validates the SSP for performance obligations by evaluating whether changes in the key assumptions used to determine the SSP will have a significant effect on the allocation of arrangement consideration between multiple performance obligations.</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arrangements with licenses of intellectual property that include sales-based royalties, including milestone payments based on the level of sales, and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 Up-front and milestone payments are recorded as deferred revenue upon receipt or when due until the Company performs its obligations under these arrangements.</w:t>
      </w:r>
    </w:p>
    <w:p>
      <w:pPr>
        <w:spacing w:after="0" w:line="180"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Amounts are recorded as a collaboration receivable when the Company's right to consideration is unconditional. To date, the Company has not recorded any credit losses on its collaboration receivables.</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Company then recognizes the revenue allocated to each performance when (or as) each performance obligation is satisfied, either at a point in time or over time. Any over time recognition is based on the use of an output or input method.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Off-Balance Sheet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 of credit risk consist primarily of cash, cash equivalents, restricted cash and marketable securities. Periodically, the Company may maintain deposits in financial institutions in excess of government insured limits. Management believes that the Company is not exposed to significant credit risk as the Company’s deposits are held at financial institutions that management believes to be of high credit quality, and the Company has not experienced any losses on these deposits. The Company’s marketable securities primarily consist of corporate bonds and U.S. government agency securities and treasuries, and potentially subject the Company to concentrations of credit risk. Our cash management and investment policy limits investment instruments to investment-grade securities with the objective to preserve capital and to maintain liquidity until the funds can be used in business operations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no off-balance sheet risk, such as foreign exchange contracts, option contracts, or other foreign-hedging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jc w:val="both"/>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with a remaining maturity of 90 days or less at the date of purchase to be cash equivalents. At December 31, 2023 and 2022 cash and cash equivalents include standard checking accounts and money market account funds that invest primarily in U.S. government-backed securities and treasuries.</w:t>
      </w:r>
    </w:p>
    <w:p>
      <w:pPr>
        <w:spacing w:after="0" w:line="169"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As of December 31, 2023 and 2022, restricted cash represents collateral provided for a letter of credit issued as a security deposit in connection with the Company’s lease of its corporate facilities located at One Design Center Place, Boston, Massachusetts. A reconciliation of the cash, cash equivalents, and restricted cash reported within the balance sheet that sum to the total of the same amounts shown in the statement of cash flows is as follows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45,157</w:t>
            </w:r>
          </w:p>
        </w:tc>
      </w:tr>
      <w:tr>
        <w:trPr>
          <w:trHeight w:val="23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w:t>
            </w:r>
          </w:p>
        </w:tc>
      </w:tr>
      <w:tr>
        <w:trPr>
          <w:trHeight w:val="248"/>
        </w:trPr>
        <w:tc>
          <w:tcPr>
            <w:tcW w:w="8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49,107</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Investments in marketable securities are classified as available-for-sale. Available-for-sale securities are measured and reported at fair value using quoted prices in active markets for similar securities. Unrealized gains and losses on available-for-sale securities are reported as a separate component of stockholders’ equity. Premiums or discounts from par value are amortized or accreted to investment income and/or expense over the life of the underlying investment. All of the Company’s marketable securities are available to the Company for use in current operations. As a result, the Company classified all of these securities as current assets even though the stated maturity of some individual securities may be one year or more beyond the balance sheet date. Realized gains and losses are determined using the specific identification method and are included in interest and other income in our consolidated statement of operations.</w:t>
      </w:r>
    </w:p>
    <w:p>
      <w:pPr>
        <w:spacing w:after="0" w:line="195"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The Company assesses impairment for its marketable securities under the available-for-sale debt security impairment model in ASC 326 as of each reporting date. Based on the model, we determine if a portion of any decline in fair value below carrying value is the result of a credit loss. The Company records credit losses in the consolidated statements of operations and comprehensive loss as credit loss expense within interest and other income, which is limited to the difference between the fair value and the amortized cost of the security. To date, the Company has not recorded any credit losses on its available-for-sale debt securities.</w:t>
      </w:r>
    </w:p>
    <w:p>
      <w:pPr>
        <w:spacing w:after="0" w:line="181" w:lineRule="exact"/>
        <w:rPr>
          <w:sz w:val="20"/>
          <w:szCs w:val="20"/>
          <w:color w:val="auto"/>
        </w:rPr>
      </w:pPr>
    </w:p>
    <w:p>
      <w:pPr>
        <w:jc w:val="both"/>
        <w:ind w:right="320" w:firstLine="648"/>
        <w:spacing w:after="0" w:line="262" w:lineRule="auto"/>
        <w:rPr>
          <w:sz w:val="20"/>
          <w:szCs w:val="20"/>
          <w:color w:val="auto"/>
        </w:rPr>
      </w:pPr>
      <w:r>
        <w:rPr>
          <w:rFonts w:ascii="Times New Roman" w:cs="Times New Roman" w:eastAsia="Times New Roman" w:hAnsi="Times New Roman"/>
          <w:sz w:val="17"/>
          <w:szCs w:val="17"/>
          <w:color w:val="auto"/>
        </w:rPr>
        <w:t>Accrued interest receivable related to the Company's available-for-sale debt securities is presented within prepaid expenses and other current assets on the Company's consolidated balance sheets. The Company has elected the practical expedient available to exclude accrued interest receivable from both the fair value and the amortized cost basis of available-for-sale debt securities for the purposes of identifying and measuring any impairment.</w:t>
      </w:r>
    </w:p>
    <w:p>
      <w:pPr>
        <w:spacing w:after="0" w:line="1"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The Company writes off accrued interest receivable once it has determined that the asset is not realizable. Any write offs of accrued interest receivable are recorded by reversing interest income, recognizing credit loss expense, or a combination of both. To date, the Company has not written off any accrued interest receivables associated with its marketable securities.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assets or liability and are developed based on the best information available under the circumstances. ASC 820 identifies fair value as the price that would be received to sell an asset or paid to transfer a liability, in an orderly transaction between market participants at the measurement date.</w:t>
      </w:r>
    </w:p>
    <w:p>
      <w:pPr>
        <w:spacing w:after="0" w:line="184"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As a basis for considering market participant assumptions in fair value measurements, ASC 820 establishes a three-tiered value hierarchy that distinguishes between the following:</w:t>
      </w:r>
    </w:p>
    <w:p>
      <w:pPr>
        <w:spacing w:after="0" w:line="162"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7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evaluates transfers between levels at the end of each reporting period. There were no transfers of financial instruments between levels during the years ended December 31, 2023 and 2022. The carrying amounts of accounts payable and accrued expenses approximate their fair values due to their short-term nature.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 line method over the estimated useful life of each asset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20" w:type="dxa"/>
            <w:vAlign w:val="bottom"/>
            <w:tcBorders>
              <w:bottom w:val="single" w:sz="8" w:color="CCEEFF"/>
            </w:tcBorders>
          </w:tcPr>
          <w:p>
            <w:pPr>
              <w:spacing w:after="0"/>
              <w:rPr>
                <w:sz w:val="21"/>
                <w:szCs w:val="21"/>
                <w:color w:val="auto"/>
              </w:rPr>
            </w:pPr>
          </w:p>
        </w:tc>
        <w:tc>
          <w:tcPr>
            <w:tcW w:w="5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r>
      <w:tr>
        <w:trPr>
          <w:trHeight w:val="25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5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5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6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5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Lesser of estimated useful life or remaining lease term</w:t>
            </w:r>
          </w:p>
        </w:tc>
      </w:tr>
    </w:tbl>
    <w:p>
      <w:pPr>
        <w:spacing w:after="0" w:line="30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Costs for capital assets not yet placed into service are capitalized as construction-in-progress and depreciated once placed into service. Upon retirement or sale, the cost of assets disposed of and the related accumulated depreciation are removed from the accounts and any resulting gain or loss is included in other income (expense), net. Expenditures for repairs and maintenance that do not improve or extend the life of the respective assets are expensed in operations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right="240" w:firstLine="648"/>
        <w:spacing w:after="0" w:line="261" w:lineRule="auto"/>
        <w:rPr>
          <w:sz w:val="20"/>
          <w:szCs w:val="20"/>
          <w:color w:val="auto"/>
        </w:rPr>
      </w:pPr>
      <w:r>
        <w:rPr>
          <w:rFonts w:ascii="Times New Roman" w:cs="Times New Roman" w:eastAsia="Times New Roman" w:hAnsi="Times New Roman"/>
          <w:sz w:val="18"/>
          <w:szCs w:val="18"/>
          <w:color w:val="auto"/>
        </w:rPr>
        <w:t>At the inception of a lease arrangement, the Company determines whether the arrangement is or contains a lease based on the unique facts and circumstances present in the arrangement. Leases with a term greater than one year are recognized on the balance sheet as right-of-use assets and current and non-current lease liabilities, as applicable. The Company has elected not to recognize leases with an original term of one year or less on the balance sheet.</w:t>
      </w:r>
    </w:p>
    <w:p>
      <w:pPr>
        <w:spacing w:after="0" w:line="18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Operating lease liabilities and their corresponding right-of-use assets are initially recorded based on the present value of lease payments over the expected remaining lease term. Certain adjustments to the right-of-use asset may be</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required for items such as incentives received. The interest rate implicit in lease contracts is typically not readily determinable. As a result, the Company utilizes its incremental borrowing rate to discount lease payments, which reflects the fixed rate at which the Company could borrow on a collateralized basis the amount of the lease payments in the same currency, for a similar term, in a similar economic environment. To estimate its incremental borrowing rate, a credit rating applicable to the Company is estimated using a synthetic credit rating analysis since the Company does not currently have a rating agency-based credit rating. Prospectively, the Company adjusts the right-of-use assets for straight-line rent expense or any incentives received and remeasures the lease liability at the net present value using the same incremental borrowing rate that was in effect as of the lease commencement or transition date. Lease expense for lease payments is recognized on a straight-line basis over the assigned lease term.</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Assumptions made by the Company at the commencement date are re-evaluated upon occurrence of certain events, including a lease modification. Changes to the terms and conditions of a lease that result in a change in the scope of or the consideration for the lease result in a lease modification. A lease modification that grants the lessee an additional right of use not included in the original lease and when lease payments increase commensurate with the standalone price for the additional right of use is treated as a separate contract. When a lease modification results in a separate contract, it is accounted for in the same manner as a new lease. For any lease modifications that aren't accounted for as separate contracts, the Company remeasures its right-of-use assets and lease liabilities as of the modification date. The Company assesses its right-of-use assets for impairment in a manner consistent with its assessment for long-lived assets held and used in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evaluates its long-lived assets, which consist primarily of property and equipment, for 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There were no impairment losses recognized during the years ended December 31, 2023 and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29"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Company capitalizes incremental legal, professional accounting and other third-party fees that are incurred in the course of preparing for a financing as other non-current assets until the offering is consummated. At the time of the completion of the offering, the costs are reclassified as a reduction of the proceeds of the financing as part of additional paid-in-capital. Should the offering be terminated, deferred offering costs are charged to operations during the period in which the offering is terminated.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liabilities for legal and other contingencies when information available to the Company indicates that it is probable that a liability has been incurred and the amount of loss can be reasonably estimated. Legal costs in connection with legal and other contingencies are expensed as costs are incurred. No liabilities for legal and other contingencies were accrued as of December 31, 2023 and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contract research organizations (CROs),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costs are charged to expense as incurred. Research and development costs consist of direct and allocated costs incurred in performing research and development activities, including salaries and bonuses, stock-based compensation, employee benefits, facilities costs, third-party license fees related to technology with no alternative future use, laboratory supplies, depreciation, manufacturing expenses, preclinical expenses, clinical expenses, consulting and other contracted services. Non-refundable 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w:t>
      </w:r>
    </w:p>
    <w:p>
      <w:pPr>
        <w:spacing w:after="0" w:line="18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related contracts with third parties. These agreements are cancellable with prior written notice, and related fees are recorded as research and development expenses as incurred. Payments for these agreements are based on the terms of the individual contracts, which may differ from the pattern of costs incurred, and payments made in advance of performance are reflected in the accompanying consolidated balance sheets as prepaid and other assets or accrued liabilities. When evaluating the adequacy of the accrued liabilities and prepaid expenses, the Company analyzes progress of the studies, including the phase or completion of events, invoices received and contracted costs. Significant judgments and estimates are made in determining the accrued and prepaid balances at the end of any reporting period. Actual results could differ from the Company’s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Company’s stock-based compensation program allows for grants of stock options and restricted stock units. Grants are awarded to employees and non-employees, including the Company’s board of directors.</w:t>
      </w:r>
    </w:p>
    <w:p>
      <w:pPr>
        <w:spacing w:after="0" w:line="16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in accordance with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ASC 718 requires all stock-based payments to employees, non-employees and directors, to be recognized as expense in the consolidated statements of operations based on their grant date fair values. The Company estimates the fair value of options granted using the Black-Scholes option-pricing model (Black-Scholes) for stock option grants to both employees and non-employees. The fair value of the Company’s common stock is used to determine the fair value of restricted stock units.</w:t>
      </w:r>
    </w:p>
    <w:p>
      <w:pPr>
        <w:spacing w:after="0" w:line="18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Company’s stock-based compensation awards are subject to service-based vesting conditions. Compensation expense related to awards to employees, directors and non-employees with service-based vesting conditions is recognized on a straight-line basis based on the grant date fair value over the associated service period of the award, which is generally the vesting term.</w:t>
      </w:r>
    </w:p>
    <w:p>
      <w:pPr>
        <w:spacing w:after="0" w:line="17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Black-Scholes requires inputs based on certain subjective assumptions, including (i) the expected stock price volatility, (ii) the expected term of the award, (iii) the risk-free interest rate and (iv) expected dividends. The Company determines the expected volatility using the historical volatility of a peer group of comparable publicly traded companies with comparable characteristics and with historical share price information that approximates the expected term of the stock-based awards. The Company uses the simplified method as prescribed by the SEC Staff Accounting Bulletin No. 107, Share-Based Payment, to calculate the expected term for options granted to employees and non-employees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The Company recognizes forfeitures as they occur.</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Prior to the Company’s IPO, there was no public market for its common stock, and consequently, the estimated fair value of its common stock was determined by the board of directors as of the date of each option grant, with input from management, considering third-party valuations of its common stock as well as its board of directors’ assessment of additional objective and subjective factors that it believed were relevant and which may have changed from the date of the most recent third-party valuation through the date of the grant. These third-party valuations were performed in accordance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xml:space="preserve">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 xml:space="preserve">Valuation of Privately-Held-Company Equity Securities Issued as Compensation </w:t>
      </w:r>
      <w:r>
        <w:rPr>
          <w:rFonts w:ascii="Times New Roman" w:cs="Times New Roman" w:eastAsia="Times New Roman" w:hAnsi="Times New Roman"/>
          <w:sz w:val="18"/>
          <w:szCs w:val="18"/>
          <w:color w:val="auto"/>
        </w:rPr>
        <w:t>(Practice Aid). The Practice Aid identifies various available methods for allocating the enterprise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across classes of series of capital stock in determining the fair value of the Company’s common stock at each valuation date.</w:t>
      </w:r>
    </w:p>
    <w:p>
      <w:pPr>
        <w:spacing w:after="0" w:line="17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Subsequent to the Company’s IPO, the fair value of the common stock underlying the stock-based awards is the closing price of the Company’s common stock on the date of grant.</w:t>
      </w:r>
    </w:p>
    <w:p>
      <w:pPr>
        <w:spacing w:after="0" w:line="16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in the same manner in which the award recipient’s payroll costs are classified or in which the award recipient’s service payments are classified.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Income taxes are recorded in accordance with FASB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provides for deferred taxes using an asset and liability approach. 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share,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 During periods of loss, there is no allocation required under the two-class method since the participating securities do not have a contractual obligation to fund the losses of the Company.</w:t>
      </w:r>
    </w:p>
    <w:p>
      <w:pPr>
        <w:spacing w:after="0" w:line="18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common shares outstanding for the period, including potential dilutive common shares assuming the dilutive effect of common stock equivalents. Given that the Company recorded a net loss for each of the periods presented, there is no difference between basic and diluted net loss per share since the effect of common stock equivalents would be antidilutive and are, therefore, excluded from the diluted net loss per share calculation.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Comprehensive loss includes net loss and other comprehensive loss. For both the year ended December 31, 2023 and the year ended December 31, 2022, comprehensive loss consists of net loss and changes in unrealized gains and losses on marketable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qualifies as an “emerging growth company” (EGC), as defined in the Jumpstart Our Business Startups Act (JOBS Act) and may take advantage of certain exemptions from various reporting requirements that are applicable to other public companies that are not EGCs. The Company may take advantage of these exemptions until it is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no longer an EGC under Section 107 of the JOBS Act, which provides that an EGC can take advantage of the extended transition period afforded by the JOBS Act for the implementation of new or revised accounting standards. The Company has elected to avail itself of the extended transition period and, therefore, while the Company is an EGC it will not be subject to new or revised accounting standards the same time that they become applicable to other public companies that are not EGCs, unless it chooses to early adopt a new or revised accounting standard. As a result of this election, the consolidated financial statements may not be comparable to companies that comply with public company FASB standards’ effective 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No. 2016-13, Financial Instruments - Credit Losses (Topic 326)</w:t>
      </w:r>
    </w:p>
    <w:p>
      <w:pPr>
        <w:spacing w:after="0" w:line="22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 xml:space="preserve">Effective January 1, 2023, the Company adopted ASU 2016-13, </w:t>
      </w:r>
      <w:r>
        <w:rPr>
          <w:rFonts w:ascii="Times New Roman" w:cs="Times New Roman" w:eastAsia="Times New Roman" w:hAnsi="Times New Roman"/>
          <w:sz w:val="18"/>
          <w:szCs w:val="18"/>
          <w:i w:val="1"/>
          <w:iCs w:val="1"/>
          <w:color w:val="auto"/>
        </w:rPr>
        <w:t>Financial Instruments - Credit Losses (Topic 326): Measurement of 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Financial Instruments (ASU 2016-13)</w:t>
      </w:r>
      <w:r>
        <w:rPr>
          <w:rFonts w:ascii="Times New Roman" w:cs="Times New Roman" w:eastAsia="Times New Roman" w:hAnsi="Times New Roman"/>
          <w:sz w:val="18"/>
          <w:szCs w:val="18"/>
          <w:color w:val="auto"/>
        </w:rPr>
        <w:t>. This ASU requires that credit losses for financial instruments measured at amortized cost be reported using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losses model rather than the incurred losses model that was previously used, and establishes additional disclosures related to credit risks. For available-for-sale debt securities with unrealized losses, this standard requires allowances to be recorded for any credit losses instead of reducing the amortized cost of the investment. ASU 2016-13 limits the amount of credit losses to be recognized for available-for-sale debt securities to the amount by which carrying value exceeds fair value and requires the reversal of previously recognized credit losses if fair value increases. This guidance did not have an impact on the Company's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No. 2022-03, Fair Value Measurement (Topic 820)</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Effective January 1, 2023, the Company adopted ASU No. 2022-03</w:t>
      </w:r>
      <w:r>
        <w:rPr>
          <w:rFonts w:ascii="Times New Roman" w:cs="Times New Roman" w:eastAsia="Times New Roman" w:hAnsi="Times New Roman"/>
          <w:sz w:val="18"/>
          <w:szCs w:val="18"/>
          <w:i w:val="1"/>
          <w:iCs w:val="1"/>
          <w:color w:val="auto"/>
        </w:rPr>
        <w:t>, Fair Value Measurement (Topic 820): Fair Value Measurement of Equity</w:t>
      </w:r>
    </w:p>
    <w:p>
      <w:pPr>
        <w:spacing w:after="0" w:line="29"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i w:val="1"/>
          <w:iCs w:val="1"/>
          <w:color w:val="auto"/>
        </w:rPr>
        <w:t xml:space="preserve">Securities Subject to Contractual Sale Restrictions. </w:t>
      </w:r>
      <w:r>
        <w:rPr>
          <w:rFonts w:ascii="Times New Roman" w:cs="Times New Roman" w:eastAsia="Times New Roman" w:hAnsi="Times New Roman"/>
          <w:sz w:val="18"/>
          <w:szCs w:val="18"/>
          <w:color w:val="auto"/>
        </w:rPr>
        <w:t>This ASU clarifies that a contractual restriction on the sale of an investment in an equity security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considered part of the unit of account of the equity security and, therefore, is not considered in measuring its fair value. For additional information regarding the impact of the adoption of this ASU on our consolidated financial statements, refer to Note 12, </w:t>
      </w:r>
      <w:r>
        <w:rPr>
          <w:rFonts w:ascii="Times New Roman" w:cs="Times New Roman" w:eastAsia="Times New Roman" w:hAnsi="Times New Roman"/>
          <w:sz w:val="18"/>
          <w:szCs w:val="18"/>
          <w:i w:val="1"/>
          <w:iCs w:val="1"/>
          <w:color w:val="auto"/>
        </w:rPr>
        <w:t>Collaboration and License Agreements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standard-setting bodies that the Company adopts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 Unless otherwise discussed, the Company believes that the impact of recently issued standards that are not yet effective will not have a material impact on its consolidated financial statements and disclosures.</w:t>
      </w:r>
    </w:p>
    <w:p>
      <w:pPr>
        <w:spacing w:after="0" w:line="19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is intended to provide enhancements to annual income tax disclosures. In particular, the standard will require more detailed information in the income tax rate reconciliation, as well as the disclosure of income taxes paid disaggregated by jurisdiction, among other enhancements. The standard is effective for years beginning after December 15, 2024 and early adoption is permitted. The Company is currently evaluating the impact of the standard on the presentation of its consolidated financial statements and footnotes.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Company's marketable securities at December 31, 2023 and December 31, 2022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4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8"/>
        </w:trPr>
        <w:tc>
          <w:tcPr>
            <w:tcW w:w="4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4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4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260" w:type="dxa"/>
            <w:vAlign w:val="bottom"/>
          </w:tcPr>
          <w:p>
            <w:pPr>
              <w:spacing w:after="0"/>
              <w:rPr>
                <w:sz w:val="20"/>
                <w:szCs w:val="20"/>
                <w:color w:val="auto"/>
              </w:rPr>
            </w:pPr>
          </w:p>
        </w:tc>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235,586</w:t>
            </w: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6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25,437</w:t>
            </w: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securities with a maturity of one year or less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(70)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261,023</w:t>
            </w:r>
          </w:p>
        </w:tc>
      </w:tr>
      <w:tr>
        <w:trPr>
          <w:trHeight w:val="270"/>
        </w:trPr>
        <w:tc>
          <w:tcPr>
            <w:tcW w:w="4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15,582</w:t>
            </w: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7,762</w:t>
            </w: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securities with a maturity of greater than one year</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23,344</w:t>
            </w: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284,172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center"/>
              <w:ind w:left="1130"/>
              <w:spacing w:after="0"/>
              <w:rPr>
                <w:sz w:val="20"/>
                <w:szCs w:val="20"/>
                <w:color w:val="auto"/>
              </w:rPr>
            </w:pPr>
            <w:r>
              <w:rPr>
                <w:rFonts w:ascii="Times New Roman" w:cs="Times New Roman" w:eastAsia="Times New Roman" w:hAnsi="Times New Roman"/>
                <w:sz w:val="18"/>
                <w:szCs w:val="18"/>
                <w:color w:val="auto"/>
                <w:w w:val="99"/>
              </w:rPr>
              <w:t>(70)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284,367</w:t>
            </w: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4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8"/>
        </w:trPr>
        <w:tc>
          <w:tcPr>
            <w:tcW w:w="4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4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4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260" w:type="dxa"/>
            <w:vAlign w:val="bottom"/>
          </w:tcPr>
          <w:p>
            <w:pPr>
              <w:spacing w:after="0"/>
              <w:rPr>
                <w:sz w:val="20"/>
                <w:szCs w:val="20"/>
                <w:color w:val="auto"/>
              </w:rPr>
            </w:pPr>
          </w:p>
        </w:tc>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99,396</w:t>
            </w: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40,841</w:t>
            </w: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securities with a maturity of one year or less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140,237</w:t>
            </w:r>
          </w:p>
        </w:tc>
      </w:tr>
      <w:tr>
        <w:trPr>
          <w:trHeight w:val="270"/>
        </w:trPr>
        <w:tc>
          <w:tcPr>
            <w:tcW w:w="4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w:t>
            </w: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securities with a maturity of greater than one year</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w:t>
            </w: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145,612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143,555</w:t>
            </w: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both"/>
        <w:ind w:right="600" w:firstLine="648"/>
        <w:spacing w:after="0" w:line="250" w:lineRule="auto"/>
        <w:rPr>
          <w:sz w:val="20"/>
          <w:szCs w:val="20"/>
          <w:color w:val="auto"/>
        </w:rPr>
      </w:pPr>
      <w:r>
        <w:rPr>
          <w:rFonts w:ascii="Times New Roman" w:cs="Times New Roman" w:eastAsia="Times New Roman" w:hAnsi="Times New Roman"/>
          <w:sz w:val="18"/>
          <w:szCs w:val="18"/>
          <w:color w:val="auto"/>
        </w:rPr>
        <w:t>As of December 31, 2023, the Company had 20 marketable securities with a total fair market value of $101.7 million in an unrealized loss position. As of December 31, 2022, the Company had 32 marketable securities with a total fair market value of $143.6 million in an unrealized loss position.</w:t>
      </w:r>
    </w:p>
    <w:p>
      <w:pPr>
        <w:spacing w:after="0" w:line="190"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Company believes that any unrealized losses associated with the decline in value of its securities are temporary and primarily related to the change in market interest rates since purchase. The Company believes that it is more likely than not that it will be able to hold its debt securities to maturity and that there was no material change in the credit risk of the above instruments since January 1, 2023. Therefore, the Company anticipates a full recovery of the amortized cost basis of its debt securities at maturity and no allowance for credit losses was recognized.</w:t>
      </w:r>
    </w:p>
    <w:p>
      <w:pPr>
        <w:spacing w:after="0" w:line="177"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and December 31, 2022, $1.7 million and $0.6 million, respectively, of accrued interest receivable was included in prepaid expenses and other current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its assets and liabilities that are measured at fair value on a recurring basis and indicate the level within the fair value hierarchy of the valuation techniques the Company utilized to determine such fair value (in thousands):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0"/>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50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04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67,102</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67,102</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3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251,168</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251,168</w:t>
            </w:r>
          </w:p>
        </w:tc>
      </w:tr>
      <w:tr>
        <w:trPr>
          <w:trHeight w:val="257"/>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33,199</w:t>
            </w:r>
          </w:p>
        </w:tc>
        <w:tc>
          <w:tcPr>
            <w:tcW w:w="80" w:type="dxa"/>
            <w:vAlign w:val="bottom"/>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33,199</w:t>
            </w: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67,102</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284,367</w:t>
            </w:r>
          </w:p>
        </w:tc>
        <w:tc>
          <w:tcPr>
            <w:tcW w:w="80" w:type="dxa"/>
            <w:vAlign w:val="bottom"/>
          </w:tcPr>
          <w:p>
            <w:pPr>
              <w:spacing w:after="0"/>
              <w:rPr>
                <w:sz w:val="22"/>
                <w:szCs w:val="22"/>
                <w:color w:val="auto"/>
              </w:rPr>
            </w:pPr>
          </w:p>
        </w:tc>
        <w:tc>
          <w:tcPr>
            <w:tcW w:w="1120" w:type="dxa"/>
            <w:vAlign w:val="bottom"/>
            <w:tcBorders>
              <w:bottom w:val="single" w:sz="8" w:color="auto"/>
            </w:tcBorders>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351,469</w:t>
            </w: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09"/>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0"/>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50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504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44,907</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44,907</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99,396</w:t>
            </w:r>
          </w:p>
        </w:tc>
        <w:tc>
          <w:tcPr>
            <w:tcW w:w="80" w:type="dxa"/>
            <w:vAlign w:val="bottom"/>
          </w:tcPr>
          <w:p>
            <w:pPr>
              <w:spacing w:after="0"/>
              <w:rPr>
                <w:sz w:val="21"/>
                <w:szCs w:val="21"/>
                <w:color w:val="auto"/>
              </w:rPr>
            </w:pPr>
          </w:p>
        </w:tc>
        <w:tc>
          <w:tcPr>
            <w:tcW w:w="1120" w:type="dxa"/>
            <w:vAlign w:val="bottom"/>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99,396</w:t>
            </w:r>
          </w:p>
        </w:tc>
      </w:tr>
      <w:tr>
        <w:trPr>
          <w:trHeight w:val="257"/>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44,159</w:t>
            </w:r>
          </w:p>
        </w:tc>
        <w:tc>
          <w:tcPr>
            <w:tcW w:w="80" w:type="dxa"/>
            <w:vAlign w:val="bottom"/>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44,159</w:t>
            </w: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44,907</w:t>
            </w:r>
          </w:p>
        </w:tc>
        <w:tc>
          <w:tcPr>
            <w:tcW w:w="8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143,555</w:t>
            </w:r>
          </w:p>
        </w:tc>
        <w:tc>
          <w:tcPr>
            <w:tcW w:w="80" w:type="dxa"/>
            <w:vAlign w:val="bottom"/>
          </w:tcPr>
          <w:p>
            <w:pPr>
              <w:spacing w:after="0"/>
              <w:rPr>
                <w:sz w:val="22"/>
                <w:szCs w:val="22"/>
                <w:color w:val="auto"/>
              </w:rPr>
            </w:pPr>
          </w:p>
        </w:tc>
        <w:tc>
          <w:tcPr>
            <w:tcW w:w="1120" w:type="dxa"/>
            <w:vAlign w:val="bottom"/>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188,462</w:t>
            </w:r>
          </w:p>
        </w:tc>
      </w:tr>
      <w:tr>
        <w:trPr>
          <w:trHeight w:val="20"/>
        </w:trPr>
        <w:tc>
          <w:tcPr>
            <w:tcW w:w="5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40" w:right="240" w:hanging="332"/>
        <w:spacing w:after="0" w:line="302" w:lineRule="auto"/>
        <w:tabs>
          <w:tab w:leader="none" w:pos="332"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equivalent amounts above do not include $0.5 million and $0.3 million of cash related to checking accounts included in cash and cash equivalents as of December 31, 2023 and December 31, 2022. These amounts are excluded as no valuation is needed for cash in checking accounts.</w:t>
      </w:r>
    </w:p>
    <w:p>
      <w:pPr>
        <w:spacing w:after="0" w:line="15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Money market funds are classified within Level 1 of the fair value hierarchy because they are valued using quoted market prices in active markets. The Company measures its debt securities at fair value on a recurring basis using inputs that are observable or can be corroborated by observable market data and classifies those instruments within Level 2 of the fair value hierarchy.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at December 31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w:t>
            </w:r>
          </w:p>
        </w:tc>
      </w:tr>
      <w:tr>
        <w:trPr>
          <w:trHeight w:val="25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9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5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5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r>
      <w:tr>
        <w:trPr>
          <w:trHeight w:val="25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9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5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9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17,114</w:t>
            </w:r>
          </w:p>
        </w:tc>
        <w:tc>
          <w:tcPr>
            <w:tcW w:w="8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10,982</w:t>
            </w:r>
          </w:p>
        </w:tc>
      </w:tr>
      <w:tr>
        <w:trPr>
          <w:trHeight w:val="25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w:t>
            </w:r>
          </w:p>
        </w:tc>
      </w:tr>
      <w:tr>
        <w:trPr>
          <w:trHeight w:val="25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11,191</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7,681</w:t>
            </w:r>
          </w:p>
        </w:tc>
      </w:tr>
      <w:tr>
        <w:trPr>
          <w:trHeight w:val="21"/>
        </w:trPr>
        <w:tc>
          <w:tcPr>
            <w:tcW w:w="7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2023 and 2022 was $2.8 million and $1.9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at December 31 (in thousands):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9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w:t>
            </w: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r>
      <w:tr>
        <w:trPr>
          <w:trHeight w:val="25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professional service expenses</w:t>
            </w:r>
          </w:p>
        </w:tc>
        <w:tc>
          <w:tcPr>
            <w:tcW w:w="10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r>
      <w:tr>
        <w:trPr>
          <w:trHeight w:val="25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8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7,576</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Stock and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As of both December 31, 2023 and December 31, 2022, the Company’s certificate of incorporation, as amended and restated effective upon the completion of the IPO, authorized the Company to issue 150,000,000 shares of common stock, par value $0.0001 per share. The holders of common stock are entitled to one vote for each share held on all matters submitted to a vote of the stockholders. The holders of common stock do not have any cumulative voting rights. Holders of common stock are entitled to receive ratably any dividends declared by the board of directors out of funds legally available for that purpose, subject to any preferential dividend rights of any outstanding preferred stock. Common stock has no preemptive rights, conversion rights or other subscription rights or redemption or sinking fund provisions. In the event of liquidation, dissolution or winding up, holders of common stock will be entitled to share ratably in all assets remaining after payment of all debts and other liabilities and any liquidation preference of any outstanding preferred stock.</w:t>
      </w:r>
    </w:p>
    <w:p>
      <w:pPr>
        <w:spacing w:after="0" w:line="19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February 2023, in connection with the closing of the Vertex Agreement, the Company and Vertex also closed their Stock Purchase Agreement for the sale and issuance of 1,618,613 shares of Entrada's common stock (the “Shares”) to Vertex for an aggregate purchase price of approximately $26.3 million or $16.26 per share. See Note 12, Collaboration and License Agreements, for further discussion of the Company's accounting for the shares sold in connection with the closing of the Vertex Agreement.</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September 2023, the Company entered into a sales agreement (the Sales Agreement) with Cowen and Company, LLC, acting as the Company's agent and/or principal (the Sales Agent), with respect to an "at the market offering" program under which the Company may, from time to time, at its sole discretion, issue and sell shares of its common stock having an aggregate offering price of up to $150.0 million through the Sales Agent. During the year ended December 31, 2023, there have been no sales of common stock pursuant to the Sales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Future Issuance under Equity Compensation Plans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reserved the following shares of common stock for future issuance under equity compensation plans at December 31:</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6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6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960" w:type="dxa"/>
            <w:vAlign w:val="bottom"/>
            <w:tcBorders>
              <w:bottom w:val="single" w:sz="8" w:color="CCEEFF"/>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outstanding stock options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5,414,360</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5,028,850</w:t>
            </w:r>
          </w:p>
        </w:tc>
      </w:tr>
      <w:tr>
        <w:trPr>
          <w:trHeight w:val="250"/>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Vesting of outstanding restricted stock</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1,268,461</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463,964</w:t>
            </w:r>
          </w:p>
        </w:tc>
      </w:tr>
      <w:tr>
        <w:trPr>
          <w:trHeight w:val="26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awards under the 2021</w:t>
            </w: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 and Incentive Plan</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1,697,832</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1,976,758</w:t>
            </w:r>
          </w:p>
        </w:tc>
      </w:tr>
      <w:tr>
        <w:trPr>
          <w:trHeight w:val="250"/>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Future awards under the 2021</w:t>
            </w:r>
          </w:p>
        </w:tc>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839,539</w:t>
            </w:r>
          </w:p>
        </w:tc>
        <w:tc>
          <w:tcPr>
            <w:tcW w:w="8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563,115</w:t>
            </w:r>
          </w:p>
        </w:tc>
      </w:tr>
      <w:tr>
        <w:trPr>
          <w:trHeight w:val="275"/>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of authorized common stock reserved for future issuance</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9,220,192</w:t>
            </w:r>
          </w:p>
        </w:tc>
        <w:tc>
          <w:tcPr>
            <w:tcW w:w="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8,032,687</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As of both December 31, 2023 and December 31, 2022, the Company was authorized to issue 10,000,000 shares of undesignated preferred stock, $0.0001 par value,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As of both December 31, 2023 and December 31, 2022, there were no shares of undesignated preferred stock issued or outstanding.</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Plan</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September 2021 the Company’s board of directors adopted, and in October 2021 the Company’s stockholders approved, the 2021 Plan, which became effective as of the date immediately prior to the date of the effectiveness of the registration statement for the IPO. The 2021 Plan allows the board of directors to grant incentive stock options or non-qualified stock options, restricted stock, restricted stock units and other equity awards to the Company’s officers, employees, directors and other key persons. In addition, the 2021 Plan includes a provision that allows for an automatic annual increase of 4% in the number of shares of common stock available for issuance under the 2021 Plan. Upon the adoption of the 2021 Plan, the Company ceased granting awards under the 2016 Plan. The total number of shares of common stock authorized for issuance under the 2021 Plan as of December 31, 2023 was 6,336,068 shares and was 5,262,917 shares as of December 31, 2022.</w:t>
      </w:r>
    </w:p>
    <w:p>
      <w:pPr>
        <w:spacing w:after="0" w:line="18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issued stock options and restricted stock units (RSUs) under the 2021 Plan. Both stock options and RSUs issued are comprised of service-based awards granted to employees. Vesting of stock options is subject to the recipient’s continued employment or service. Stock options and RSUs typically vest over a four-year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Plan</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Prior to the adoption of the 2021 Plan, the 2016 Plan provided for the Company to grant incentive stock options or non-qualified stock options, restricted stock, restricted stock units and other equity awards to employees, directors and consultants of the Company. The 2016 Plan was administered by the board of directors of the Company or, at the discretion of the board of directors, by a committee of the board of directors. The exercise prices, vesting and other restrictions were determined at the discretion of the board of directors, or its committee if so delegated. The 2016 Plan allows for early exercise of all stock option grants if authorized by the board of directors at the time of grant. The shares of common stock issued from the early exercise of stock options are restricted and continue to vest over the original service based vesting condition of the original stock option award. The Company has the option to repurchase any unvested shares at the original purchase price upon any voluntary or involuntary termination.</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2016 Plan will continue to govern the outstanding equity awards granted thereunder. The total number of shares of common stock authorized for issuance under the 2016 Plan as of December 31, 2023 and 2022 was 2,044,585 shares and 2,206,655 shares, respectively. As of both dates, all shares of common stock authorized for issuance under the 2016 Plan relate to outstanding stock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September 2021, the Company’s board of directors adopted, and in October 2021 the Company’s stockholders approved, the ESPP, which became effective as of the date immediately prior to the date of the effectiveness of the registration statement for the IPO. The ESPP is administered by the person or persons appointed by the Company’s board of directors for such purpose. The ESPP initially provided participating employees with the opportunity to purchase up to an aggregate of 278,762 shares of common stock. The number of shares of common stock reserved for issuance under the ESPP will automatically increase on January 1st of each year beginning in 2022 and continuing through and including 2031 by the lesser of (i) 1% of the outstanding number of shares of our common stock of the immediately preceding December 31, (ii) 557,524 shares or (iii) such number of shares as determined by the ESPP administrator. The total number of shares of common stock authorized for issuance under the 2021 ESPP as of December 31, 2023 and 2022 was 839,539 shares and 563,115 shares, respectively.</w:t>
      </w:r>
    </w:p>
    <w:p>
      <w:pPr>
        <w:spacing w:after="0" w:line="19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Compensation expense for discounted purchases under the 2021 ESPP is measured using the Black-Scholes model to compute the fair value of the lookback provision plus the purchase discount and is recognized as compensation expense over the course of the offering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expense in the consolidated statements of operations and comprehensive loss, by award type, as follows (in thousands):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72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r>
      <w:tr>
        <w:trPr>
          <w:trHeight w:val="23"/>
        </w:trPr>
        <w:tc>
          <w:tcPr>
            <w:tcW w:w="7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6"/>
        </w:trPr>
        <w:tc>
          <w:tcPr>
            <w:tcW w:w="79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r>
      <w:tr>
        <w:trPr>
          <w:trHeight w:val="23"/>
        </w:trPr>
        <w:tc>
          <w:tcPr>
            <w:tcW w:w="7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9,887</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8,648</w:t>
            </w:r>
          </w:p>
        </w:tc>
      </w:tr>
      <w:tr>
        <w:trPr>
          <w:trHeight w:val="25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9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25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9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5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13,111</w:t>
            </w:r>
          </w:p>
        </w:tc>
        <w:tc>
          <w:tcPr>
            <w:tcW w:w="80" w:type="dxa"/>
            <w:vAlign w:val="bottom"/>
          </w:tcPr>
          <w:p>
            <w:pPr>
              <w:spacing w:after="0"/>
              <w:rPr>
                <w:sz w:val="22"/>
                <w:szCs w:val="22"/>
                <w:color w:val="auto"/>
              </w:rPr>
            </w:pPr>
          </w:p>
        </w:tc>
        <w:tc>
          <w:tcPr>
            <w:tcW w:w="104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9,895</w:t>
            </w:r>
          </w:p>
        </w:tc>
      </w:tr>
      <w:tr>
        <w:trPr>
          <w:trHeight w:val="20"/>
        </w:trPr>
        <w:tc>
          <w:tcPr>
            <w:tcW w:w="7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recorded as research and development and general and administrative expenses in the consolidated statements of operations and comprehensive loss is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72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r>
      <w:tr>
        <w:trPr>
          <w:trHeight w:val="23"/>
        </w:trPr>
        <w:tc>
          <w:tcPr>
            <w:tcW w:w="7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6"/>
        </w:trPr>
        <w:tc>
          <w:tcPr>
            <w:tcW w:w="79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r>
      <w:tr>
        <w:trPr>
          <w:trHeight w:val="23"/>
        </w:trPr>
        <w:tc>
          <w:tcPr>
            <w:tcW w:w="7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w:t>
            </w:r>
          </w:p>
        </w:tc>
      </w:tr>
      <w:tr>
        <w:trPr>
          <w:trHeight w:val="25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8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5,729</w:t>
            </w:r>
          </w:p>
        </w:tc>
      </w:tr>
      <w:tr>
        <w:trPr>
          <w:trHeight w:val="28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13,111</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weighted-average basis, the assumptions used in the Black-Scholes option-pricing model to determine the fair value of stock options granted for the years then ended: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17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5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9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79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17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4.09%</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5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7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72%</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6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7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7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6.01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Early Exercise of Unvested Stock Options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Shares purchased by employees pursuant to the early exercise of stock options are not deemed, for accounting purposes, to be outstanding shares until those shares vest according to their respective vesting schedules. Cash received from employee exercises of unvested options is included in current liabilities on the balance sheet. Amounts recorded are reclassified to common stock and additional paid-in capital as the shares vest. Vesting can occur in the year of exercise and thereafter. There were 14,745 and 53,741 unvested shares related to early exercises of stock options as of December 31, 2023 and December 31, 2022, respectively. In the years ended December 31, 2023 and 2022, the liability associated with the unvested early exercise of stock options was $0.1 million and $0.2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since December 31, 2022:</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vMerge w:val="restart"/>
          </w:tcPr>
          <w:p>
            <w:pPr>
              <w:ind w:left="60"/>
              <w:spacing w:after="0" w:line="161"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Average</w:t>
            </w:r>
          </w:p>
        </w:tc>
        <w:tc>
          <w:tcPr>
            <w:tcW w:w="1680" w:type="dxa"/>
            <w:vAlign w:val="bottom"/>
            <w:gridSpan w:val="2"/>
          </w:tcPr>
          <w:p>
            <w:pPr>
              <w:jc w:val="center"/>
              <w:ind w:right="100"/>
              <w:spacing w:after="0" w:line="161"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7"/>
                <w:szCs w:val="17"/>
                <w:color w:val="auto"/>
              </w:rPr>
            </w:pPr>
          </w:p>
        </w:tc>
        <w:tc>
          <w:tcPr>
            <w:tcW w:w="1420" w:type="dxa"/>
            <w:vAlign w:val="bottom"/>
            <w:vMerge w:val="restart"/>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59"/>
        </w:trPr>
        <w:tc>
          <w:tcPr>
            <w:tcW w:w="4620" w:type="dxa"/>
            <w:vAlign w:val="bottom"/>
          </w:tcPr>
          <w:p>
            <w:pPr>
              <w:spacing w:after="0"/>
              <w:rPr>
                <w:sz w:val="13"/>
                <w:szCs w:val="13"/>
                <w:color w:val="auto"/>
              </w:rPr>
            </w:pPr>
          </w:p>
        </w:tc>
        <w:tc>
          <w:tcPr>
            <w:tcW w:w="158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168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6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15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81"/>
              <w:spacing w:after="0" w:line="203" w:lineRule="exact"/>
              <w:rPr>
                <w:sz w:val="20"/>
                <w:szCs w:val="20"/>
                <w:color w:val="auto"/>
              </w:rPr>
            </w:pPr>
            <w:r>
              <w:rPr>
                <w:rFonts w:ascii="Times New Roman" w:cs="Times New Roman" w:eastAsia="Times New Roman" w:hAnsi="Times New Roman"/>
                <w:sz w:val="14"/>
                <w:szCs w:val="14"/>
                <w:b w:val="1"/>
                <w:bCs w:val="1"/>
                <w:color w:val="auto"/>
                <w:w w:val="93"/>
              </w:rPr>
              <w:t>Value</w:t>
            </w:r>
            <w:r>
              <w:rPr>
                <w:rFonts w:ascii="Times New Roman" w:cs="Times New Roman" w:eastAsia="Times New Roman" w:hAnsi="Times New Roman"/>
                <w:sz w:val="18"/>
                <w:szCs w:val="18"/>
                <w:b w:val="1"/>
                <w:bCs w:val="1"/>
                <w:color w:val="auto"/>
                <w:w w:val="93"/>
                <w:vertAlign w:val="superscript"/>
              </w:rPr>
              <w:t>(2)</w:t>
            </w:r>
          </w:p>
        </w:tc>
        <w:tc>
          <w:tcPr>
            <w:tcW w:w="0" w:type="dxa"/>
            <w:vAlign w:val="bottom"/>
          </w:tcPr>
          <w:p>
            <w:pPr>
              <w:spacing w:after="0"/>
              <w:rPr>
                <w:sz w:val="1"/>
                <w:szCs w:val="1"/>
                <w:color w:val="auto"/>
              </w:rPr>
            </w:pPr>
          </w:p>
        </w:tc>
      </w:tr>
      <w:tr>
        <w:trPr>
          <w:trHeight w:val="186"/>
        </w:trPr>
        <w:tc>
          <w:tcPr>
            <w:tcW w:w="4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6"/>
                <w:szCs w:val="16"/>
                <w:color w:val="auto"/>
              </w:rPr>
            </w:pPr>
          </w:p>
        </w:tc>
        <w:tc>
          <w:tcPr>
            <w:tcW w:w="14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5,028,850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799,144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(214,078)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(199,556)</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5,414,360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2023</w:t>
            </w:r>
            <w:r>
              <w:rPr>
                <w:rFonts w:ascii="Times New Roman" w:cs="Times New Roman" w:eastAsia="Times New Roman" w:hAnsi="Times New Roman"/>
                <w:sz w:val="23"/>
                <w:szCs w:val="23"/>
                <w:color w:val="auto"/>
                <w:vertAlign w:val="superscript"/>
              </w:rPr>
              <w:t>(1)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3,297,593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21,529</w:t>
            </w: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represents the number of vested and unvested options exercisable as of December 31, 2023.</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right="140" w:hanging="652"/>
        <w:spacing w:after="0" w:line="298" w:lineRule="auto"/>
        <w:tabs>
          <w:tab w:leader="none" w:pos="66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intrinsic value is calculated as the difference between the exercise price of the underlying options and the closing price of the Company's common stock at December 31, 2023 for the options that were in the money as of December 31, 2023.</w:t>
      </w:r>
    </w:p>
    <w:p>
      <w:pPr>
        <w:spacing w:after="0" w:line="14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exercised during the years ended December 31, 2023 and 2022 was $2.1 million and $1.0 million, while the company received $1.2 million and $0.2 million in proceeds for the exercise of these options, respectively.</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stock options granted during the years ended December 31, 2023 and 2022 was $9.23 per share and $7.51 per share, respectively. As of December 31, 2023, there was $20.7 million of unrecognized compensation cost related to unvested stock options, which is expected to be recognized over a weighted-average period of 2.2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RSUs were granted to employees with vesting conditions based on continued service over time. Accordingly, stock-based compensation expense for such awards is recognized using a straight-line attribution model over the vesting term of each RSU. The fair value of each RSU is based on the closing price of the Company's common stock on the date of grant. For the majority of RSUs, the restricted stock vests over a four-year period, with 25% of the shares vesting on each anniversary of the grant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restricted stock activity during the year ended December 31, 2023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8"/>
              <w:spacing w:after="0" w:line="161"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color w:val="auto"/>
                <w:strike w:val="1"/>
              </w:rPr>
              <w:t>‑</w:t>
            </w:r>
          </w:p>
        </w:tc>
      </w:tr>
      <w:tr>
        <w:trPr>
          <w:trHeight w:val="146"/>
        </w:trPr>
        <w:tc>
          <w:tcPr>
            <w:tcW w:w="8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7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91"/>
        </w:trPr>
        <w:tc>
          <w:tcPr>
            <w:tcW w:w="8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8"/>
              <w:spacing w:after="0" w:line="161" w:lineRule="exact"/>
              <w:rPr>
                <w:sz w:val="20"/>
                <w:szCs w:val="20"/>
                <w:color w:val="auto"/>
              </w:rPr>
            </w:pPr>
            <w:r>
              <w:rPr>
                <w:rFonts w:ascii="Times New Roman" w:cs="Times New Roman" w:eastAsia="Times New Roman" w:hAnsi="Times New Roman"/>
                <w:sz w:val="14"/>
                <w:szCs w:val="14"/>
                <w:b w:val="1"/>
                <w:bCs w:val="1"/>
                <w:color w:val="auto"/>
              </w:rPr>
              <w:t>Grant</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Date</w:t>
            </w:r>
          </w:p>
        </w:tc>
      </w:tr>
      <w:tr>
        <w:trPr>
          <w:trHeight w:val="190"/>
        </w:trPr>
        <w:tc>
          <w:tcPr>
            <w:tcW w:w="8180" w:type="dxa"/>
            <w:vAlign w:val="bottom"/>
          </w:tcPr>
          <w:p>
            <w:pPr>
              <w:spacing w:after="0"/>
              <w:rPr>
                <w:sz w:val="16"/>
                <w:szCs w:val="16"/>
                <w:color w:val="auto"/>
              </w:rPr>
            </w:pPr>
          </w:p>
        </w:tc>
        <w:tc>
          <w:tcPr>
            <w:tcW w:w="14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3"/>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463,964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990,167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(138,361)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1,268,461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92" w:lineRule="exact"/>
        <w:rPr>
          <w:sz w:val="20"/>
          <w:szCs w:val="20"/>
          <w:color w:val="auto"/>
        </w:rPr>
      </w:pPr>
    </w:p>
    <w:p>
      <w:pPr>
        <w:ind w:right="60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there was $15.1 million of unrecognized stock-based compensation expense related to unvested RSUs, which is expected to be recognized over a weighted-average remaining vesting period of 3.17 years.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$12.1 million of pre-tax book income for the year ended December 31, 2023. The Company recorded a pre-tax book loss for the year ended December 31, 2022. The Company has no foreign operations.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income tax expense for the years ended December 31, 2023 and 2022 (in thousands)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820" w:type="dxa"/>
            <w:vAlign w:val="bottom"/>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spacing w:after="0"/>
              <w:rPr>
                <w:sz w:val="16"/>
                <w:szCs w:val="16"/>
                <w:color w:val="auto"/>
              </w:rPr>
            </w:pPr>
          </w:p>
        </w:tc>
      </w:tr>
      <w:tr>
        <w:trPr>
          <w:trHeight w:val="23"/>
        </w:trPr>
        <w:tc>
          <w:tcPr>
            <w:tcW w:w="7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86"/>
        </w:trPr>
        <w:tc>
          <w:tcPr>
            <w:tcW w:w="79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6"/>
                <w:szCs w:val="16"/>
                <w:color w:val="auto"/>
              </w:rPr>
            </w:pPr>
          </w:p>
        </w:tc>
      </w:tr>
      <w:tr>
        <w:trPr>
          <w:trHeight w:val="23"/>
        </w:trPr>
        <w:tc>
          <w:tcPr>
            <w:tcW w:w="7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1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29"/>
        </w:trPr>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14,962</w:t>
            </w:r>
          </w:p>
        </w:tc>
        <w:tc>
          <w:tcPr>
            <w:tcW w:w="80" w:type="dxa"/>
            <w:vAlign w:val="bottom"/>
          </w:tcPr>
          <w:p>
            <w:pPr>
              <w:spacing w:after="0"/>
              <w:rPr>
                <w:sz w:val="19"/>
                <w:szCs w:val="19"/>
                <w:color w:val="auto"/>
              </w:rPr>
            </w:pPr>
          </w:p>
        </w:tc>
        <w:tc>
          <w:tcPr>
            <w:tcW w:w="114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9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tax provision</w:t>
            </w:r>
          </w:p>
        </w:tc>
        <w:tc>
          <w:tcPr>
            <w:tcW w:w="9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18,741</w:t>
            </w: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9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9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9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deferred tax provision</w:t>
            </w:r>
          </w:p>
        </w:tc>
        <w:tc>
          <w:tcPr>
            <w:tcW w:w="9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18,741</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income tax rate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7"/>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Federal and state research and development tax credits</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Non-deductible stock compensation and non-taxable items</w:t>
            </w:r>
          </w:p>
        </w:tc>
        <w:tc>
          <w:tcPr>
            <w:tcW w:w="36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63"/>
        </w:trPr>
        <w:tc>
          <w:tcPr>
            <w:tcW w:w="7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 in deferred tax asset valuation allowance</w:t>
            </w:r>
          </w:p>
        </w:tc>
        <w:tc>
          <w:tcPr>
            <w:tcW w:w="3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170.3</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Change in state tax rates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1"/>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4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Net deferred tax assets as of December 31, 2023 and 2022 consisted of the following (in thousands):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9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40" w:type="dxa"/>
            <w:vAlign w:val="bottom"/>
          </w:tcPr>
          <w:p>
            <w:pPr>
              <w:spacing w:after="0"/>
              <w:rPr>
                <w:sz w:val="21"/>
                <w:szCs w:val="21"/>
                <w:color w:val="auto"/>
              </w:rPr>
            </w:pPr>
          </w:p>
        </w:tc>
        <w:tc>
          <w:tcPr>
            <w:tcW w:w="5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Research and development tax credit carryforwards</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Capitalized research and development expenses</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32,803</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Lease liability</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22,581</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Stock compensation</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102,468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Property and equipment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Right-of-use asset</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(22,237)</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(24,562)</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Valuation allowance</w:t>
            </w: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(77,906)</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deferred tax assets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recorded income tax expense of $18.7 million for the year ended December 31, 2023. The income tax expense recorded was driven largely by the current tax liability associated with the tax recognition of the Vertex Agreement payments received during 2023. A significant portion of the taxable income related to the collaboration payment is offset by current year expenses and prior year accumulated losses.</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had federal net operating loss carryforwards of $14.6 million, which may be available to offset future taxable income. None of our federal net operating loss carryforwards will expire, but all are limited in their usage to an annual deduction equal to 80% of annual taxable income. In addition, as of December 31, 2023, the Company had state net operating loss carryforwards of $8.7 million, which may be available to offset future taxable income and expire at various dates beginning in 2036. As of December 31, 2023, the Company also had federal and state research and development tax credit carryforwards of $2.1 million and $0.8 million, respectively, which may be available to reduce future tax liabilities and expire at various dates beginning in 2039 and 2035, respectively.</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Utilization of the NOLs and research and development tax credit carryforwards may be subject to a substantial annual limitation under Section 382 due to ownership change limitations that have occurred previously or that could occur in the future in accordance with Section 382, as well as similar state provisions. These ownership changes may limit the amount of NOLs and research and development tax credit carryforwards that can be utilized annually to offset future taxable income and tax, respectively. If a change in control as defined by Section 382 has occurred at any time since the Company’s formation, utilization of its NOLs or research and development tax credit carryforwards would be subject to an annual limitation under Section 382, which is determined by first multiplying the value of the Company’s stock at the time of the ownership change by the applicable long-term tax-exempt rate, which could then be subject to additional adjustments, as required. Any limitation may result in expiration of a portion of the NOLs or research and development tax carryforwards before their utilization. The Company has determined that ownership changes have occurred in the past and that certain NOLs and research and development tax credit carryforwards will be subject to limitation.</w:t>
      </w:r>
    </w:p>
    <w:p>
      <w:pPr>
        <w:spacing w:after="0" w:line="18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its ability to realize the deferred tax assets, which consist primarily of net operating loss carryforwards and research and development tax credit carryforwards, capitalized research and development expenses and deferred revenue. Management has considered the Company’s history of cumulative net losses incurred since inception, estimated future taxable income, and prudent and feasible tax planning strategies and has concluded that it is more likely than not that the Company will not realize the benefits of federal and state net deferred tax assets. Accordingly, a full valuation allowance has been established against the net deferred tax assets as of December 31, 2023 and 2022. The Company reevaluates the positive and negative evidence at each reporting period.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valuation allowance increased by $20.5 million and $28.5 million for the years ended December 31, 2023 and 2022, respectively.</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assesses the uncertainty in its income tax positions to determine whether a tax position of the Company is more likely than not to be sustained upon examination, including resolution of any related appeals of litigation processes, based on the technical merits of the position. For tax positions meeting the more-likely-than-not threshold, the tax amount recognized in the consolidated financial statements is reduced by the largest benefit that has a greater than 50% likelihood of being realized upon the ultimate settlement with the relevant taxing authority. The Company’s policy is to recognize interest and penalties accrued on any uncertain tax positions as a component of income tax expense, if any, in its consolidated statements of operations. As of December 31, 2023 and 2022, the Company had not recorded any reserves for uncertain tax positions or related interest and penalties.</w:t>
      </w:r>
    </w:p>
    <w:p>
      <w:pPr>
        <w:spacing w:after="0" w:line="18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2017, the Tax Cuts and Jobs Act of 2017 (2017 Tax Act) was signed into law. Among other provisions, the 2017 Tax Act requires taxpayers to capitalize and amortize research and experimental (R&amp;E) expenditures under Section 174 for tax years beginning after December 31, 2021. As such, the rule noted became effective for the Company during the year ended December 31, 2022 and resulted in the capitalization of certain R&amp;E costs within its tax provision. The Company will amortize such costs for tax purposes over 5 years if the R&amp;E was performed in the United States and over 15 years if the R&amp;E was performed outside the United States.</w:t>
      </w:r>
    </w:p>
    <w:p>
      <w:pPr>
        <w:spacing w:after="0" w:line="18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as prescribed by the tax laws of the jurisdictions in which it operates. In the normal course of business, the Company is subject to examination by federal and state jurisdictions, where applicable. Due to net operating losses incurred, the Company’s tax returns from inception to date are subject to examination by the taxing authorities.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90"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In 2018, the Company entered into a definitive license agreement with Ohio State Innovation Foundation (OSIF), an affiliate of The Ohio State University, (OSIF License Agreement) in which OSIF granted the Company an exclusive worldwide, sublicensable license to certain intellectual property under certain patent rights to research, develop, and otherwise commercialize a product generated from the licensed intellectual property. The Company is obligated to make milestone payments of up to $2.6 million upon the occurrence of specified research, development, and commercial activities for each of the first three license products related to the above technology. In addition, OSIF will receive tiered royalty payments on the applicable licensed program and platform products at a percentage ranging in single-digit royalties of net sales subject to reductions and offsets in certain circumstances, as well as a fee on sublicensed consideration of up to 15% of non-royalty sublicensing consideration.</w:t>
      </w:r>
    </w:p>
    <w:p>
      <w:pPr>
        <w:spacing w:after="0" w:line="212"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auto"/>
        </w:rPr>
        <w:t xml:space="preserve">Concurrently with the Company entering into and later amending the Vertex Agreement, the Company entered into a sublicense agreement with Vertex, which was amended in October 2023 (Sublicense Agreement). Pursuant to the Sublicense Agreement, the Company granted to Vertex an exclusive sublicense under certain intellectual property licensed to the Company under the OSIF License Agreement. The material terms of the Sublicense Agreement mirror those of the Vertex Agreement, and the payments described in connection with the Vertex Agreement in Note 12, </w:t>
      </w:r>
      <w:r>
        <w:rPr>
          <w:rFonts w:ascii="Times New Roman" w:cs="Times New Roman" w:eastAsia="Times New Roman" w:hAnsi="Times New Roman"/>
          <w:sz w:val="18"/>
          <w:szCs w:val="18"/>
          <w:i w:val="1"/>
          <w:iCs w:val="1"/>
          <w:color w:val="auto"/>
        </w:rPr>
        <w:t>Collaboration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License Agreements</w:t>
      </w:r>
      <w:r>
        <w:rPr>
          <w:rFonts w:ascii="Times New Roman" w:cs="Times New Roman" w:eastAsia="Times New Roman" w:hAnsi="Times New Roman"/>
          <w:sz w:val="18"/>
          <w:szCs w:val="18"/>
          <w:color w:val="auto"/>
        </w:rPr>
        <w:t>, are in consideration for the rights granted under both the Vertex Agreement and Sublicense Agreement.</w:t>
      </w:r>
    </w:p>
    <w:p>
      <w:pPr>
        <w:spacing w:after="0" w:line="212"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18"/>
          <w:szCs w:val="18"/>
          <w:color w:val="auto"/>
        </w:rPr>
        <w:t>In November 2023, the Company paid approximately $0.1 million for a milestone fee under the OSIF License Agreement. The triggering of all other milestone fees was not considered probable as of December 31, 2023.</w:t>
      </w:r>
    </w:p>
    <w:p>
      <w:pPr>
        <w:spacing w:after="0" w:line="203"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In April 2023, the Company paid OSIF a sublicense fee of $2.8 million related to the upfront payment received from Vertex in February of 2023. In January 2024, the Company paid OSIF a sublicense fee of $0.2 million related to the Vertex milestone achieved in October of 2023. This amount was accrued for as of December 31, 2023. If the Company receives any additional sublicensing consideration, it will owe additional fees to OSIF pursuant to the terms of the OSIF License Agreement.</w:t>
      </w:r>
    </w:p>
    <w:p>
      <w:pPr>
        <w:spacing w:after="0" w:line="208"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All costs associated with milestone and sublicense fees are recorded as research and development expenses. For the years ended December 31, 2023 and 2022, the Company reimbursed OSIF for patent costs of $0.1 million and $0.2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operating lease activity is comprised of non-cancelable facility leases for office and laboratory space in Boston, Massachusetts.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IDB Lease</w:t>
      </w:r>
    </w:p>
    <w:p>
      <w:pPr>
        <w:spacing w:after="0" w:line="229"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On March 16, 2022, the Company and IDB 17-19 Drydock Limited Partnership, as landlord (Landlord), entered into a lease agreement (IDB Lease) with respect to approximately 81,229 square feet of office and laboratory space (Premises) in Boston, Massachusetts. The initial fixed rental rate is $0.5 million per month, which is for a 12 month period during which the base rent is payable for 65,000 square feet, and will increase 3% per annum thereafter for the entire 81,229 square feet leased.</w:t>
      </w:r>
    </w:p>
    <w:p>
      <w:pPr>
        <w:spacing w:after="0" w:line="177" w:lineRule="exact"/>
        <w:rPr>
          <w:sz w:val="20"/>
          <w:szCs w:val="20"/>
          <w:color w:val="auto"/>
        </w:rPr>
      </w:pPr>
    </w:p>
    <w:p>
      <w:pPr>
        <w:jc w:val="both"/>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accounting commencement date occurred in April 2023 when both the Landlord's build-out and the tenant improvements were substantially completed. On the accounting commencement date, the Company recorded an operating lease right-of-use (ROU) asset of $77.6 million and a total lease liability of $63.6 million.</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IDB Lease has a term of approximately 10 years, unless earlier terminated in accordance with the terms of the IDB Lease. The Company has</w:t>
      </w:r>
    </w:p>
    <w:p>
      <w:pPr>
        <w:spacing w:after="0" w:line="27" w:lineRule="exact"/>
        <w:rPr>
          <w:sz w:val="20"/>
          <w:szCs w:val="20"/>
          <w:color w:val="auto"/>
        </w:rPr>
      </w:pPr>
    </w:p>
    <w:p>
      <w:pPr>
        <w:jc w:val="both"/>
        <w:ind w:firstLine="8"/>
        <w:spacing w:after="0"/>
        <w:tabs>
          <w:tab w:leader="none" w:pos="21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to extend the IDB Lease for an additional period of five (5) years, and (ii) a right of first offer on adjacent space to the Premises, subject to the terms and conditions of the IDB Lease. As these options are not reasonably certain of occurring, they have not been included in the initial calculation of the Company's ROU asset upon lease commencement.</w:t>
      </w:r>
    </w:p>
    <w:p>
      <w:pPr>
        <w:spacing w:after="0" w:line="225" w:lineRule="exact"/>
        <w:rPr>
          <w:sz w:val="20"/>
          <w:szCs w:val="20"/>
          <w:color w:val="auto"/>
        </w:rPr>
      </w:pPr>
    </w:p>
    <w:p>
      <w:pPr>
        <w:jc w:val="both"/>
        <w:ind w:right="100" w:firstLine="648"/>
        <w:spacing w:after="0" w:line="245" w:lineRule="auto"/>
        <w:rPr>
          <w:sz w:val="20"/>
          <w:szCs w:val="20"/>
          <w:color w:val="auto"/>
        </w:rPr>
      </w:pPr>
      <w:r>
        <w:rPr>
          <w:rFonts w:ascii="Times New Roman" w:cs="Times New Roman" w:eastAsia="Times New Roman" w:hAnsi="Times New Roman"/>
          <w:sz w:val="18"/>
          <w:szCs w:val="18"/>
          <w:color w:val="auto"/>
        </w:rPr>
        <w:t>Under the terms of the IDB Lease, the Landlord provided an allowance of $19.5 million toward the cost of completing tenant improvements for the Premises. In addition, the Landlord provided an additional contribution of $1.6 million toward the cost of tenant improvements to the Premises, which amount shall be repaid by the Company over the term of the IDB Lease. Such repayments are included in the maturity of the lease liability table below. As of December 31, 2023, the Company had received the full tenant improvement allowance from the Landlord.</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The Company concluded that the improvements resulting from both the Landlord's build-out and the tenant improvements are the Landlord's assets for accounting purposes. Accordingly, the $13.9 million of costs incurred by the Company related to the tenant improvements in excess of the Landlord's allowance were reclassified from other non-current assets to right-of-use assets upon commencement of the IDB lease and will be recognized as rent expense over the remaining lease term.</w:t>
      </w:r>
    </w:p>
    <w:p>
      <w:pPr>
        <w:spacing w:after="0" w:line="191" w:lineRule="exact"/>
        <w:rPr>
          <w:sz w:val="20"/>
          <w:szCs w:val="20"/>
          <w:color w:val="auto"/>
        </w:rPr>
      </w:pPr>
    </w:p>
    <w:p>
      <w:pPr>
        <w:jc w:val="both"/>
        <w:ind w:right="460" w:firstLine="648"/>
        <w:spacing w:after="0" w:line="250" w:lineRule="auto"/>
        <w:rPr>
          <w:sz w:val="20"/>
          <w:szCs w:val="20"/>
          <w:color w:val="auto"/>
        </w:rPr>
      </w:pPr>
      <w:r>
        <w:rPr>
          <w:rFonts w:ascii="Times New Roman" w:cs="Times New Roman" w:eastAsia="Times New Roman" w:hAnsi="Times New Roman"/>
          <w:sz w:val="18"/>
          <w:szCs w:val="18"/>
          <w:color w:val="auto"/>
        </w:rPr>
        <w:t>In connection with the execution of the IDB Lease, the Company executed a cash-collateralized letter of credit, which may be reduced in the future subject to reduction requirements specified in the IDB Lease therein. The $4.0 million of cash collateralizing the letter of credit is classified as restricted cash on the Company's consolidated balance sheets.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Tide Street Lease</w:t>
      </w:r>
    </w:p>
    <w:p>
      <w:pPr>
        <w:spacing w:after="0" w:line="229"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The Company entered into an operating lease for office and laboratory space at 6 Tide Street in Boston, Massachusetts in February 2020, and entered into subsequent amendments through 2021 to lease additional space (6 Tide Street Lease). Such amendments run co-terminus with the original lease.</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During 2023, the Company entered into amendments to the 6 Tide Street lease pursuant to which the Company surrendered portions of the leased space in exchange for being relieved of its obligation to make lease payments. Upon the lease modification, the Company reassessed its incremental borrowing rate and remeasured the lease liability and right-of-use asset. Subsequent to the amendment, the Company continues to classify the 6 Tide Street Lease as an operating lease.</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a total of 23,189 square feet licensed at this facility. The term for the remaining leased space will end on November 30, 2025. The fixed rental payment will be approximately $0.5 million per month for the remainder of the lease term. The Company has the option to extend the remaining leased space for a period of 3 years, or terminate such remaining space leased without penalty provided sufficient notice is given. At the adoption of ASC 842, the Company concluded that it is not reasonably certain that it will exercise its option to terminate the lease early or exercise its option to extend the leased space.</w:t>
      </w:r>
    </w:p>
    <w:p>
      <w:pPr>
        <w:spacing w:after="0" w:line="183"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Company's security deposit for the 6 Tide Street Lease was $0.7 million, of which, $0.3 million is recorded as a component of other current assets as it is expected to be received with one year of the balance sheet date. The remaining $0.4 million is recorded as a component of other non-current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all lease costs recognized under ASC 842</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all operating lease cost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3"/>
                <w:szCs w:val="13"/>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6"/>
        </w:trPr>
        <w:tc>
          <w:tcPr>
            <w:tcW w:w="97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31, 2023</w:t>
            </w:r>
          </w:p>
        </w:tc>
      </w:tr>
      <w:tr>
        <w:trPr>
          <w:trHeight w:val="256"/>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16,395</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2"/>
        </w:trPr>
        <w:tc>
          <w:tcPr>
            <w:tcW w:w="9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cost</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16,395</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07" w:right="339" w:bottom="1440" w:gutter="0" w:footer="0" w:header="0"/>
        </w:sectPr>
      </w:pPr>
    </w:p>
    <w:p>
      <w:pPr>
        <w:spacing w:after="0" w:line="79" w:lineRule="exact"/>
        <w:rPr>
          <w:sz w:val="20"/>
          <w:szCs w:val="20"/>
          <w:color w:val="auto"/>
        </w:rPr>
      </w:pPr>
    </w:p>
    <w:p>
      <w:pPr>
        <w:jc w:val="right"/>
        <w:ind w:right="3213"/>
        <w:spacing w:after="0"/>
        <w:rPr>
          <w:sz w:val="20"/>
          <w:szCs w:val="20"/>
          <w:color w:val="auto"/>
        </w:rPr>
      </w:pPr>
      <w:r>
        <w:rPr>
          <w:rFonts w:ascii="Times New Roman" w:cs="Times New Roman" w:eastAsia="Times New Roman" w:hAnsi="Times New Roman"/>
          <w:sz w:val="18"/>
          <w:szCs w:val="18"/>
          <w:color w:val="auto"/>
        </w:rPr>
        <w:t>Supplemental information related to all operating leases was as follows:</w:t>
      </w: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cash flows used for operating leases (in thousands)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25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Year ended December</w:t>
      </w:r>
    </w:p>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31, 2023</w:t>
      </w:r>
    </w:p>
    <w:p>
      <w:pPr>
        <w:spacing w:after="0" w:line="57" w:lineRule="exact"/>
        <w:rPr>
          <w:sz w:val="20"/>
          <w:szCs w:val="20"/>
          <w:color w:val="auto"/>
        </w:rPr>
      </w:pPr>
    </w:p>
    <w:p>
      <w:pPr>
        <w:ind w:left="947" w:hanging="947"/>
        <w:spacing w:after="0"/>
        <w:tabs>
          <w:tab w:leader="none" w:pos="947"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16,268</w:t>
      </w:r>
    </w:p>
    <w:p>
      <w:pPr>
        <w:spacing w:after="0" w:line="61" w:lineRule="exact"/>
        <w:rPr>
          <w:rFonts w:ascii="Times New Roman" w:cs="Times New Roman" w:eastAsia="Times New Roman" w:hAnsi="Times New Roman"/>
          <w:sz w:val="17"/>
          <w:szCs w:val="17"/>
          <w:color w:val="auto"/>
        </w:rPr>
      </w:pPr>
    </w:p>
    <w:p>
      <w:pPr>
        <w:ind w:left="78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8.2 years</w:t>
      </w:r>
    </w:p>
    <w:p>
      <w:pPr>
        <w:spacing w:after="0" w:line="61" w:lineRule="exact"/>
        <w:rPr>
          <w:rFonts w:ascii="Times New Roman" w:cs="Times New Roman" w:eastAsia="Times New Roman" w:hAnsi="Times New Roman"/>
          <w:sz w:val="17"/>
          <w:szCs w:val="17"/>
          <w:color w:val="auto"/>
        </w:rPr>
      </w:pPr>
    </w:p>
    <w:p>
      <w:pPr>
        <w:ind w:left="96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8.13%</w:t>
      </w:r>
    </w:p>
    <w:p>
      <w:pPr>
        <w:spacing w:after="0" w:line="225" w:lineRule="exact"/>
        <w:rPr>
          <w:sz w:val="20"/>
          <w:szCs w:val="20"/>
          <w:color w:val="auto"/>
        </w:rPr>
      </w:pPr>
    </w:p>
    <w:p>
      <w:pPr>
        <w:sectPr>
          <w:pgSz w:w="11900" w:h="16838" w:orient="portrait"/>
          <w:cols w:equalWidth="0" w:num="2">
            <w:col w:w="9053" w:space="720"/>
            <w:col w:w="1467"/>
          </w:cols>
          <w:pgMar w:left="320" w:top="607" w:right="339" w:bottom="1440" w:gutter="0" w:footer="0" w:header="0"/>
          <w:type w:val="continuous"/>
        </w:sectPr>
      </w:pP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Future payments due under all operating leases as of December 31, 2023 were as follows (in thousands):</w:t>
      </w:r>
    </w:p>
    <w:p>
      <w:pPr>
        <w:sectPr>
          <w:pgSz w:w="11900" w:h="16838" w:orient="portrait"/>
          <w:cols w:equalWidth="0" w:num="1">
            <w:col w:w="11240"/>
          </w:cols>
          <w:pgMar w:left="320" w:top="60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Maturity of lease liabilities</w:t>
            </w:r>
          </w:p>
        </w:tc>
        <w:tc>
          <w:tcPr>
            <w:tcW w:w="440" w:type="dxa"/>
            <w:vAlign w:val="bottom"/>
          </w:tcPr>
          <w:p>
            <w:pPr>
              <w:spacing w:after="0"/>
              <w:rPr>
                <w:sz w:val="20"/>
                <w:szCs w:val="20"/>
                <w:color w:val="auto"/>
              </w:rPr>
            </w:pPr>
          </w:p>
        </w:tc>
        <w:tc>
          <w:tcPr>
            <w:tcW w:w="17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0"/>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13,084</w:t>
            </w:r>
          </w:p>
        </w:tc>
      </w:tr>
      <w:tr>
        <w:trPr>
          <w:trHeight w:val="256"/>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13,161</w:t>
            </w:r>
          </w:p>
        </w:tc>
      </w:tr>
      <w:tr>
        <w:trPr>
          <w:trHeight w:val="257"/>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8,826</w:t>
            </w:r>
          </w:p>
        </w:tc>
      </w:tr>
      <w:tr>
        <w:trPr>
          <w:trHeight w:val="257"/>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9,083</w:t>
            </w:r>
          </w:p>
        </w:tc>
      </w:tr>
      <w:tr>
        <w:trPr>
          <w:trHeight w:val="257"/>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w:t>
            </w:r>
          </w:p>
        </w:tc>
      </w:tr>
      <w:tr>
        <w:trPr>
          <w:trHeight w:val="256"/>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41,091</w:t>
            </w:r>
          </w:p>
        </w:tc>
      </w:tr>
      <w:tr>
        <w:trPr>
          <w:trHeight w:val="250"/>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94,594</w:t>
            </w:r>
          </w:p>
        </w:tc>
      </w:tr>
      <w:tr>
        <w:trPr>
          <w:trHeight w:val="257"/>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4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(26,364)</w:t>
            </w:r>
          </w:p>
        </w:tc>
      </w:tr>
      <w:tr>
        <w:trPr>
          <w:trHeight w:val="250"/>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68,230</w:t>
            </w:r>
          </w:p>
        </w:tc>
      </w:tr>
      <w:tr>
        <w:trPr>
          <w:trHeight w:val="21"/>
        </w:trPr>
        <w:tc>
          <w:tcPr>
            <w:tcW w:w="9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IDB Sublease</w:t>
      </w:r>
    </w:p>
    <w:p>
      <w:pPr>
        <w:spacing w:after="0" w:line="229"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In December 2022, the Company entered into a sublease agreement to sublease a portion of the office and laboratory space leased under the IDB Lease to a third-party (subtenant). The sublease term is 3 years and the subtenant has an option to extend the lease term for 6 months. The initial fixed rental rate is $0.2 million per month, and will increase 3% per annum thereafter. The sublessee is obligated to pay its ratable portion of operating expenses during the sublease term. The Company received a letter of credit of $0.5 million in place of a security deposit. As of December 31, 2023, no amounts have been drawn on the letter of credit.</w:t>
      </w:r>
    </w:p>
    <w:p>
      <w:pPr>
        <w:spacing w:after="0" w:line="195"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sublease accounting commencement date occurred in April 2023. During the year ended December 31, 2023, the Company recognized $1.5 million of sublease income. Such amount is recorded as a reduction to rent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Collaboration and 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Vertex Agreement - Overview</w:t>
      </w:r>
    </w:p>
    <w:p>
      <w:pPr>
        <w:spacing w:after="0" w:line="229" w:lineRule="exact"/>
        <w:rPr>
          <w:sz w:val="20"/>
          <w:szCs w:val="20"/>
          <w:color w:val="auto"/>
        </w:rPr>
      </w:pPr>
    </w:p>
    <w:p>
      <w:pPr>
        <w:ind w:right="200" w:firstLine="648"/>
        <w:spacing w:after="0" w:line="246" w:lineRule="auto"/>
        <w:rPr>
          <w:sz w:val="20"/>
          <w:szCs w:val="20"/>
          <w:color w:val="auto"/>
        </w:rPr>
      </w:pPr>
      <w:r>
        <w:rPr>
          <w:rFonts w:ascii="Times New Roman" w:cs="Times New Roman" w:eastAsia="Times New Roman" w:hAnsi="Times New Roman"/>
          <w:sz w:val="18"/>
          <w:szCs w:val="18"/>
          <w:color w:val="auto"/>
        </w:rPr>
        <w:t>The Company and Vertex closed the Vertex Agreement in February 2023, as amended in October 2023, pursuant to which the Company granted Vertex an exclusive worldwide license to research, develop, manufacture and commercialize VX-670, as well as any additional EEV-based therapeutic candidates that may be identified by the Company for the potential treatment of myotonic dystrophy type 1 (DM1) in the course of the parties’ global research collaboration. In October 2023, the Company and Vertex amended the Strategic Collaboration and License Agreement to clarify a milestone and related payment terms.</w:t>
      </w:r>
    </w:p>
    <w:p>
      <w:pPr>
        <w:spacing w:after="0" w:line="181"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17"/>
          <w:szCs w:val="17"/>
          <w:color w:val="auto"/>
        </w:rPr>
        <w:t>The Vertex Agreement provides for a four-year global research collaboration under which Entrada will continue to perform preclinical development of the Company's partnered candidate VX-670 pursuant to the mutually agreed-upon research plan (Research Plan). The Research Plan is overseen by a Joint Research Committee (JRC) as detailed in the Vertex Agreement. Pursuant to the terms of the Vertex Agreement, the JRC may amend the Research Plan to include additional DM1-related research activities with a goal of identifying other EEV-based therapeutic product candidates for the potential treatment of DM1. Vertex is obligated to reimburse the Company’s research expenses incurred in performing activities under the Research Plan.</w:t>
      </w:r>
    </w:p>
    <w:p>
      <w:pPr>
        <w:spacing w:after="0" w:line="164"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Pursuant to the Vertex Agreement, the Company received an upfront payment of $223.7 million, and Vertex made an equity investment of $26.3 million by purchasing 1,618,613 shares of the Company's common stock, pursuant to a separate but simultaneously executed stock purchase agreement. Under the terms of the Vertex Agreement, the Company is eligible to receive up to $485.0 million upon the achievement of certain research, development, regulatory and commercial milestones. The Company will also receive tiered royalties, from the mid to high single digits based on potential future net sales of licensed products as set forth in the Vertex Agreement. In October 2023, the Company achieved a milestone pursuant to the Vertex Agreement related to preclinical IND-enabling GLP toxicology studies of VX-670 that triggered a $17.5 million milestone payment, which the Company received in November 2023.</w:t>
      </w:r>
    </w:p>
    <w:p>
      <w:pPr>
        <w:spacing w:after="0" w:line="18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term of the Vertex Agreement will expire in its entirety upon expiration of the royalty term as set forth in the Vertex Agreement. Vertex may terminate the Vertex Agreement for convenience by providing adequate written notice to the Company. The Company may terminate the Vertex Agreement under certain specified circumstances, including in the event Vertex or any of its affiliates or sublicensees challenges directly or indirectly in a legal or administrative proceeding the patentability, enforceability, or validity of any licensed patent as set forth in the Vertex Agreement. Either party may</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terminate the Vertex Agreement for an uncured material breach by the other party or upon the bankruptcy or insolvency of the other party. Neither party may assign the agreement without the prior written consent of the other party, except that a party may assign its rights and obligations to an affiliate or third party that acquires all or substantially all of the business or assets to which the Vertex Agreement relates and agrees in writing to be bound by the terms of the Vertex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Vertex Agreement - Accounting Analysis</w:t>
      </w:r>
    </w:p>
    <w:p>
      <w:pPr>
        <w:spacing w:after="0" w:line="216"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The Company determined that the Vertex Agreement should be accounted for in accordance with ASC 606 as Vertex was deemed to be a customer. The Company assessed the promised goods and services under the Vertex Agreement in accordance with ASC 606. At inception, the Vertex Agreement included one performance obligation which was the combination of the exclusive license and the performance of the research activities for VX-670 (Performance Obligation One). The Company concluded that the license is not distinct from the research and development services for VX-670 during the research collaboration as Vertex cannot fully exploit the value of the license without receipt of such services. The Company also determined, at inception, that Vertex's ability to engage Entrada to perform work on additional EEV-based therapeutic candidates for the potential treatment of DM1 through the JRC represented customer options. The Company concluded that these customer options do not represent a material right as these services will be reimbursed by Vertex at a price that represents standalone selling price for such services.</w:t>
      </w:r>
    </w:p>
    <w:p>
      <w:pPr>
        <w:spacing w:after="0" w:line="20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the second quarter of 2023, pursuant to the terms of the agreement, Vertex amended the Research Plan (The Amended Research Plan) to engage Entrada to perform work on additional EEV-based therapeutic candidates for the potential treatment of DM1 (Performance Obligation Two). Such work is treated as a separate contract for accounting purposes and represents a separate performance obligation as the activities are distinct from the combined license and research activities for VX-670.</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Determination of Transaction Price</w:t>
      </w:r>
    </w:p>
    <w:p>
      <w:pPr>
        <w:spacing w:after="0" w:line="214"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At the commencement of the arrangement, the Vertex Agreement had a fixed transaction price of $232.0 million, primarily consisting of the $223.7 million upfront fee plus a premium of $6.9 million related to the 1,618,613 shares sold to Vertex under the Stock Purchase Agreement when measured at fair value on the date of issuance. The shares issued to Vertex pursuant to the Stock Purchase Agreement were unregistered and therefore considered restricted securities at the time of issuance. As a result, the fair value of the shares issued to Vertex of $19.4 million was calculated using the closing price of the Company's unrestricted common shares on February 8, 2023, adjusted to reflect a discount for lack of marketability (DLOM) due to the shares issued being unregistered and therefore subject to related sale restrictions.</w:t>
      </w:r>
    </w:p>
    <w:p>
      <w:pPr>
        <w:spacing w:after="0" w:line="180"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Company is also entitled to reimbursement of costs incurred in connection with the delivery of services performed for VX-670 and for additional EEV-based therapeutic candidates under the Amended Research Plan. The Company utilized the most likely amount approach to estimate the expected cost reimbursement. The Company concluded that these amounts do not require a constraint and are included in the transaction price at inception. The Company considers this estimate at each reporting date and updates the estimate based on information available.</w:t>
      </w:r>
    </w:p>
    <w:p>
      <w:pPr>
        <w:spacing w:after="0" w:line="191"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In October 2023, the Company achieved a milestone related to preclinical IND-enabling GLP toxicology studies of VX-670, which triggered a $17.5 million payment that was received in November 2023. Upon the achievement of the milestone, the Company recorded a $7.8 million cumulative catch-up entry to collaboration revenue. No additional milestones were deemed probable of being achieved as of December 31, 2023 and, therefore, all remaining milestone payments were fully constrained and excluded from the transaction price as of December 31, 2023. The Company re-evaluates the probability of achievement of development milestones and any related constraint at each period end, and if necessary, adjusts its estimate of the overall transaction price. Any such adjustments are recorded on a cumulative catch-up basis, which would affect collaboration revenue in the period of adjustment.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and Recognition</w:t>
      </w:r>
    </w:p>
    <w:p>
      <w:pPr>
        <w:spacing w:after="0" w:line="214"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As of December 31, 2023, the transaction price for the combination of the exclusive license and the performance of the research activities for VX-670 consists of (i) the upfront payment, (ii) the milestone achieved in October 2023 and (iii) reimbursement of costs incurred in connection with the delivery of services under the Amended Research Plan associated with VX-670. The transaction price for the work on additional EEV-based therapeutic candidates consists of the reimbursement of costs incurred in connection with the delivery of services under the Amended Research Plan associated with such work.</w:t>
      </w:r>
    </w:p>
    <w:p>
      <w:pPr>
        <w:spacing w:after="0" w:line="195"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revenue associated with both performance obligations as the related research and development services are provided using an input method, according to the costs incurred as related to the respective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auto"/>
        </w:rPr>
        <w:t>research services and the costs expected to be incurred in the future to satisfy the performance obligations in accordance with the Amended Research Plan. The transfer of control occurs over this time period and, in management’s judgment, is the best measure of progress towards satisfying the performance obligations. The estimated costs associated with the remaining effort required to complete the performance obligations in accordance with the research plans may change, which may materially impact revenue recognition. The Company regularly evaluates and, when necessary, updates the costs associated with the remaining effort pursuant to the performance obligations under the Vertex Agreement and records any necessary adjustment to revenue for the change in estimate.</w:t>
      </w:r>
    </w:p>
    <w:p>
      <w:pPr>
        <w:spacing w:after="0" w:line="180"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amounts received that have not yet been recognized as revenue are deferred on the Company’s consolidated balance sheet and will be recognized over the remaining research and development period until the performance obligation is satisfied. The performance obligations have not been fully satisfied as of December 31, 2023.</w:t>
      </w:r>
    </w:p>
    <w:p>
      <w:pPr>
        <w:spacing w:after="0" w:line="16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revenue recognized in connection with the Company's performance under the Vertex Agreement during the year ended December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50"/>
        </w:trPr>
        <w:tc>
          <w:tcPr>
            <w:tcW w:w="81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services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Recognition of upfront and milestone payments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111,505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The aggregate amount of the transaction price allocated to the Company’s unsatisfied performance obligations and recorded in deferred revenue at December 31, 2023 is $139.0 million. The Company will recognize the deferred revenue related to the research and development services based on a cost input method, over the remaining term of the research plan.</w:t>
      </w:r>
    </w:p>
    <w:p>
      <w:pPr>
        <w:ind w:left="660"/>
        <w:spacing w:after="0"/>
        <w:rPr>
          <w:sz w:val="20"/>
          <w:szCs w:val="20"/>
          <w:color w:val="auto"/>
        </w:rPr>
      </w:pPr>
      <w:r>
        <w:rPr>
          <w:rFonts w:ascii="Times New Roman" w:cs="Times New Roman" w:eastAsia="Times New Roman" w:hAnsi="Times New Roman"/>
          <w:sz w:val="18"/>
          <w:szCs w:val="18"/>
          <w:color w:val="auto"/>
        </w:rPr>
        <w:t>The costs incurred to perform the research activities pursuant to the Vertex Agreement are recorded in research and development expenses.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Pierrepont Agreement</w:t>
      </w:r>
    </w:p>
    <w:p>
      <w:pPr>
        <w:spacing w:after="0" w:line="243"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In July 2023, the Company and Pierrepont Therapeutics, Inc. (Pierrepont) entered into a license agreement (the Pierrepont Agreement) to advance the development of ENTR-501, the Company’s intracellular thymidine phosphorylase enzyme replacement therapy in development for the treatment of mitochondrial neurogastrointestinal encephalomyopathy (MNGIE). The Company recognized no revenue related to this agreement for the year ended December 31, 2023 as the underlying performance obligations had not been delivered as of December 31,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Employee Benefit Plan</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Company has a defined-contribution plan under Section 401(k) of the Code (401(k) Plan). The 401(k) Plan covers all employees who meet defined minimum age and service requirements and allows participants to defer a portion of their annual compensation on a pre-tax basis. In 2022, the Company began making matching contributions to the Plan. The Company's contributions were $0.9 million and $0.7 million for the years ended December 31,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22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7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5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(94,616)</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56"/>
        </w:trPr>
        <w:tc>
          <w:tcPr>
            <w:tcW w:w="796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common shares outstanding, basic and diluted</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33,050,319</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31,293,312</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76"/>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Equivalents</w:t>
      </w:r>
    </w:p>
    <w:p>
      <w:pPr>
        <w:spacing w:after="0" w:line="229" w:lineRule="exact"/>
        <w:rPr>
          <w:sz w:val="20"/>
          <w:szCs w:val="20"/>
          <w:color w:val="auto"/>
        </w:rPr>
      </w:pPr>
    </w:p>
    <w:p>
      <w:pPr>
        <w:ind w:firstLine="648"/>
        <w:spacing w:after="0" w:line="278" w:lineRule="auto"/>
        <w:rPr>
          <w:sz w:val="20"/>
          <w:szCs w:val="20"/>
          <w:color w:val="auto"/>
        </w:rPr>
      </w:pPr>
      <w:r>
        <w:rPr>
          <w:rFonts w:ascii="Times New Roman" w:cs="Times New Roman" w:eastAsia="Times New Roman" w:hAnsi="Times New Roman"/>
          <w:sz w:val="18"/>
          <w:szCs w:val="18"/>
          <w:color w:val="auto"/>
        </w:rPr>
        <w:t>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280" w:type="dxa"/>
            <w:vAlign w:val="bottom"/>
            <w:gridSpan w:val="3"/>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79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86"/>
        </w:trPr>
        <w:tc>
          <w:tcPr>
            <w:tcW w:w="7960" w:type="dxa"/>
            <w:vAlign w:val="bottom"/>
          </w:tcPr>
          <w:p>
            <w:pPr>
              <w:spacing w:after="0"/>
              <w:rPr>
                <w:sz w:val="16"/>
                <w:szCs w:val="16"/>
                <w:color w:val="auto"/>
              </w:rPr>
            </w:pPr>
          </w:p>
        </w:tc>
        <w:tc>
          <w:tcPr>
            <w:tcW w:w="160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9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1,268,461</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463,964</w:t>
            </w:r>
          </w:p>
        </w:tc>
      </w:tr>
      <w:tr>
        <w:trPr>
          <w:trHeight w:val="25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shares from early exercises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14,745</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53,741</w:t>
            </w:r>
          </w:p>
        </w:tc>
      </w:tr>
      <w:tr>
        <w:trPr>
          <w:trHeight w:val="25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5,414,360</w:t>
            </w:r>
          </w:p>
        </w:tc>
        <w:tc>
          <w:tcPr>
            <w:tcW w:w="8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5,028,850</w:t>
            </w:r>
          </w:p>
        </w:tc>
      </w:tr>
      <w:tr>
        <w:trPr>
          <w:trHeight w:val="250"/>
        </w:trPr>
        <w:tc>
          <w:tcPr>
            <w:tcW w:w="7960" w:type="dxa"/>
            <w:vAlign w:val="bottom"/>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6,697,566</w:t>
            </w:r>
          </w:p>
        </w:tc>
        <w:tc>
          <w:tcPr>
            <w:tcW w:w="80" w:type="dxa"/>
            <w:vAlign w:val="bottom"/>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5,546,555</w:t>
            </w:r>
          </w:p>
        </w:tc>
      </w:tr>
      <w:tr>
        <w:trPr>
          <w:trHeight w:val="27"/>
        </w:trPr>
        <w:tc>
          <w:tcPr>
            <w:tcW w:w="79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subsequent events were evaluated through the date on which these consolidated financial statements were issued to determine if such events should be reflected in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Our management, with the participation of our Chief Executive Officer and our Chief Financial Officer (our principal executive officer and principal financial and accounting officer, respectively), evaluated the effectiveness of our disclosure controls and procedures as of December 31, 2023.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7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2023, our Chief Executive Officer and our Chief Financial Officer concluded that, as of such date,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16"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financial statements for external purposes in accordance with generally accepted accounting principles in the United States. Because of its inherent limitations, internal control over financial reporting may not prevent or detect misstatements.</w:t>
      </w:r>
    </w:p>
    <w:p>
      <w:pPr>
        <w:spacing w:after="0" w:line="19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December 31, 2023 based on the criteria established in "Internal Control - Integrated Framework (2013)" issued by the Committee of Sponsoring Organizations of the Treadway Commission (COSO). Based on this assessment, our management concluded that our internal control over financial reporting was effective as of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the Registered Public Accounting Firm</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independent registered public accounting firm regarding our internal control over financial reporting due to an exemption provided by the JOBS Act for “emerging growth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December 31, 2023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our officers (as defined in Rule 16a–1(f)) and directors may enter into Rule 10b5-1 or non-Rule 10b5-1 trading arrangements (as each such term is defined in Item 408 of Regulation S-K). During the three months</w:t>
      </w:r>
    </w:p>
    <w:p>
      <w:pPr>
        <w:sectPr>
          <w:pgSz w:w="11900" w:h="16838" w:orient="portrait"/>
          <w:cols w:equalWidth="0" w:num="1">
            <w:col w:w="11160"/>
          </w:cols>
          <w:pgMar w:left="320" w:top="607"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07" w:right="419" w:bottom="1440"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December 31, 2023, our officers and directors took the following actions with respect to 10b5-1 trading arrangements:</w:t>
      </w:r>
    </w:p>
    <w:p>
      <w:pPr>
        <w:spacing w:after="0" w:line="27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Trading Arrangement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960" w:type="dxa"/>
            <w:vAlign w:val="bottom"/>
          </w:tcPr>
          <w:p>
            <w:pPr>
              <w:spacing w:after="0"/>
              <w:rPr>
                <w:sz w:val="12"/>
                <w:szCs w:val="12"/>
                <w:color w:val="auto"/>
              </w:rPr>
            </w:pPr>
          </w:p>
        </w:tc>
        <w:tc>
          <w:tcPr>
            <w:tcW w:w="14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560" w:type="dxa"/>
            <w:vAlign w:val="bottom"/>
            <w:tcBorders>
              <w:top w:val="single" w:sz="8" w:color="auto"/>
            </w:tcBorders>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Type of Trading</w:t>
            </w:r>
          </w:p>
        </w:tc>
        <w:tc>
          <w:tcPr>
            <w:tcW w:w="146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Nature of Trading</w:t>
            </w:r>
          </w:p>
        </w:tc>
        <w:tc>
          <w:tcPr>
            <w:tcW w:w="100" w:type="dxa"/>
            <w:vAlign w:val="bottom"/>
          </w:tcPr>
          <w:p>
            <w:pPr>
              <w:spacing w:after="0"/>
              <w:rPr>
                <w:sz w:val="12"/>
                <w:szCs w:val="12"/>
                <w:color w:val="auto"/>
              </w:rPr>
            </w:pPr>
          </w:p>
        </w:tc>
        <w:tc>
          <w:tcPr>
            <w:tcW w:w="162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Total Shares to be Sold</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96"/>
        </w:trPr>
        <w:tc>
          <w:tcPr>
            <w:tcW w:w="196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100" w:type="dxa"/>
            <w:vAlign w:val="bottom"/>
            <w:vMerge w:val="restart"/>
          </w:tcPr>
          <w:p>
            <w:pPr>
              <w:spacing w:after="0"/>
              <w:rPr>
                <w:sz w:val="8"/>
                <w:szCs w:val="8"/>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100" w:type="dxa"/>
            <w:vAlign w:val="bottom"/>
            <w:vMerge w:val="restart"/>
          </w:tcPr>
          <w:p>
            <w:pPr>
              <w:spacing w:after="0"/>
              <w:rPr>
                <w:sz w:val="8"/>
                <w:szCs w:val="8"/>
                <w:color w:val="auto"/>
              </w:rPr>
            </w:pPr>
          </w:p>
        </w:tc>
        <w:tc>
          <w:tcPr>
            <w:tcW w:w="162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60" w:type="dxa"/>
            <w:vAlign w:val="bottom"/>
            <w:tcBorders>
              <w:bottom w:val="single" w:sz="8" w:color="CCEEFF"/>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vMerge w:val="continue"/>
          </w:tcPr>
          <w:p>
            <w:pPr>
              <w:spacing w:after="0"/>
              <w:rPr>
                <w:sz w:val="8"/>
                <w:szCs w:val="8"/>
                <w:color w:val="auto"/>
              </w:rPr>
            </w:pPr>
          </w:p>
        </w:tc>
        <w:tc>
          <w:tcPr>
            <w:tcW w:w="14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vMerge w:val="continue"/>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9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plan</w:t>
            </w:r>
          </w:p>
        </w:tc>
        <w:tc>
          <w:tcPr>
            <w:tcW w:w="15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Sale of the</w:t>
            </w:r>
          </w:p>
        </w:tc>
        <w:tc>
          <w:tcPr>
            <w:tcW w:w="16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9"/>
              </w:rPr>
              <w:t>intended to satisfy</w:t>
            </w:r>
          </w:p>
        </w:tc>
        <w:tc>
          <w:tcPr>
            <w:tcW w:w="1560" w:type="dxa"/>
            <w:vAlign w:val="bottom"/>
            <w:gridSpan w:val="2"/>
            <w:vMerge w:val="continue"/>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Natarajan Sethuraman</w:t>
            </w:r>
          </w:p>
        </w:tc>
        <w:tc>
          <w:tcPr>
            <w:tcW w:w="142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Adopt</w:t>
            </w:r>
          </w:p>
        </w:tc>
        <w:tc>
          <w:tcPr>
            <w:tcW w:w="160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12/14/2023</w:t>
            </w: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9"/>
              </w:rPr>
              <w:t>the affirmative</w:t>
            </w:r>
          </w:p>
        </w:tc>
        <w:tc>
          <w:tcPr>
            <w:tcW w:w="1560" w:type="dxa"/>
            <w:vAlign w:val="bottom"/>
            <w:gridSpan w:val="2"/>
            <w:shd w:val="clear" w:color="auto" w:fill="CCEEFF"/>
          </w:tcPr>
          <w:p>
            <w:pPr>
              <w:jc w:val="center"/>
              <w:ind w:right="80"/>
              <w:spacing w:after="0" w:line="202" w:lineRule="exact"/>
              <w:rPr>
                <w:sz w:val="20"/>
                <w:szCs w:val="20"/>
                <w:color w:val="auto"/>
              </w:rPr>
            </w:pPr>
            <w:r>
              <w:rPr>
                <w:rFonts w:ascii="Times New Roman" w:cs="Times New Roman" w:eastAsia="Times New Roman" w:hAnsi="Times New Roman"/>
                <w:sz w:val="18"/>
                <w:szCs w:val="18"/>
                <w:color w:val="auto"/>
                <w:w w:val="99"/>
              </w:rPr>
              <w:t>Company's</w:t>
            </w:r>
          </w:p>
        </w:tc>
        <w:tc>
          <w:tcPr>
            <w:tcW w:w="1620" w:type="dxa"/>
            <w:vAlign w:val="bottom"/>
            <w:vMerge w:val="restart"/>
            <w:shd w:val="clear" w:color="auto" w:fill="CCEEFF"/>
          </w:tcPr>
          <w:p>
            <w:pPr>
              <w:jc w:val="center"/>
              <w:ind w:right="439"/>
              <w:spacing w:after="0"/>
              <w:rPr>
                <w:sz w:val="20"/>
                <w:szCs w:val="20"/>
                <w:color w:val="auto"/>
              </w:rPr>
            </w:pPr>
            <w:r>
              <w:rPr>
                <w:rFonts w:ascii="Times New Roman" w:cs="Times New Roman" w:eastAsia="Times New Roman" w:hAnsi="Times New Roman"/>
                <w:sz w:val="18"/>
                <w:szCs w:val="18"/>
                <w:color w:val="auto"/>
              </w:rPr>
              <w:t xml:space="preserve">33,856 </w:t>
            </w:r>
            <w:r>
              <w:rPr>
                <w:rFonts w:ascii="Times New Roman" w:cs="Times New Roman" w:eastAsia="Times New Roman" w:hAnsi="Times New Roman"/>
                <w:sz w:val="23"/>
                <w:szCs w:val="23"/>
                <w:color w:val="auto"/>
                <w:vertAlign w:val="superscript"/>
              </w:rPr>
              <w:t>(1)</w:t>
            </w:r>
          </w:p>
        </w:tc>
        <w:tc>
          <w:tcPr>
            <w:tcW w:w="1420" w:type="dxa"/>
            <w:vAlign w:val="bottom"/>
            <w:vMerge w:val="restart"/>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4/13/2025</w:t>
            </w:r>
          </w:p>
        </w:tc>
        <w:tc>
          <w:tcPr>
            <w:tcW w:w="0" w:type="dxa"/>
            <w:vAlign w:val="bottom"/>
          </w:tcPr>
          <w:p>
            <w:pPr>
              <w:spacing w:after="0"/>
              <w:rPr>
                <w:sz w:val="1"/>
                <w:szCs w:val="1"/>
                <w:color w:val="auto"/>
              </w:rPr>
            </w:pPr>
          </w:p>
        </w:tc>
      </w:tr>
      <w:tr>
        <w:trPr>
          <w:trHeight w:val="81"/>
        </w:trPr>
        <w:tc>
          <w:tcPr>
            <w:tcW w:w="1960" w:type="dxa"/>
            <w:vAlign w:val="bottom"/>
            <w:vMerge w:val="continue"/>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16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560" w:type="dxa"/>
            <w:vAlign w:val="bottom"/>
            <w:gridSpan w:val="2"/>
            <w:vMerge w:val="restart"/>
            <w:shd w:val="clear" w:color="auto" w:fill="CCEEFF"/>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9"/>
              </w:rPr>
              <w:t>defense conditions</w:t>
            </w:r>
          </w:p>
        </w:tc>
        <w:tc>
          <w:tcPr>
            <w:tcW w:w="1560" w:type="dxa"/>
            <w:vAlign w:val="bottom"/>
            <w:gridSpan w:val="2"/>
            <w:vMerge w:val="restart"/>
            <w:shd w:val="clear" w:color="auto" w:fill="CCEEFF"/>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rPr>
              <w:t>common stock</w:t>
            </w:r>
          </w:p>
        </w:tc>
        <w:tc>
          <w:tcPr>
            <w:tcW w:w="1620" w:type="dxa"/>
            <w:vAlign w:val="bottom"/>
            <w:vMerge w:val="continue"/>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9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Scientific Officer)</w:t>
            </w:r>
          </w:p>
        </w:tc>
        <w:tc>
          <w:tcPr>
            <w:tcW w:w="1420" w:type="dxa"/>
            <w:vAlign w:val="bottom"/>
            <w:vMerge w:val="continue"/>
            <w:shd w:val="clear" w:color="auto" w:fill="CCEEFF"/>
          </w:tcPr>
          <w:p>
            <w:pPr>
              <w:spacing w:after="0"/>
              <w:rPr>
                <w:sz w:val="10"/>
                <w:szCs w:val="10"/>
                <w:color w:val="auto"/>
              </w:rPr>
            </w:pPr>
          </w:p>
        </w:tc>
        <w:tc>
          <w:tcPr>
            <w:tcW w:w="16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60" w:type="dxa"/>
            <w:vAlign w:val="bottom"/>
            <w:gridSpan w:val="2"/>
            <w:vMerge w:val="continue"/>
            <w:shd w:val="clear" w:color="auto" w:fill="CCEEFF"/>
          </w:tcPr>
          <w:p>
            <w:pPr>
              <w:spacing w:after="0"/>
              <w:rPr>
                <w:sz w:val="10"/>
                <w:szCs w:val="10"/>
                <w:color w:val="auto"/>
              </w:rPr>
            </w:pPr>
          </w:p>
        </w:tc>
        <w:tc>
          <w:tcPr>
            <w:tcW w:w="1560" w:type="dxa"/>
            <w:vAlign w:val="bottom"/>
            <w:gridSpan w:val="2"/>
            <w:vMerge w:val="continue"/>
            <w:shd w:val="clear" w:color="auto" w:fill="CCEEFF"/>
          </w:tcPr>
          <w:p>
            <w:pPr>
              <w:spacing w:after="0"/>
              <w:rPr>
                <w:sz w:val="10"/>
                <w:szCs w:val="10"/>
                <w:color w:val="auto"/>
              </w:rPr>
            </w:pPr>
          </w:p>
        </w:tc>
        <w:tc>
          <w:tcPr>
            <w:tcW w:w="1620" w:type="dxa"/>
            <w:vAlign w:val="bottom"/>
            <w:vMerge w:val="continue"/>
            <w:shd w:val="clear" w:color="auto" w:fill="CCEEFF"/>
          </w:tcPr>
          <w:p>
            <w:pPr>
              <w:spacing w:after="0"/>
              <w:rPr>
                <w:sz w:val="10"/>
                <w:szCs w:val="10"/>
                <w:color w:val="auto"/>
              </w:rPr>
            </w:pPr>
          </w:p>
        </w:tc>
        <w:tc>
          <w:tcPr>
            <w:tcW w:w="14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960" w:type="dxa"/>
            <w:vAlign w:val="bottom"/>
            <w:vMerge w:val="continue"/>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60" w:type="dxa"/>
            <w:vAlign w:val="bottom"/>
            <w:gridSpan w:val="2"/>
            <w:vMerge w:val="restart"/>
            <w:shd w:val="clear" w:color="auto" w:fill="CCEEFF"/>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9"/>
              </w:rPr>
              <w:t>of Securities</w:t>
            </w:r>
          </w:p>
        </w:tc>
        <w:tc>
          <w:tcPr>
            <w:tcW w:w="1560" w:type="dxa"/>
            <w:vAlign w:val="bottom"/>
            <w:gridSpan w:val="2"/>
            <w:vMerge w:val="restart"/>
            <w:shd w:val="clear" w:color="auto" w:fill="CCEEFF"/>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9"/>
              </w:rPr>
              <w:t>pursuant to the</w:t>
            </w:r>
          </w:p>
        </w:tc>
        <w:tc>
          <w:tcPr>
            <w:tcW w:w="16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96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560" w:type="dxa"/>
            <w:vAlign w:val="bottom"/>
            <w:gridSpan w:val="2"/>
            <w:vMerge w:val="continue"/>
            <w:shd w:val="clear" w:color="auto" w:fill="CCEEFF"/>
          </w:tcPr>
          <w:p>
            <w:pPr>
              <w:spacing w:after="0"/>
              <w:rPr>
                <w:sz w:val="7"/>
                <w:szCs w:val="7"/>
                <w:color w:val="auto"/>
              </w:rPr>
            </w:pPr>
          </w:p>
        </w:tc>
        <w:tc>
          <w:tcPr>
            <w:tcW w:w="1560" w:type="dxa"/>
            <w:vAlign w:val="bottom"/>
            <w:gridSpan w:val="2"/>
            <w:vMerge w:val="continue"/>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Exchange Act Rule</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terms of the plan</w:t>
            </w:r>
          </w:p>
        </w:tc>
        <w:tc>
          <w:tcPr>
            <w:tcW w:w="1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10b5-1(c)</w:t>
            </w: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320" w:hanging="312"/>
        <w:spacing w:after="0"/>
        <w:tabs>
          <w:tab w:leader="none" w:pos="3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increase based on any shares not sold under a previous 10b5-1 plan which will expire in April of 2024.</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our definitive proxy statement relating to our 2024 Annual Meeting of Stockholders, which we will file with the SEC within 120 days of the end of the fiscal year, and is incorporated herein by reference.</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have adopted a Code of Business Conduct that applies to all officers, directors and employees in connection with their work for us. The full text of our Code of Business Conduct is posted on the investor relations page of our website at https://ir.entradatx.com/corporate-governance.</w:t>
      </w:r>
    </w:p>
    <w:p>
      <w:pPr>
        <w:spacing w:after="0" w:line="18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intend to satisfy any disclosure requirements under Item 5.05 of Form 8-K regarding an amendment to, or waiver from, a provision of this Code of Business Conduct by posting such information on our website, at the Internet address and location specified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relating to our 2024 Annual Meeting of Stockholders, which we will file with the SEC within 120 days of the end of the fiscal year,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our definitive proxy statement relating to our 2024 Annual Meeting of Stockholders, which we will file with the SEC within 120 days of the end of the fiscal year,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relating to our 2024 Annual Meeting of Stockholders, which we will file with the SEC within 120 days of the end of the fiscal year,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relating to our 2024 Annual Meeting of Stockholders, which we will file with the SEC within 120 days of the end of the fiscal year,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07"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auto"/>
        </w:rPr>
        <w:t>Ex</w:t>
      </w:r>
      <w:r>
        <w:rPr>
          <w:rFonts w:ascii="Times New Roman" w:cs="Times New Roman" w:eastAsia="Times New Roman" w:hAnsi="Times New Roman"/>
          <w:sz w:val="18"/>
          <w:szCs w:val="18"/>
          <w:b w:val="1"/>
          <w:bCs w:val="1"/>
          <w:color w:val="231F20"/>
        </w:rPr>
        <w:t>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Exhibit</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Number</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80" w:type="dxa"/>
            <w:vAlign w:val="bottom"/>
            <w:gridSpan w:val="22"/>
          </w:tcPr>
          <w:p>
            <w:pPr>
              <w:ind w:left="1200"/>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23"/>
        </w:trPr>
        <w:tc>
          <w:tcPr>
            <w:tcW w:w="1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480" w:type="dxa"/>
            <w:vAlign w:val="bottom"/>
            <w:gridSpan w:val="29"/>
            <w:vMerge w:val="restart"/>
          </w:tcPr>
          <w:p>
            <w:pPr>
              <w:spacing w:after="0"/>
              <w:rPr>
                <w:rFonts w:ascii="Times New Roman" w:cs="Times New Roman" w:eastAsia="Times New Roman" w:hAnsi="Times New Roman"/>
                <w:sz w:val="18"/>
                <w:szCs w:val="18"/>
                <w:color w:val="0000FF"/>
                <w:w w:val="99"/>
              </w:rPr>
            </w:pPr>
            <w:hyperlink r:id="rId223">
              <w:r>
                <w:rPr>
                  <w:rFonts w:ascii="Times New Roman" w:cs="Times New Roman" w:eastAsia="Times New Roman" w:hAnsi="Times New Roman"/>
                  <w:sz w:val="18"/>
                  <w:szCs w:val="18"/>
                  <w:color w:val="0000FF"/>
                  <w:w w:val="99"/>
                </w:rPr>
                <w:t>Fourth Amended and Restated Certificate of Incorporation of the Registrant (incorporated by reference to Exhibit 3.1 to the Current</w:t>
              </w:r>
            </w:hyperlink>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5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5"/>
                <w:szCs w:val="15"/>
                <w:color w:val="auto"/>
              </w:rPr>
            </w:pPr>
          </w:p>
        </w:tc>
        <w:tc>
          <w:tcPr>
            <w:tcW w:w="9480" w:type="dxa"/>
            <w:vAlign w:val="bottom"/>
            <w:tcBorders>
              <w:bottom w:val="single" w:sz="8" w:color="0000FF"/>
            </w:tcBorders>
            <w:gridSpan w:val="29"/>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23">
              <w:r>
                <w:rPr>
                  <w:rFonts w:ascii="Times New Roman" w:cs="Times New Roman" w:eastAsia="Times New Roman" w:hAnsi="Times New Roman"/>
                  <w:sz w:val="18"/>
                  <w:szCs w:val="18"/>
                  <w:color w:val="0000FF"/>
                  <w:w w:val="99"/>
                </w:rPr>
                <w:t>Report on Form 8-K filed by the Registrant on November 2, 2021).</w:t>
              </w:r>
            </w:hyperlink>
          </w:p>
        </w:tc>
        <w:tc>
          <w:tcPr>
            <w:tcW w:w="46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94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Amended and Restated Bylaws of the Registrant (incorporated by reference to Exhibit 3.2 to the Current Report on Form 8-K filed</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00" w:type="dxa"/>
            <w:vAlign w:val="bottom"/>
            <w:gridSpan w:val="30"/>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by the Registrant on November 2, 2021).</w:t>
              </w:r>
            </w:hyperlink>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93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225">
              <w:r>
                <w:rPr>
                  <w:rFonts w:ascii="Times New Roman" w:cs="Times New Roman" w:eastAsia="Times New Roman" w:hAnsi="Times New Roman"/>
                  <w:sz w:val="18"/>
                  <w:szCs w:val="18"/>
                  <w:color w:val="0000FF"/>
                  <w:w w:val="99"/>
                </w:rPr>
                <w:t>Specimen Common Stock Certificate (incorporated by reference to Exhibit 4.1 to the Registration Statement on Form S-1 filed by</w:t>
              </w:r>
            </w:hyperlink>
          </w:p>
        </w:tc>
        <w:tc>
          <w:tcPr>
            <w:tcW w:w="1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25">
              <w:r>
                <w:rPr>
                  <w:rFonts w:ascii="Times New Roman" w:cs="Times New Roman" w:eastAsia="Times New Roman" w:hAnsi="Times New Roman"/>
                  <w:sz w:val="18"/>
                  <w:szCs w:val="18"/>
                  <w:color w:val="0000FF"/>
                  <w:w w:val="99"/>
                </w:rPr>
                <w:t>the Registrant on October 25, 2021).</w:t>
              </w:r>
            </w:hyperlink>
          </w:p>
        </w:tc>
        <w:tc>
          <w:tcPr>
            <w:tcW w:w="68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9500" w:type="dxa"/>
            <w:vAlign w:val="bottom"/>
            <w:gridSpan w:val="30"/>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Amended and Restated Investors’ Rights Agreement among the Registrant and certain of its stockholders, effective as of March 29,</w:t>
              </w:r>
            </w:hyperlink>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60" w:type="dxa"/>
            <w:vAlign w:val="bottom"/>
            <w:tcBorders>
              <w:top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2021 (incorporated by reference to Exhibit 4.2 to the Registration Statement on Form S-1 filed by the Registrant on October 8,</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4"/>
              </w:rPr>
            </w:pPr>
            <w:hyperlink r:id="rId226">
              <w:r>
                <w:rPr>
                  <w:rFonts w:ascii="Times New Roman" w:cs="Times New Roman" w:eastAsia="Times New Roman" w:hAnsi="Times New Roman"/>
                  <w:sz w:val="18"/>
                  <w:szCs w:val="18"/>
                  <w:color w:val="0000FF"/>
                  <w:w w:val="94"/>
                </w:rPr>
                <w:t>2021).</w:t>
              </w:r>
            </w:hyperlink>
          </w:p>
        </w:tc>
        <w:tc>
          <w:tcPr>
            <w:tcW w:w="26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11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620" w:type="dxa"/>
            <w:vAlign w:val="bottom"/>
            <w:tcBorders>
              <w:top w:val="single" w:sz="8" w:color="0000FF"/>
            </w:tcBorders>
          </w:tcPr>
          <w:p>
            <w:pPr>
              <w:spacing w:after="0"/>
              <w:rPr>
                <w:sz w:val="15"/>
                <w:szCs w:val="15"/>
                <w:color w:val="auto"/>
              </w:rPr>
            </w:pPr>
          </w:p>
        </w:tc>
        <w:tc>
          <w:tcPr>
            <w:tcW w:w="10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0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92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227">
              <w:r>
                <w:rPr>
                  <w:rFonts w:ascii="Times New Roman" w:cs="Times New Roman" w:eastAsia="Times New Roman" w:hAnsi="Times New Roman"/>
                  <w:sz w:val="18"/>
                  <w:szCs w:val="18"/>
                  <w:color w:val="0000FF"/>
                  <w:w w:val="99"/>
                </w:rPr>
                <w:t>Description of Securities of the Registrant (incorporated by reference to Exhibit 4.3 to the Annual Report on Form 10-K filed by</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tcBorders>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27">
              <w:r>
                <w:rPr>
                  <w:rFonts w:ascii="Times New Roman" w:cs="Times New Roman" w:eastAsia="Times New Roman" w:hAnsi="Times New Roman"/>
                  <w:sz w:val="18"/>
                  <w:szCs w:val="18"/>
                  <w:color w:val="0000FF"/>
                  <w:w w:val="99"/>
                </w:rPr>
                <w:t>the Registrant on March 15, 2022).</w:t>
              </w:r>
            </w:hyperlink>
          </w:p>
        </w:tc>
        <w:tc>
          <w:tcPr>
            <w:tcW w:w="6720" w:type="dxa"/>
            <w:vAlign w:val="bottom"/>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9500" w:type="dxa"/>
            <w:vAlign w:val="bottom"/>
            <w:gridSpan w:val="30"/>
          </w:tcPr>
          <w:p>
            <w:pPr>
              <w:spacing w:after="0"/>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2016 Stock Incentive Plan, and forms of award agreements thereunder (incorporated by reference to Exhibit 10.1 to the Registrant’s</w:t>
              </w:r>
            </w:hyperlink>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8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Registration Statement on Form S-1, as amended filed by the Registrant on October 25, 2021).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9"/>
                <w:szCs w:val="19"/>
                <w:color w:val="auto"/>
              </w:rPr>
            </w:pPr>
          </w:p>
        </w:tc>
        <w:tc>
          <w:tcPr>
            <w:tcW w:w="93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229">
              <w:r>
                <w:rPr>
                  <w:rFonts w:ascii="Times New Roman" w:cs="Times New Roman" w:eastAsia="Times New Roman" w:hAnsi="Times New Roman"/>
                  <w:sz w:val="18"/>
                  <w:szCs w:val="18"/>
                  <w:color w:val="0000FF"/>
                  <w:w w:val="99"/>
                </w:rPr>
                <w:t>2021 Stock Option and Incentive Plan and form of award agreements thereunder (incorporated by reference to Exhibit 10.2 to the</w:t>
              </w:r>
            </w:hyperlink>
          </w:p>
        </w:tc>
        <w:tc>
          <w:tcPr>
            <w:tcW w:w="18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29">
              <w:r>
                <w:rPr>
                  <w:rFonts w:ascii="Times New Roman" w:cs="Times New Roman" w:eastAsia="Times New Roman" w:hAnsi="Times New Roman"/>
                  <w:sz w:val="18"/>
                  <w:szCs w:val="18"/>
                  <w:color w:val="0000FF"/>
                  <w:w w:val="99"/>
                </w:rPr>
                <w:t>Registration Statement on Form S-1 filed by the Registrant on October 25, 2021).</w:t>
              </w:r>
            </w:hyperlink>
          </w:p>
        </w:tc>
        <w:tc>
          <w:tcPr>
            <w:tcW w:w="36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94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230">
              <w:r>
                <w:rPr>
                  <w:rFonts w:ascii="Times New Roman" w:cs="Times New Roman" w:eastAsia="Times New Roman" w:hAnsi="Times New Roman"/>
                  <w:sz w:val="18"/>
                  <w:szCs w:val="18"/>
                  <w:color w:val="0000FF"/>
                  <w:w w:val="99"/>
                </w:rPr>
                <w:t>2021 Employee Stock Purchase Plan (incorporated by reference to Exhibit 10.3 to the Registration Statement on Form S-1 filed by</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00" w:type="dxa"/>
            <w:vAlign w:val="bottom"/>
            <w:gridSpan w:val="30"/>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the Registrant on October 25, 2021).</w:t>
              </w:r>
            </w:hyperlink>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93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231">
              <w:r>
                <w:rPr>
                  <w:rFonts w:ascii="Times New Roman" w:cs="Times New Roman" w:eastAsia="Times New Roman" w:hAnsi="Times New Roman"/>
                  <w:sz w:val="18"/>
                  <w:szCs w:val="18"/>
                  <w:color w:val="0000FF"/>
                  <w:w w:val="99"/>
                </w:rPr>
                <w:t>Form of Indemnification Agreement between the Registrant and each of its directors (incorporated by reference to Exhibit 10.4 to</w:t>
              </w:r>
            </w:hyperlink>
          </w:p>
        </w:tc>
        <w:tc>
          <w:tcPr>
            <w:tcW w:w="1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231">
              <w:r>
                <w:rPr>
                  <w:rFonts w:ascii="Times New Roman" w:cs="Times New Roman" w:eastAsia="Times New Roman" w:hAnsi="Times New Roman"/>
                  <w:sz w:val="18"/>
                  <w:szCs w:val="18"/>
                  <w:color w:val="0000FF"/>
                  <w:w w:val="99"/>
                </w:rPr>
                <w:t>the Registration Statement on Form S-1 filed by the Registrant on October 25, 2021).</w:t>
              </w:r>
            </w:hyperlink>
          </w:p>
        </w:tc>
        <w:tc>
          <w:tcPr>
            <w:tcW w:w="33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94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232">
              <w:r>
                <w:rPr>
                  <w:rFonts w:ascii="Times New Roman" w:cs="Times New Roman" w:eastAsia="Times New Roman" w:hAnsi="Times New Roman"/>
                  <w:sz w:val="18"/>
                  <w:szCs w:val="18"/>
                  <w:color w:val="0000FF"/>
                  <w:w w:val="99"/>
                </w:rPr>
                <w:t>Form of Indemnification Agreement between the Registrant and each of its executive officers (incorporated by reference to Exhibit</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32">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5</w:t>
              </w:r>
              <w:r>
                <w:rPr>
                  <w:rFonts w:ascii="Times New Roman" w:cs="Times New Roman" w:eastAsia="Times New Roman" w:hAnsi="Times New Roman"/>
                  <w:sz w:val="18"/>
                  <w:szCs w:val="18"/>
                  <w:color w:val="0000FF"/>
                  <w:w w:val="99"/>
                </w:rPr>
                <w:t xml:space="preserve"> to the Registration Statement on Form S-1 filed by the Registrant on October 25, 2021).</w:t>
              </w:r>
            </w:hyperlink>
          </w:p>
        </w:tc>
        <w:tc>
          <w:tcPr>
            <w:tcW w:w="28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94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Senior Executive Cash Incentive Bonus Plan (incorporated by reference to Exhibit 10.6 to the Registration Statement on Form S-1</w:t>
              </w:r>
            </w:hyperlink>
          </w:p>
        </w:tc>
        <w:tc>
          <w:tcPr>
            <w:tcW w:w="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00" w:type="dxa"/>
            <w:vAlign w:val="bottom"/>
            <w:gridSpan w:val="30"/>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filed by the Registrant on October 25, 2021).</w:t>
              </w:r>
            </w:hyperlink>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tcBorders>
              <w:right w:val="single" w:sz="8" w:color="0000FF"/>
            </w:tcBorders>
            <w:gridSpan w:val="5"/>
            <w:shd w:val="clear" w:color="auto" w:fill="0000FF"/>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4"/>
                <w:szCs w:val="24"/>
                <w:color w:val="auto"/>
              </w:rPr>
            </w:pPr>
          </w:p>
        </w:tc>
        <w:tc>
          <w:tcPr>
            <w:tcW w:w="9500" w:type="dxa"/>
            <w:vAlign w:val="bottom"/>
            <w:gridSpan w:val="30"/>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Form of Executive Employment Agreement (incorporated by reference to Exhibit 10.7 to the Registration Statement on Form S-1</w:t>
              </w:r>
            </w:hyperlink>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320" w:type="dxa"/>
            <w:vAlign w:val="bottom"/>
            <w:tcBorders>
              <w:top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filed by the Registrant on October 25, 2021).</w:t>
              </w:r>
            </w:hyperlink>
          </w:p>
        </w:tc>
        <w:tc>
          <w:tcPr>
            <w:tcW w:w="1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tcBorders>
              <w:right w:val="single" w:sz="8" w:color="0000FF"/>
            </w:tcBorders>
            <w:gridSpan w:val="5"/>
            <w:shd w:val="clear" w:color="auto" w:fill="0000FF"/>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9400" w:type="dxa"/>
            <w:vAlign w:val="bottom"/>
            <w:tcBorders>
              <w:bottom w:val="single" w:sz="8" w:color="3051F2"/>
            </w:tcBorders>
            <w:gridSpan w:val="24"/>
          </w:tcPr>
          <w:p>
            <w:pPr>
              <w:spacing w:after="0"/>
              <w:rPr>
                <w:rFonts w:ascii="Times New Roman" w:cs="Times New Roman" w:eastAsia="Times New Roman" w:hAnsi="Times New Roman"/>
                <w:sz w:val="18"/>
                <w:szCs w:val="18"/>
                <w:color w:val="3051F2"/>
                <w:w w:val="99"/>
              </w:rPr>
            </w:pPr>
            <w:hyperlink r:id="rId235">
              <w:r>
                <w:rPr>
                  <w:rFonts w:ascii="Times New Roman" w:cs="Times New Roman" w:eastAsia="Times New Roman" w:hAnsi="Times New Roman"/>
                  <w:sz w:val="18"/>
                  <w:szCs w:val="18"/>
                  <w:color w:val="3051F2"/>
                  <w:w w:val="99"/>
                </w:rPr>
                <w:t>Amended and Restated Non-Employee Director Compensation Policy (incorporated by reference to Exhibit 10.18 to the Form 10-</w:t>
              </w:r>
            </w:hyperlink>
          </w:p>
        </w:tc>
        <w:tc>
          <w:tcPr>
            <w:tcW w:w="20" w:type="dxa"/>
            <w:vAlign w:val="bottom"/>
          </w:tcPr>
          <w:p>
            <w:pPr>
              <w:spacing w:after="0"/>
              <w:rPr>
                <w:sz w:val="24"/>
                <w:szCs w:val="24"/>
                <w:color w:val="auto"/>
              </w:rPr>
            </w:pPr>
          </w:p>
        </w:tc>
        <w:tc>
          <w:tcPr>
            <w:tcW w:w="40" w:type="dxa"/>
            <w:vAlign w:val="bottom"/>
            <w:gridSpan w:val="3"/>
          </w:tcPr>
          <w:p>
            <w:pPr>
              <w:spacing w:after="0"/>
              <w:rPr>
                <w:sz w:val="24"/>
                <w:szCs w:val="24"/>
                <w:color w:val="auto"/>
              </w:rPr>
            </w:pPr>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20" w:type="dxa"/>
            <w:vAlign w:val="bottom"/>
            <w:tcBorders>
              <w:bottom w:val="single" w:sz="8" w:color="3051F2"/>
            </w:tcBorders>
            <w:gridSpan w:val="8"/>
          </w:tcPr>
          <w:p>
            <w:pPr>
              <w:spacing w:after="0" w:line="169" w:lineRule="exact"/>
              <w:rPr>
                <w:rFonts w:ascii="Times New Roman" w:cs="Times New Roman" w:eastAsia="Times New Roman" w:hAnsi="Times New Roman"/>
                <w:sz w:val="18"/>
                <w:szCs w:val="18"/>
                <w:color w:val="3051F2"/>
              </w:rPr>
            </w:pPr>
            <w:hyperlink r:id="rId235">
              <w:r>
                <w:rPr>
                  <w:rFonts w:ascii="Times New Roman" w:cs="Times New Roman" w:eastAsia="Times New Roman" w:hAnsi="Times New Roman"/>
                  <w:sz w:val="18"/>
                  <w:szCs w:val="18"/>
                  <w:color w:val="3051F2"/>
                </w:rPr>
                <w:t>Q filed by the Registrant on May 10, 2023).</w:t>
              </w:r>
            </w:hyperlink>
          </w:p>
        </w:tc>
        <w:tc>
          <w:tcPr>
            <w:tcW w:w="6180" w:type="dxa"/>
            <w:vAlign w:val="bottom"/>
            <w:gridSpan w:val="1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4"/>
                <w:szCs w:val="24"/>
                <w:color w:val="auto"/>
              </w:rPr>
            </w:pPr>
          </w:p>
        </w:tc>
        <w:tc>
          <w:tcPr>
            <w:tcW w:w="95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236">
              <w:r>
                <w:rPr>
                  <w:rFonts w:ascii="Times New Roman" w:cs="Times New Roman" w:eastAsia="Times New Roman" w:hAnsi="Times New Roman"/>
                  <w:sz w:val="18"/>
                  <w:szCs w:val="18"/>
                  <w:color w:val="0000FF"/>
                  <w:w w:val="99"/>
                </w:rPr>
                <w:t>Amended and Restated Employment Agreement, by and between the Registrant and Dipal Doshi, effective as of November 2, 2021</w:t>
              </w:r>
            </w:hyperlink>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2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236">
              <w:r>
                <w:rPr>
                  <w:rFonts w:ascii="Times New Roman" w:cs="Times New Roman" w:eastAsia="Times New Roman" w:hAnsi="Times New Roman"/>
                  <w:sz w:val="18"/>
                  <w:szCs w:val="18"/>
                  <w:color w:val="0000FF"/>
                  <w:w w:val="99"/>
                </w:rPr>
                <w:t>(incorporated by reference to Exhibit 10.9 to the Registration Statement on Form S-1 filed by the Registrant on October 25, 2021).</w:t>
              </w:r>
            </w:hyperlink>
          </w:p>
        </w:tc>
        <w:tc>
          <w:tcPr>
            <w:tcW w:w="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24"/>
                <w:szCs w:val="24"/>
                <w:color w:val="auto"/>
              </w:rPr>
            </w:pPr>
          </w:p>
        </w:tc>
        <w:tc>
          <w:tcPr>
            <w:tcW w:w="9500" w:type="dxa"/>
            <w:vAlign w:val="bottom"/>
            <w:gridSpan w:val="30"/>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Amended and Restated Employment Agreement, by and between the Registrant and Natarajan Sethuraman, effective as of</w:t>
              </w:r>
            </w:hyperlink>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40" w:type="dxa"/>
            <w:vAlign w:val="bottom"/>
            <w:tcBorders>
              <w:right w:val="single" w:sz="8" w:color="0000FF"/>
            </w:tcBorders>
            <w:gridSpan w:val="10"/>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00" w:type="dxa"/>
            <w:vAlign w:val="bottom"/>
            <w:gridSpan w:val="30"/>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November 2, 2021 (incorporated by reference to Exhibit 10.10 to the Registration Statement on Form S-1 filed by the Registrant on</w:t>
              </w:r>
            </w:hyperlink>
          </w:p>
        </w:tc>
        <w:tc>
          <w:tcPr>
            <w:tcW w:w="0" w:type="dxa"/>
            <w:vAlign w:val="bottom"/>
          </w:tcPr>
          <w:p>
            <w:pPr>
              <w:spacing w:after="0"/>
              <w:rPr>
                <w:sz w:val="1"/>
                <w:szCs w:val="1"/>
                <w:color w:val="auto"/>
              </w:rPr>
            </w:pPr>
          </w:p>
        </w:tc>
      </w:tr>
      <w:tr>
        <w:trPr>
          <w:trHeight w:val="183"/>
        </w:trPr>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237">
              <w:r>
                <w:rPr>
                  <w:rFonts w:ascii="Times New Roman" w:cs="Times New Roman" w:eastAsia="Times New Roman" w:hAnsi="Times New Roman"/>
                  <w:sz w:val="18"/>
                  <w:szCs w:val="18"/>
                  <w:color w:val="0000FF"/>
                  <w:w w:val="98"/>
                </w:rPr>
                <w:t>October 25, 2021).</w:t>
              </w:r>
            </w:hyperlink>
          </w:p>
        </w:tc>
        <w:tc>
          <w:tcPr>
            <w:tcW w:w="8100" w:type="dxa"/>
            <w:vAlign w:val="bottom"/>
            <w:tcBorders>
              <w:top w:val="single" w:sz="8" w:color="0000FF"/>
            </w:tcBorders>
            <w:gridSpan w:val="25"/>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24"/>
                <w:szCs w:val="24"/>
                <w:color w:val="auto"/>
              </w:rPr>
            </w:pPr>
          </w:p>
        </w:tc>
        <w:tc>
          <w:tcPr>
            <w:tcW w:w="93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238">
              <w:r>
                <w:rPr>
                  <w:rFonts w:ascii="Times New Roman" w:cs="Times New Roman" w:eastAsia="Times New Roman" w:hAnsi="Times New Roman"/>
                  <w:sz w:val="18"/>
                  <w:szCs w:val="18"/>
                  <w:color w:val="0000FF"/>
                  <w:w w:val="99"/>
                </w:rPr>
                <w:t>Amended and Restated Employment Agreement, by and between the Registrant and Nathan Dowden, effective as of November 2,</w:t>
              </w:r>
            </w:hyperlink>
          </w:p>
        </w:tc>
        <w:tc>
          <w:tcPr>
            <w:tcW w:w="1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00" w:type="dxa"/>
            <w:vAlign w:val="bottom"/>
            <w:gridSpan w:val="30"/>
          </w:tcPr>
          <w:p>
            <w:pPr>
              <w:spacing w:after="0" w:line="19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2021 (incorporated by reference to Exhibit 10.11 to the Registration Statement on Form S-1 filed by the Registrant on October 25,</w:t>
              </w:r>
            </w:hyperlink>
          </w:p>
        </w:tc>
        <w:tc>
          <w:tcPr>
            <w:tcW w:w="0" w:type="dxa"/>
            <w:vAlign w:val="bottom"/>
          </w:tcPr>
          <w:p>
            <w:pPr>
              <w:spacing w:after="0"/>
              <w:rPr>
                <w:sz w:val="1"/>
                <w:szCs w:val="1"/>
                <w:color w:val="auto"/>
              </w:rPr>
            </w:pPr>
          </w:p>
        </w:tc>
      </w:tr>
      <w:tr>
        <w:trPr>
          <w:trHeight w:val="183"/>
        </w:trPr>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4"/>
              </w:rPr>
            </w:pPr>
            <w:hyperlink r:id="rId238">
              <w:r>
                <w:rPr>
                  <w:rFonts w:ascii="Times New Roman" w:cs="Times New Roman" w:eastAsia="Times New Roman" w:hAnsi="Times New Roman"/>
                  <w:sz w:val="18"/>
                  <w:szCs w:val="18"/>
                  <w:color w:val="0000FF"/>
                  <w:w w:val="94"/>
                </w:rPr>
                <w:t>2021).</w:t>
              </w:r>
            </w:hyperlink>
          </w:p>
        </w:tc>
        <w:tc>
          <w:tcPr>
            <w:tcW w:w="26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11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620" w:type="dxa"/>
            <w:vAlign w:val="bottom"/>
            <w:tcBorders>
              <w:top w:val="single" w:sz="8" w:color="0000FF"/>
            </w:tcBorders>
          </w:tcPr>
          <w:p>
            <w:pPr>
              <w:spacing w:after="0"/>
              <w:rPr>
                <w:sz w:val="15"/>
                <w:szCs w:val="15"/>
                <w:color w:val="auto"/>
              </w:rPr>
            </w:pPr>
          </w:p>
        </w:tc>
        <w:tc>
          <w:tcPr>
            <w:tcW w:w="10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0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40" w:type="dxa"/>
            <w:vAlign w:val="bottom"/>
          </w:tcPr>
          <w:p>
            <w:pPr>
              <w:spacing w:after="0"/>
              <w:rPr>
                <w:sz w:val="24"/>
                <w:szCs w:val="24"/>
                <w:color w:val="auto"/>
              </w:rPr>
            </w:pPr>
          </w:p>
        </w:tc>
        <w:tc>
          <w:tcPr>
            <w:tcW w:w="93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239">
              <w:r>
                <w:rPr>
                  <w:rFonts w:ascii="Times New Roman" w:cs="Times New Roman" w:eastAsia="Times New Roman" w:hAnsi="Times New Roman"/>
                  <w:sz w:val="18"/>
                  <w:szCs w:val="18"/>
                  <w:color w:val="0000FF"/>
                  <w:w w:val="99"/>
                </w:rPr>
                <w:t>Amended and Restated Strategic Advisory Agreement, by and between the Registrant and Peter S. Kim, effective as of November</w:t>
              </w:r>
            </w:hyperlink>
          </w:p>
        </w:tc>
        <w:tc>
          <w:tcPr>
            <w:tcW w:w="1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00" w:type="dxa"/>
            <w:vAlign w:val="bottom"/>
            <w:gridSpan w:val="30"/>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2, 2021 (incorporated by reference to Exhibit 10.12 to the Registration Statement on Form S-1 filed by the Registrant on October</w:t>
              </w:r>
            </w:hyperlink>
          </w:p>
        </w:tc>
        <w:tc>
          <w:tcPr>
            <w:tcW w:w="0" w:type="dxa"/>
            <w:vAlign w:val="bottom"/>
          </w:tcPr>
          <w:p>
            <w:pPr>
              <w:spacing w:after="0"/>
              <w:rPr>
                <w:sz w:val="1"/>
                <w:szCs w:val="1"/>
                <w:color w:val="auto"/>
              </w:rPr>
            </w:pPr>
          </w:p>
        </w:tc>
      </w:tr>
      <w:tr>
        <w:trPr>
          <w:trHeight w:val="183"/>
        </w:trPr>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Borders>
              <w:top w:val="single" w:sz="8" w:color="0000FF"/>
            </w:tcBorders>
            <w:gridSpan w:val="3"/>
          </w:tcPr>
          <w:p>
            <w:pPr>
              <w:spacing w:after="0" w:line="182"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25, 2021).</w:t>
              </w:r>
            </w:hyperlink>
          </w:p>
        </w:tc>
        <w:tc>
          <w:tcPr>
            <w:tcW w:w="11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620" w:type="dxa"/>
            <w:vAlign w:val="bottom"/>
            <w:tcBorders>
              <w:top w:val="single" w:sz="8" w:color="0000FF"/>
            </w:tcBorders>
          </w:tcPr>
          <w:p>
            <w:pPr>
              <w:spacing w:after="0"/>
              <w:rPr>
                <w:sz w:val="15"/>
                <w:szCs w:val="15"/>
                <w:color w:val="auto"/>
              </w:rPr>
            </w:pPr>
          </w:p>
        </w:tc>
        <w:tc>
          <w:tcPr>
            <w:tcW w:w="10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0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80" w:type="dxa"/>
            <w:vAlign w:val="bottom"/>
            <w:gridSpan w:val="11"/>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24"/>
                <w:szCs w:val="24"/>
                <w:color w:val="auto"/>
              </w:rPr>
            </w:pPr>
          </w:p>
        </w:tc>
        <w:tc>
          <w:tcPr>
            <w:tcW w:w="95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Exclusive License Agreement, by and between the Registrant and Ohio State Innovation Foundation, dated as of December 14,</w:t>
            </w: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140" w:type="dxa"/>
            <w:vAlign w:val="bottom"/>
            <w:tcBorders>
              <w:top w:val="single" w:sz="8" w:color="0000FF"/>
            </w:tcBorders>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2018, as amended by Amendment No. 1 on October 8, 2019, Amendment No. 2 on March 9, 2020, Amendment No. 3 on July</w:t>
            </w:r>
          </w:p>
        </w:tc>
        <w:tc>
          <w:tcPr>
            <w:tcW w:w="360" w:type="dxa"/>
            <w:vAlign w:val="bottom"/>
            <w:gridSpan w:val="14"/>
          </w:tcPr>
          <w:p>
            <w:pPr>
              <w:jc w:val="right"/>
              <w:ind w:right="260"/>
              <w:spacing w:after="0" w:line="169" w:lineRule="exact"/>
              <w:rPr>
                <w:sz w:val="20"/>
                <w:szCs w:val="20"/>
                <w:color w:val="auto"/>
              </w:rPr>
            </w:pPr>
            <w:r>
              <w:rPr>
                <w:rFonts w:ascii="Times New Roman" w:cs="Times New Roman" w:eastAsia="Times New Roman" w:hAnsi="Times New Roman"/>
                <w:sz w:val="15"/>
                <w:szCs w:val="15"/>
                <w:color w:val="0000FF"/>
                <w:w w:val="70"/>
              </w:rPr>
              <w:t>6,</w:t>
            </w:r>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0" w:type="dxa"/>
            <w:vAlign w:val="bottom"/>
            <w:tcBorders>
              <w:top w:val="single" w:sz="8" w:color="0000FF"/>
              <w:bottom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w w:val="99"/>
              </w:rPr>
              <w:t>2021, Amendment No. 4 on February 7, 2022, and Amendment No. 5 on November 10, 2022.</w:t>
            </w:r>
          </w:p>
        </w:tc>
        <w:tc>
          <w:tcPr>
            <w:tcW w:w="2460" w:type="dxa"/>
            <w:vAlign w:val="bottom"/>
            <w:tcBorders>
              <w:top w:val="single" w:sz="8" w:color="0000FF"/>
            </w:tcBorders>
            <w:gridSpan w:val="5"/>
          </w:tcPr>
          <w:p>
            <w:pPr>
              <w:spacing w:after="0"/>
              <w:rPr>
                <w:sz w:val="13"/>
                <w:szCs w:val="13"/>
                <w:color w:val="auto"/>
              </w:rPr>
            </w:pPr>
          </w:p>
        </w:tc>
        <w:tc>
          <w:tcPr>
            <w:tcW w:w="2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607" w:right="37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type w:val="continuous"/>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10.14*†</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10.15</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10.16*†</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10.17*†</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21.1*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23.1*</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24.1*</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97.1*</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u w:val="single" w:color="auto"/>
          <w:color w:val="0000FF"/>
        </w:rPr>
        <w:t>Lease Agreement, dated March 16, 2022, by and between the Registrant and IDB 17-19 Drydock Limited Partnership, as amended by Amendment No. 1</w:t>
      </w:r>
      <w:r>
        <w:rPr>
          <w:rFonts w:ascii="Times New Roman" w:cs="Times New Roman" w:eastAsia="Times New Roman" w:hAnsi="Times New Roman"/>
          <w:sz w:val="18"/>
          <w:szCs w:val="18"/>
          <w:color w:val="0000FF"/>
        </w:rPr>
        <w:t xml:space="preserve"> on April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985520</wp:posOffset>
            </wp:positionH>
            <wp:positionV relativeFrom="paragraph">
              <wp:posOffset>-29845</wp:posOffset>
            </wp:positionV>
            <wp:extent cx="81216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1">
                      <a:extLst>
                        <a:ext uri="{28A0092B-C50C-407E-A947-70E740481C1C}"/>
                      </a:extLst>
                    </a:blip>
                    <a:srcRect/>
                    <a:stretch>
                      <a:fillRect/>
                    </a:stretch>
                  </pic:blipFill>
                  <pic:spPr bwMode="auto">
                    <a:xfrm>
                      <a:off x="0" y="0"/>
                      <a:ext cx="812165" cy="8255"/>
                    </a:xfrm>
                    <a:prstGeom prst="rect">
                      <a:avLst/>
                    </a:prstGeom>
                    <a:noFill/>
                  </pic:spPr>
                </pic:pic>
              </a:graphicData>
            </a:graphic>
          </wp:anchor>
        </w:drawing>
      </w:r>
    </w:p>
    <w:p>
      <w:pPr>
        <w:spacing w:after="0" w:line="35" w:lineRule="exact"/>
        <w:rPr>
          <w:sz w:val="20"/>
          <w:szCs w:val="20"/>
          <w:color w:val="auto"/>
        </w:rPr>
      </w:pPr>
    </w:p>
    <w:p>
      <w:pPr>
        <w:ind w:right="360"/>
        <w:spacing w:after="0" w:line="259" w:lineRule="auto"/>
        <w:rPr>
          <w:rFonts w:ascii="Times New Roman" w:cs="Times New Roman" w:eastAsia="Times New Roman" w:hAnsi="Times New Roman"/>
          <w:sz w:val="17"/>
          <w:szCs w:val="17"/>
          <w:u w:val="single" w:color="auto"/>
          <w:color w:val="0000FF"/>
        </w:rPr>
      </w:pPr>
      <w:hyperlink r:id="rId242">
        <w:r>
          <w:rPr>
            <w:rFonts w:ascii="Times New Roman" w:cs="Times New Roman" w:eastAsia="Times New Roman" w:hAnsi="Times New Roman"/>
            <w:sz w:val="17"/>
            <w:szCs w:val="17"/>
            <w:u w:val="single" w:color="auto"/>
            <w:color w:val="0000FF"/>
          </w:rPr>
          <w:t>Stock Purchase Agreement, dated December 7, 2022, by and between the Registrant and Vertex Pharmaceuticals Incorporated</w:t>
        </w:r>
      </w:hyperlink>
      <w:r>
        <w:rPr>
          <w:rFonts w:ascii="Times New Roman" w:cs="Times New Roman" w:eastAsia="Times New Roman" w:hAnsi="Times New Roman"/>
          <w:sz w:val="17"/>
          <w:szCs w:val="17"/>
          <w:u w:val="single" w:color="auto"/>
          <w:color w:val="0000FF"/>
        </w:rPr>
        <w:t xml:space="preserve"> </w:t>
      </w:r>
      <w:hyperlink r:id="rId242">
        <w:r>
          <w:rPr>
            <w:rFonts w:ascii="Times New Roman" w:cs="Times New Roman" w:eastAsia="Times New Roman" w:hAnsi="Times New Roman"/>
            <w:sz w:val="17"/>
            <w:szCs w:val="17"/>
            <w:u w:val="single" w:color="auto"/>
            <w:color w:val="0000FF"/>
          </w:rPr>
          <w:t>(incorporated by reference to Exhibit 10.1 to the Current Report on Form 8-K filed by the Registrant on December 8, 2022).</w:t>
        </w:r>
      </w:hyperlink>
    </w:p>
    <w:p>
      <w:pPr>
        <w:spacing w:after="0" w:line="1" w:lineRule="exact"/>
        <w:rPr>
          <w:sz w:val="20"/>
          <w:szCs w:val="20"/>
          <w:color w:val="auto"/>
        </w:rPr>
      </w:pPr>
    </w:p>
    <w:p>
      <w:pPr>
        <w:ind w:right="1060"/>
        <w:spacing w:after="0" w:line="245" w:lineRule="auto"/>
        <w:rPr>
          <w:sz w:val="20"/>
          <w:szCs w:val="20"/>
          <w:color w:val="auto"/>
        </w:rPr>
      </w:pPr>
      <w:r>
        <w:rPr>
          <w:rFonts w:ascii="Times New Roman" w:cs="Times New Roman" w:eastAsia="Times New Roman" w:hAnsi="Times New Roman"/>
          <w:sz w:val="18"/>
          <w:szCs w:val="18"/>
          <w:u w:val="single" w:color="auto"/>
          <w:color w:val="0000FF"/>
        </w:rPr>
        <w:t>Strategic Collaboration and License Agreement, dated December 7, 2022, by and between the Registrant and Vertex Pharmaceuticals Incorporated, as amended by Amendment No. 1 on October 26, 2023.</w:t>
      </w:r>
    </w:p>
    <w:p>
      <w:pPr>
        <w:spacing w:after="0" w:line="59" w:lineRule="exact"/>
        <w:rPr>
          <w:sz w:val="20"/>
          <w:szCs w:val="20"/>
          <w:color w:val="auto"/>
        </w:rPr>
      </w:pPr>
    </w:p>
    <w:p>
      <w:pPr>
        <w:ind w:right="480"/>
        <w:spacing w:after="0" w:line="250" w:lineRule="auto"/>
        <w:rPr>
          <w:sz w:val="20"/>
          <w:szCs w:val="20"/>
          <w:color w:val="auto"/>
        </w:rPr>
      </w:pPr>
      <w:r>
        <w:rPr>
          <w:rFonts w:ascii="Times New Roman" w:cs="Times New Roman" w:eastAsia="Times New Roman" w:hAnsi="Times New Roman"/>
          <w:sz w:val="18"/>
          <w:szCs w:val="18"/>
          <w:u w:val="single" w:color="auto"/>
          <w:color w:val="0000FF"/>
        </w:rPr>
        <w:t>Sublicense Agreement dated December 7, 2022, by and between the Registrant and Vertex Pharmaceuticals Incorporated, as amended by Amendment No. 1 on October 26, 2023.</w:t>
      </w:r>
    </w:p>
    <w:p>
      <w:pPr>
        <w:spacing w:after="0" w:line="55"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u w:val="single" w:color="auto"/>
          <w:color w:val="0000FF"/>
        </w:rPr>
        <w:t>List of Subsidiaries of the Registrant (incorporated by reference to Exhibit 21.1 to the Annual Report on Form 10-K filed by the Registrant on March 6, 2023).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Ernst &amp; Young LLP, independent registered public accounting firm.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Power of Attorney (included on signature page).</w:t>
      </w:r>
    </w:p>
    <w:p>
      <w:pPr>
        <w:spacing w:after="0" w:line="2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Rules 13a-14(a) and 15d-14(a) under the Securities Exchange Act of 1934, as Adopted Pursuant to Section 302 of the Sarbanes-Oxley Act of 2002.</w:t>
      </w:r>
    </w:p>
    <w:p>
      <w:pPr>
        <w:spacing w:after="0" w:line="5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Rules 13a-14(a) and 15d-14(a) under the Securities Exchange Act of 1934, as Adopted Pursuant to Section 302 of the Sarbanes-Oxley Act of 2002.</w:t>
      </w:r>
    </w:p>
    <w:p>
      <w:pPr>
        <w:spacing w:after="0" w:line="55" w:lineRule="exact"/>
        <w:rPr>
          <w:sz w:val="20"/>
          <w:szCs w:val="20"/>
          <w:color w:val="auto"/>
        </w:rPr>
      </w:pPr>
    </w:p>
    <w:p>
      <w:pPr>
        <w:ind w:right="440"/>
        <w:spacing w:after="0" w:line="250" w:lineRule="auto"/>
        <w:rPr>
          <w:sz w:val="20"/>
          <w:szCs w:val="20"/>
          <w:color w:val="auto"/>
        </w:rPr>
      </w:pPr>
      <w:r>
        <w:rPr>
          <w:rFonts w:ascii="Times New Roman" w:cs="Times New Roman" w:eastAsia="Times New Roman" w:hAnsi="Times New Roman"/>
          <w:sz w:val="18"/>
          <w:szCs w:val="18"/>
          <w:u w:val="single" w:color="auto"/>
          <w:color w:val="0000FF"/>
        </w:rPr>
        <w:t>Certifications of Principal Executive Officer and Principal Financial Officer Pursuant to 18 U.S.C. Section 1350, as Adopted Pursuant to Section 906 of the Sarbanes-Oxley Act of 2002.</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Entrada Therapeutics, Inc. Compensation Recovery Policy.</w:t>
      </w:r>
    </w:p>
    <w:p>
      <w:pPr>
        <w:spacing w:after="0" w:line="3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 within the Inline XBRL document.</w:t>
      </w: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17" w:lineRule="exact"/>
        <w:rPr>
          <w:sz w:val="20"/>
          <w:szCs w:val="20"/>
          <w:color w:val="auto"/>
        </w:rPr>
      </w:pPr>
    </w:p>
    <w:p>
      <w:pPr>
        <w:sectPr>
          <w:pgSz w:w="11900" w:h="16838" w:orient="portrait"/>
          <w:cols w:equalWidth="0" w:num="2">
            <w:col w:w="1280" w:space="440"/>
            <w:col w:w="9420"/>
          </w:cols>
          <w:pgMar w:left="320" w:top="607" w:right="439" w:bottom="1440" w:gutter="0" w:footer="0" w:header="0"/>
        </w:sectPr>
      </w:pPr>
    </w:p>
    <w:p>
      <w:pPr>
        <w:ind w:left="660" w:hanging="652"/>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w:t>
      </w:r>
    </w:p>
    <w:p>
      <w:pPr>
        <w:spacing w:after="0" w:line="225"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in accordance with Item 601(b)(10) of Regulation S-K.</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Indicates a management contract or any compensatory plan, contract or arrangement.</w:t>
      </w:r>
    </w:p>
    <w:p>
      <w:pPr>
        <w:spacing w:after="0" w:line="225" w:lineRule="exact"/>
        <w:rPr>
          <w:sz w:val="20"/>
          <w:szCs w:val="20"/>
          <w:color w:val="auto"/>
        </w:rPr>
      </w:pPr>
    </w:p>
    <w:p>
      <w:pPr>
        <w:ind w:left="660" w:hanging="652"/>
        <w:spacing w:after="0" w:line="266" w:lineRule="auto"/>
        <w:tabs>
          <w:tab w:leader="none" w:pos="65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be furnished with this Annual Report and will not be deemed to be “filed” for purposes of Section 18 of the Securities Exchange Act of 1934, as amended, except to the extent that the Registrant specifically incorporates it by reference.</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231F20"/>
        </w:rPr>
        <w:t>Financial Statements Schedules</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Schedules have been omitted because the information required to be set forth therein is not applicable or is shown in the consolidated financial statements or notes thereto.</w:t>
      </w:r>
    </w:p>
    <w:p>
      <w:pPr>
        <w:spacing w:after="0" w:line="158"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07" w:right="439" w:bottom="1440" w:gutter="0" w:footer="0" w:header="0"/>
          <w:type w:val="continuous"/>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2024</w:t>
            </w:r>
          </w:p>
        </w:tc>
        <w:tc>
          <w:tcPr>
            <w:tcW w:w="856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ENTRADA THERAPEUTICS, INC.</w:t>
            </w:r>
          </w:p>
        </w:tc>
      </w:tr>
      <w:tr>
        <w:trPr>
          <w:trHeight w:val="479"/>
        </w:trPr>
        <w:tc>
          <w:tcPr>
            <w:tcW w:w="2640" w:type="dxa"/>
            <w:vAlign w:val="bottom"/>
          </w:tcPr>
          <w:p>
            <w:pPr>
              <w:spacing w:after="0"/>
              <w:rPr>
                <w:sz w:val="24"/>
                <w:szCs w:val="24"/>
                <w:color w:val="auto"/>
              </w:rPr>
            </w:pPr>
          </w:p>
        </w:tc>
        <w:tc>
          <w:tcPr>
            <w:tcW w:w="33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Dipal Doshi</w:t>
            </w:r>
          </w:p>
        </w:tc>
      </w:tr>
      <w:tr>
        <w:trPr>
          <w:trHeight w:val="243"/>
        </w:trPr>
        <w:tc>
          <w:tcPr>
            <w:tcW w:w="2640" w:type="dxa"/>
            <w:vAlign w:val="bottom"/>
          </w:tcPr>
          <w:p>
            <w:pPr>
              <w:spacing w:after="0"/>
              <w:rPr>
                <w:sz w:val="21"/>
                <w:szCs w:val="21"/>
                <w:color w:val="auto"/>
              </w:rPr>
            </w:pPr>
          </w:p>
        </w:tc>
        <w:tc>
          <w:tcPr>
            <w:tcW w:w="33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Dipal Doshi</w:t>
            </w:r>
          </w:p>
        </w:tc>
      </w:tr>
      <w:tr>
        <w:trPr>
          <w:trHeight w:val="257"/>
        </w:trPr>
        <w:tc>
          <w:tcPr>
            <w:tcW w:w="2640" w:type="dxa"/>
            <w:vAlign w:val="bottom"/>
          </w:tcPr>
          <w:p>
            <w:pPr>
              <w:spacing w:after="0"/>
              <w:rPr>
                <w:sz w:val="22"/>
                <w:szCs w:val="22"/>
                <w:color w:val="auto"/>
              </w:rPr>
            </w:pPr>
          </w:p>
        </w:tc>
        <w:tc>
          <w:tcPr>
            <w:tcW w:w="33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56"/>
        </w:trPr>
        <w:tc>
          <w:tcPr>
            <w:tcW w:w="264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individual signature appears below hereby authorizes and appoints Dipal Doshi and Kory Wentworth,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Annual Report on Form 10-K has been signed below by the following persons on behalf of the registrant and in the capacities and on the date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Name</w:t>
            </w:r>
          </w:p>
        </w:tc>
        <w:tc>
          <w:tcPr>
            <w:tcW w:w="100" w:type="dxa"/>
            <w:vAlign w:val="bottom"/>
          </w:tcPr>
          <w:p>
            <w:pPr>
              <w:spacing w:after="0"/>
              <w:rPr>
                <w:sz w:val="20"/>
                <w:szCs w:val="20"/>
                <w:color w:val="auto"/>
              </w:rPr>
            </w:pP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w:t>
            </w:r>
          </w:p>
        </w:tc>
        <w:tc>
          <w:tcPr>
            <w:tcW w:w="10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r>
      <w:tr>
        <w:trPr>
          <w:trHeight w:val="453"/>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Dipal Doshi</w:t>
            </w:r>
          </w:p>
        </w:tc>
        <w:tc>
          <w:tcPr>
            <w:tcW w:w="100" w:type="dxa"/>
            <w:vAlign w:val="bottom"/>
          </w:tcPr>
          <w:p>
            <w:pPr>
              <w:spacing w:after="0"/>
              <w:rPr>
                <w:sz w:val="24"/>
                <w:szCs w:val="24"/>
                <w:color w:val="auto"/>
              </w:rPr>
            </w:pPr>
          </w:p>
        </w:tc>
        <w:tc>
          <w:tcPr>
            <w:tcW w:w="4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13, 2024</w:t>
            </w:r>
          </w:p>
        </w:tc>
      </w:tr>
      <w:tr>
        <w:trPr>
          <w:trHeight w:val="243"/>
        </w:trPr>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Dipal Doshi</w:t>
            </w:r>
          </w:p>
        </w:tc>
        <w:tc>
          <w:tcPr>
            <w:tcW w:w="100" w:type="dxa"/>
            <w:vAlign w:val="bottom"/>
          </w:tcPr>
          <w:p>
            <w:pPr>
              <w:spacing w:after="0"/>
              <w:rPr>
                <w:sz w:val="21"/>
                <w:szCs w:val="21"/>
                <w:color w:val="auto"/>
              </w:rPr>
            </w:pPr>
          </w:p>
        </w:tc>
        <w:tc>
          <w:tcPr>
            <w:tcW w:w="4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480" w:type="dxa"/>
            <w:vAlign w:val="bottom"/>
          </w:tcPr>
          <w:p>
            <w:pPr>
              <w:spacing w:after="0"/>
              <w:rPr>
                <w:sz w:val="21"/>
                <w:szCs w:val="21"/>
                <w:color w:val="auto"/>
              </w:rPr>
            </w:pPr>
          </w:p>
        </w:tc>
      </w:tr>
      <w:tr>
        <w:trPr>
          <w:trHeight w:val="479"/>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Kory Wentworth</w:t>
            </w:r>
          </w:p>
        </w:tc>
        <w:tc>
          <w:tcPr>
            <w:tcW w:w="100" w:type="dxa"/>
            <w:vAlign w:val="bottom"/>
          </w:tcPr>
          <w:p>
            <w:pPr>
              <w:spacing w:after="0"/>
              <w:rPr>
                <w:sz w:val="24"/>
                <w:szCs w:val="24"/>
                <w:color w:val="auto"/>
              </w:rPr>
            </w:pPr>
          </w:p>
        </w:tc>
        <w:tc>
          <w:tcPr>
            <w:tcW w:w="4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13, 2024</w:t>
            </w:r>
          </w:p>
        </w:tc>
      </w:tr>
      <w:tr>
        <w:trPr>
          <w:trHeight w:val="243"/>
        </w:trPr>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Kory Wentworth</w:t>
            </w:r>
          </w:p>
        </w:tc>
        <w:tc>
          <w:tcPr>
            <w:tcW w:w="100" w:type="dxa"/>
            <w:vAlign w:val="bottom"/>
          </w:tcPr>
          <w:p>
            <w:pPr>
              <w:spacing w:after="0"/>
              <w:rPr>
                <w:sz w:val="21"/>
                <w:szCs w:val="21"/>
                <w:color w:val="auto"/>
              </w:rPr>
            </w:pPr>
          </w:p>
        </w:tc>
        <w:tc>
          <w:tcPr>
            <w:tcW w:w="4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p>
        </w:tc>
        <w:tc>
          <w:tcPr>
            <w:tcW w:w="2480" w:type="dxa"/>
            <w:vAlign w:val="bottom"/>
          </w:tcPr>
          <w:p>
            <w:pPr>
              <w:spacing w:after="0"/>
              <w:rPr>
                <w:sz w:val="21"/>
                <w:szCs w:val="21"/>
                <w:color w:val="auto"/>
              </w:rPr>
            </w:pPr>
          </w:p>
        </w:tc>
      </w:tr>
      <w:tr>
        <w:trPr>
          <w:trHeight w:val="480"/>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Kush M. Parmar, M.D., Ph.D.</w:t>
            </w:r>
          </w:p>
        </w:tc>
        <w:tc>
          <w:tcPr>
            <w:tcW w:w="100" w:type="dxa"/>
            <w:vAlign w:val="bottom"/>
          </w:tcPr>
          <w:p>
            <w:pPr>
              <w:spacing w:after="0"/>
              <w:rPr>
                <w:sz w:val="24"/>
                <w:szCs w:val="24"/>
                <w:color w:val="auto"/>
              </w:rPr>
            </w:pPr>
          </w:p>
        </w:tc>
        <w:tc>
          <w:tcPr>
            <w:tcW w:w="4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Chairman and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13, 2024</w:t>
            </w:r>
          </w:p>
        </w:tc>
      </w:tr>
      <w:tr>
        <w:trPr>
          <w:trHeight w:val="243"/>
        </w:trPr>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Kush M. Parmar, M.D., Ph.D.</w:t>
            </w:r>
          </w:p>
        </w:tc>
        <w:tc>
          <w:tcPr>
            <w:tcW w:w="10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80"/>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Gina Chapman</w:t>
            </w:r>
          </w:p>
        </w:tc>
        <w:tc>
          <w:tcPr>
            <w:tcW w:w="100" w:type="dxa"/>
            <w:vAlign w:val="bottom"/>
          </w:tcPr>
          <w:p>
            <w:pPr>
              <w:spacing w:after="0"/>
              <w:rPr>
                <w:sz w:val="24"/>
                <w:szCs w:val="24"/>
                <w:color w:val="auto"/>
              </w:rPr>
            </w:pPr>
          </w:p>
        </w:tc>
        <w:tc>
          <w:tcPr>
            <w:tcW w:w="4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13, 2024</w:t>
            </w:r>
          </w:p>
        </w:tc>
      </w:tr>
      <w:tr>
        <w:trPr>
          <w:trHeight w:val="243"/>
        </w:trPr>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Gina Chapman</w:t>
            </w:r>
          </w:p>
        </w:tc>
        <w:tc>
          <w:tcPr>
            <w:tcW w:w="10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80"/>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Peter S. Kim, Ph.D.</w:t>
            </w:r>
          </w:p>
        </w:tc>
        <w:tc>
          <w:tcPr>
            <w:tcW w:w="100" w:type="dxa"/>
            <w:vAlign w:val="bottom"/>
          </w:tcPr>
          <w:p>
            <w:pPr>
              <w:spacing w:after="0"/>
              <w:rPr>
                <w:sz w:val="24"/>
                <w:szCs w:val="24"/>
                <w:color w:val="auto"/>
              </w:rPr>
            </w:pPr>
          </w:p>
        </w:tc>
        <w:tc>
          <w:tcPr>
            <w:tcW w:w="4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13, 2024</w:t>
            </w:r>
          </w:p>
        </w:tc>
      </w:tr>
      <w:tr>
        <w:trPr>
          <w:trHeight w:val="243"/>
        </w:trPr>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Peter S. Kim, Ph.D.</w:t>
            </w:r>
          </w:p>
        </w:tc>
        <w:tc>
          <w:tcPr>
            <w:tcW w:w="10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79"/>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Mary Thistle</w:t>
            </w:r>
          </w:p>
        </w:tc>
        <w:tc>
          <w:tcPr>
            <w:tcW w:w="100" w:type="dxa"/>
            <w:vAlign w:val="bottom"/>
          </w:tcPr>
          <w:p>
            <w:pPr>
              <w:spacing w:after="0"/>
              <w:rPr>
                <w:sz w:val="24"/>
                <w:szCs w:val="24"/>
                <w:color w:val="auto"/>
              </w:rPr>
            </w:pPr>
          </w:p>
        </w:tc>
        <w:tc>
          <w:tcPr>
            <w:tcW w:w="4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13, 2024</w:t>
            </w:r>
          </w:p>
        </w:tc>
      </w:tr>
      <w:tr>
        <w:trPr>
          <w:trHeight w:val="243"/>
        </w:trPr>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Mary Thistle</w:t>
            </w:r>
          </w:p>
        </w:tc>
        <w:tc>
          <w:tcPr>
            <w:tcW w:w="10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79"/>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Bernhardt Zeiher, M.D.</w:t>
            </w:r>
          </w:p>
        </w:tc>
        <w:tc>
          <w:tcPr>
            <w:tcW w:w="100" w:type="dxa"/>
            <w:vAlign w:val="bottom"/>
          </w:tcPr>
          <w:p>
            <w:pPr>
              <w:spacing w:after="0"/>
              <w:rPr>
                <w:sz w:val="24"/>
                <w:szCs w:val="24"/>
                <w:color w:val="auto"/>
              </w:rPr>
            </w:pPr>
          </w:p>
        </w:tc>
        <w:tc>
          <w:tcPr>
            <w:tcW w:w="4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13, 2024</w:t>
            </w:r>
          </w:p>
        </w:tc>
      </w:tr>
      <w:tr>
        <w:trPr>
          <w:trHeight w:val="243"/>
        </w:trPr>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Bernhardt Zeiher, M.D.</w:t>
            </w:r>
          </w:p>
        </w:tc>
        <w:tc>
          <w:tcPr>
            <w:tcW w:w="10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918"/>
        </w:trPr>
        <w:tc>
          <w:tcPr>
            <w:tcW w:w="4100" w:type="dxa"/>
            <w:vAlign w:val="bottom"/>
          </w:tcPr>
          <w:p>
            <w:pPr>
              <w:spacing w:after="0"/>
              <w:rPr>
                <w:sz w:val="24"/>
                <w:szCs w:val="24"/>
                <w:color w:val="auto"/>
              </w:rPr>
            </w:pPr>
          </w:p>
        </w:tc>
        <w:tc>
          <w:tcPr>
            <w:tcW w:w="4560" w:type="dxa"/>
            <w:vAlign w:val="bottom"/>
            <w:gridSpan w:val="2"/>
          </w:tcPr>
          <w:p>
            <w:pPr>
              <w:jc w:val="right"/>
              <w:ind w:right="281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ectPr>
          <w:pgSz w:w="11900" w:h="16838" w:orient="portrait"/>
          <w:cols w:equalWidth="0" w:num="1">
            <w:col w:w="11240"/>
          </w:cols>
          <w:pgMar w:left="320" w:top="607" w:right="339" w:bottom="1440" w:gutter="0" w:footer="0" w:header="0"/>
        </w:sectPr>
      </w:pPr>
    </w:p>
    <w:bookmarkStart w:id="174" w:name="page175"/>
    <w:bookmarkEnd w:id="174"/>
    <w:p>
      <w:pPr>
        <w:ind w:left="10220"/>
        <w:spacing w:after="0"/>
        <w:rPr>
          <w:sz w:val="20"/>
          <w:szCs w:val="20"/>
          <w:color w:val="auto"/>
        </w:rPr>
      </w:pPr>
      <w:r>
        <w:rPr>
          <w:rFonts w:ascii="Times New Roman" w:cs="Times New Roman" w:eastAsia="Times New Roman" w:hAnsi="Times New Roman"/>
          <w:sz w:val="17"/>
          <w:szCs w:val="17"/>
          <w:b w:val="1"/>
          <w:bCs w:val="1"/>
          <w:color w:val="auto"/>
        </w:rPr>
        <w:t>Exhibit 10.13</w:t>
      </w:r>
    </w:p>
    <w:p>
      <w:pPr>
        <w:spacing w:after="0" w:line="169"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b w:val="1"/>
          <w:bCs w:val="1"/>
          <w:color w:val="auto"/>
        </w:rPr>
        <w:t>CERTAIN CONFIDENTIAL INFORMATION, MARKED BY [***] HAS BEEN EXCLUDED FROM THIS EXHIBIT BECAUSE IT IS BOTH NOT MATERIAL AND IS THE TYPE THAT THE REGISTRANT TREATS AS PRIVATE OR CONFIDENTIAL.</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EXCLUSIVE LICENSE AGREEMENT</w:t>
      </w:r>
    </w:p>
    <w:p>
      <w:pPr>
        <w:ind w:left="4880"/>
        <w:spacing w:after="0"/>
        <w:rPr>
          <w:sz w:val="20"/>
          <w:szCs w:val="20"/>
          <w:color w:val="auto"/>
        </w:rPr>
      </w:pPr>
      <w:r>
        <w:rPr>
          <w:rFonts w:ascii="Times New Roman" w:cs="Times New Roman" w:eastAsia="Times New Roman" w:hAnsi="Times New Roman"/>
          <w:sz w:val="18"/>
          <w:szCs w:val="18"/>
          <w:b w:val="1"/>
          <w:bCs w:val="1"/>
          <w:color w:val="auto"/>
        </w:rPr>
        <w:t>AGT. NO.________</w:t>
      </w:r>
    </w:p>
    <w:p>
      <w:pPr>
        <w:spacing w:after="0" w:line="134"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18"/>
          <w:szCs w:val="18"/>
          <w:color w:val="auto"/>
        </w:rPr>
        <w:t>This Exclusive License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this 14th day of December, 2018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the Ohio State Innovation Foundation, with an address at 1524 North High Street, Columbus, OH 43201 (hereinafter, “</w:t>
      </w:r>
      <w:r>
        <w:rPr>
          <w:rFonts w:ascii="Times New Roman" w:cs="Times New Roman" w:eastAsia="Times New Roman" w:hAnsi="Times New Roman"/>
          <w:sz w:val="18"/>
          <w:szCs w:val="18"/>
          <w:b w:val="1"/>
          <w:bCs w:val="1"/>
          <w:color w:val="auto"/>
        </w:rPr>
        <w:t>OSIF</w:t>
      </w:r>
      <w:r>
        <w:rPr>
          <w:rFonts w:ascii="Times New Roman" w:cs="Times New Roman" w:eastAsia="Times New Roman" w:hAnsi="Times New Roman"/>
          <w:sz w:val="18"/>
          <w:szCs w:val="18"/>
          <w:color w:val="auto"/>
        </w:rPr>
        <w:t>”) and Entrada Therapeutics, Inc., with</w:t>
      </w:r>
    </w:p>
    <w:p>
      <w:pPr>
        <w:spacing w:after="0"/>
        <w:rPr>
          <w:sz w:val="20"/>
          <w:szCs w:val="20"/>
          <w:color w:val="auto"/>
        </w:rPr>
      </w:pPr>
      <w:r>
        <w:rPr>
          <w:rFonts w:ascii="Times New Roman" w:cs="Times New Roman" w:eastAsia="Times New Roman" w:hAnsi="Times New Roman"/>
          <w:sz w:val="18"/>
          <w:szCs w:val="18"/>
          <w:color w:val="auto"/>
        </w:rPr>
        <w:t>an address at 16 Cavendish Court, Suite 401, Lebanon, NH 03766 (hereinafter,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collectively,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or singly,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12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OSIF, the technology transfer function for The Ohio State University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OSU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owns, controls or has the right to license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Licensed Subject Matter;</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OSIF desires to have the Licensed Subject Matter developed and used for the benefit of the public; and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Licensee has entered into an Agreement for Sponsored Program with OSU, dated May 12, 2017, (the “</w:t>
      </w:r>
      <w:r>
        <w:rPr>
          <w:rFonts w:ascii="Times New Roman" w:cs="Times New Roman" w:eastAsia="Times New Roman" w:hAnsi="Times New Roman"/>
          <w:sz w:val="18"/>
          <w:szCs w:val="18"/>
          <w:b w:val="1"/>
          <w:bCs w:val="1"/>
          <w:color w:val="auto"/>
        </w:rPr>
        <w:t>SRA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Parties have entered into an Option Agreement dated May 12, 2017, as amended May 16, 2018 (the “</w:t>
      </w:r>
      <w:r>
        <w:rPr>
          <w:rFonts w:ascii="Times New Roman" w:cs="Times New Roman" w:eastAsia="Times New Roman" w:hAnsi="Times New Roman"/>
          <w:sz w:val="18"/>
          <w:szCs w:val="18"/>
          <w:b w:val="1"/>
          <w:bCs w:val="1"/>
          <w:color w:val="auto"/>
        </w:rPr>
        <w:t>Option Agreement</w:t>
      </w:r>
      <w:r>
        <w:rPr>
          <w:rFonts w:ascii="Times New Roman" w:cs="Times New Roman" w:eastAsia="Times New Roman" w:hAnsi="Times New Roman"/>
          <w:sz w:val="18"/>
          <w:szCs w:val="18"/>
          <w:color w:val="auto"/>
        </w:rPr>
        <w:t>”); and</w:t>
      </w:r>
    </w:p>
    <w:p>
      <w:pPr>
        <w:spacing w:after="0" w:line="14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pursuant to the Option Agreement, Licensee has exercised its option to acquire an exclusive license under Licensed Subject Matter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develop and commercialize Licensed Products under the terms and conditions of this Agreement.</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mutual covenants and promises herein contained, the Parties hereby agree as follows:</w:t>
      </w:r>
    </w:p>
    <w:p>
      <w:pPr>
        <w:spacing w:after="0" w:line="158" w:lineRule="exact"/>
        <w:rPr>
          <w:sz w:val="20"/>
          <w:szCs w:val="20"/>
          <w:color w:val="auto"/>
        </w:rPr>
      </w:pPr>
    </w:p>
    <w:p>
      <w:pPr>
        <w:ind w:left="320" w:hanging="312"/>
        <w:spacing w:after="0"/>
        <w:tabs>
          <w:tab w:leader="none" w:pos="3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15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entity that: (a) directly or indirectly owns or controls; (b) is owned or controlled by; or (c) is under common ownership or control with another entity; where “ownership” and “control” mean: (i) possession, or the right to possession, of at least fifty percent (50%) of the voting stock of the entity; (ii) the power to direct the management and policies of the entity; (iii) the power to appoint or remove a majority of the board of directors of the</w:t>
      </w:r>
    </w:p>
    <w:p>
      <w:pPr>
        <w:spacing w:after="0" w:line="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entity; or (iv) the right to receive fifty percent (50%) or more of the profits or earnings of the entity. While an entity is entitled to the benefits of an Affiliate under this Agreement for only the period of time the entity qualifies as an Affiliate under this definition, all obligations under this Agreement that accrued to the entity while an Affiliate shall survive until fulfilled even though the entity no longer qualifies as an Affiliate.</w:t>
      </w:r>
    </w:p>
    <w:p>
      <w:pPr>
        <w:spacing w:after="0" w:line="12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the closing of (i) a sale of all or substantially all of the assets of the Licensee, or (ii) a stock tender or a merger, consolidation, sale of stock or similar event pursuant to a transaction in which a person or group acquires more than fifty percent (50%) of the equity voting securities of the Licensee outstanding immediately prior to the consummation of such transaction, and the shareholders of the Licensee do not retain a majority of the</w:t>
      </w:r>
    </w:p>
    <w:p>
      <w:pPr>
        <w:spacing w:after="0" w:line="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equity voting securities of the surviving entity, other than (a) a merger, conversion or other transaction the principal goal of which is to change the jurisdiction of incorporation of the Licensee, or (b) an equity security financing for the account of the Licensee in which equity securities of the Licensee are sold to one or more institutional investors.</w:t>
      </w:r>
    </w:p>
    <w:p>
      <w:pPr>
        <w:spacing w:after="0" w:line="12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Commercially Reasonable Efforts</w:t>
      </w:r>
      <w:r>
        <w:rPr>
          <w:rFonts w:ascii="Times New Roman" w:cs="Times New Roman" w:eastAsia="Times New Roman" w:hAnsi="Times New Roman"/>
          <w:sz w:val="18"/>
          <w:szCs w:val="18"/>
          <w:color w:val="auto"/>
        </w:rPr>
        <w:t>” means, with respect to the efforts to be expended by a Party or its Affiliate with respect to any objective, activity or decision, those efforts that a company would reasonably use to accomplish such objective, activity or decision and, with respect to commercialization of a</w:t>
      </w:r>
    </w:p>
    <w:p>
      <w:pPr>
        <w:jc w:val="both"/>
        <w:spacing w:after="0" w:line="218" w:lineRule="auto"/>
        <w:rPr>
          <w:sz w:val="20"/>
          <w:szCs w:val="20"/>
          <w:color w:val="auto"/>
        </w:rPr>
      </w:pPr>
      <w:r>
        <w:rPr>
          <w:rFonts w:ascii="Times New Roman" w:cs="Times New Roman" w:eastAsia="Times New Roman" w:hAnsi="Times New Roman"/>
          <w:sz w:val="18"/>
          <w:szCs w:val="18"/>
          <w:color w:val="auto"/>
        </w:rPr>
        <w:t>Licensed Product, specifically means the carrying out of research, development and commercialization activities using efforts that a company would reasonably devote to a product at a similar stage in its development or product life and of similar market potential and profit potential, based on conditions then prevailing, including without limitation relevant scientific, technical and commercial factors.</w:t>
      </w:r>
    </w:p>
    <w:p>
      <w:pPr>
        <w:spacing w:after="0" w:line="12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xml:space="preserve">” means all non-public information, whether provided orally, in writing or through tangible materials, that is provided by one Party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Discloser</w:t>
      </w:r>
      <w:r>
        <w:rPr>
          <w:rFonts w:ascii="Times New Roman" w:cs="Times New Roman" w:eastAsia="Times New Roman" w:hAnsi="Times New Roman"/>
          <w:sz w:val="18"/>
          <w:szCs w:val="18"/>
          <w:color w:val="auto"/>
        </w:rPr>
        <w:t xml:space="preserve">”) to the other Party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unless the</w:t>
      </w:r>
    </w:p>
    <w:p>
      <w:pPr>
        <w:sectPr>
          <w:pgSz w:w="11900" w:h="16838" w:orient="portrait"/>
          <w:cols w:equalWidth="0" w:num="1">
            <w:col w:w="11240"/>
          </w:cols>
          <w:pgMar w:left="320" w:top="1400" w:right="339" w:bottom="1440" w:gutter="0" w:footer="0" w:header="0"/>
        </w:sectPr>
      </w:pPr>
    </w:p>
    <w:bookmarkStart w:id="175" w:name="page176"/>
    <w:bookmarkEnd w:id="175"/>
    <w:p>
      <w:pPr>
        <w:jc w:val="both"/>
        <w:spacing w:after="0" w:line="236" w:lineRule="auto"/>
        <w:rPr>
          <w:sz w:val="20"/>
          <w:szCs w:val="20"/>
          <w:color w:val="auto"/>
        </w:rPr>
      </w:pPr>
      <w:r>
        <w:rPr>
          <w:rFonts w:ascii="Times New Roman" w:cs="Times New Roman" w:eastAsia="Times New Roman" w:hAnsi="Times New Roman"/>
          <w:sz w:val="17"/>
          <w:szCs w:val="17"/>
          <w:color w:val="auto"/>
        </w:rPr>
        <w:t>information: (a) was already in possession of Recipient (or when Recipient is OSIF, in its possession or that of OSU) when provided by Discloser, as shown by competent evidence; (b) is now, or becomes in the future, public knowledge other than through a violation of this Agreement; (c) is independently</w:t>
      </w:r>
    </w:p>
    <w:p>
      <w:pPr>
        <w:jc w:val="both"/>
        <w:spacing w:after="0" w:line="208" w:lineRule="auto"/>
        <w:rPr>
          <w:sz w:val="20"/>
          <w:szCs w:val="20"/>
          <w:color w:val="auto"/>
        </w:rPr>
      </w:pPr>
      <w:r>
        <w:rPr>
          <w:rFonts w:ascii="Times New Roman" w:cs="Times New Roman" w:eastAsia="Times New Roman" w:hAnsi="Times New Roman"/>
          <w:sz w:val="18"/>
          <w:szCs w:val="18"/>
          <w:color w:val="auto"/>
        </w:rPr>
        <w:t>developed by individual(s) not affiliated with both Parties and without knowledge of or access to the Discloser’s Confidential Information, as shown by contemporaneously written records; or (d) is lawfully obtained without restriction from a third party who did not obtain the information directly or indirectly from Discloser (or when the Discloser is OSIF, from OSIF or OSU). The terms and conditions of this Agreement shall constitute Confidential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of both Parties.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 Period</w:t>
      </w:r>
      <w:r>
        <w:rPr>
          <w:rFonts w:ascii="Times New Roman" w:cs="Times New Roman" w:eastAsia="Times New Roman" w:hAnsi="Times New Roman"/>
          <w:sz w:val="18"/>
          <w:szCs w:val="18"/>
          <w:color w:val="auto"/>
        </w:rPr>
        <w:t>” means [***].</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 Year</w:t>
      </w:r>
      <w:r>
        <w:rPr>
          <w:rFonts w:ascii="Times New Roman" w:cs="Times New Roman" w:eastAsia="Times New Roman" w:hAnsi="Times New Roman"/>
          <w:sz w:val="18"/>
          <w:szCs w:val="18"/>
          <w:color w:val="auto"/>
        </w:rPr>
        <w:t>” means [***].</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Covered by</w:t>
      </w:r>
      <w:r>
        <w:rPr>
          <w:rFonts w:ascii="Times New Roman" w:cs="Times New Roman" w:eastAsia="Times New Roman" w:hAnsi="Times New Roman"/>
          <w:sz w:val="18"/>
          <w:szCs w:val="18"/>
          <w:color w:val="auto"/>
        </w:rPr>
        <w:t>” with reference to a particular product or process, means that the manufacture, use, sale, offering for sale, or importation of such product or process would, but for ownership of or a license to the relevant Patent Right, infringe a Valid Claim in the country in which the activity occurs.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Designee</w:t>
      </w:r>
      <w:r>
        <w:rPr>
          <w:rFonts w:ascii="Times New Roman" w:cs="Times New Roman" w:eastAsia="Times New Roman" w:hAnsi="Times New Roman"/>
          <w:sz w:val="18"/>
          <w:szCs w:val="18"/>
          <w:color w:val="auto"/>
        </w:rPr>
        <w:t>” means (i) OSIF or (ii) any entity to which any of OSIF’s rights under Section 3 have been assigned, including to any Affiliate of OSIF.</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Financing</w:t>
      </w:r>
      <w:r>
        <w:rPr>
          <w:rFonts w:ascii="Times New Roman" w:cs="Times New Roman" w:eastAsia="Times New Roman" w:hAnsi="Times New Roman"/>
          <w:sz w:val="18"/>
          <w:szCs w:val="18"/>
          <w:color w:val="auto"/>
        </w:rPr>
        <w:t>” means a cash investment in exchange for any Equity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means shares of common stock, preferred stock or any options, warrants or other convertible securities of the Licensee.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Field of Use</w:t>
      </w:r>
      <w:r>
        <w:rPr>
          <w:rFonts w:ascii="Times New Roman" w:cs="Times New Roman" w:eastAsia="Times New Roman" w:hAnsi="Times New Roman"/>
          <w:sz w:val="18"/>
          <w:szCs w:val="18"/>
          <w:color w:val="auto"/>
        </w:rPr>
        <w:t>” means all therapeutic, diagnostic or prophylactic uses.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Commercial Contract Year</w:t>
      </w:r>
      <w:r>
        <w:rPr>
          <w:rFonts w:ascii="Times New Roman" w:cs="Times New Roman" w:eastAsia="Times New Roman" w:hAnsi="Times New Roman"/>
          <w:sz w:val="18"/>
          <w:szCs w:val="18"/>
          <w:color w:val="auto"/>
        </w:rPr>
        <w:t>” means the Contract Year in which the First Commercial Sale of a Licensed Product occurs in any country.</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Commercial Sale</w:t>
      </w:r>
      <w:r>
        <w:rPr>
          <w:rFonts w:ascii="Times New Roman" w:cs="Times New Roman" w:eastAsia="Times New Roman" w:hAnsi="Times New Roman"/>
          <w:sz w:val="18"/>
          <w:szCs w:val="18"/>
          <w:color w:val="auto"/>
        </w:rPr>
        <w:t>” means, with respect to a particular Licensed Product in a given country, the first arm’s-length commercial sale of such Licensed Product following Marketing Approval in such country by or under the authority of Licensee or any Sublicensee to a third party who is not a Sublicensee.</w:t>
      </w:r>
    </w:p>
    <w:p>
      <w:pPr>
        <w:spacing w:after="0" w:line="12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Fully-Diluted</w:t>
      </w:r>
      <w:r>
        <w:rPr>
          <w:rFonts w:ascii="Times New Roman" w:cs="Times New Roman" w:eastAsia="Times New Roman" w:hAnsi="Times New Roman"/>
          <w:sz w:val="18"/>
          <w:szCs w:val="18"/>
          <w:color w:val="auto"/>
        </w:rPr>
        <w:t>” means the number of shares outstanding assuming conversion of all issued and outstanding securities convertible into capital stock, and the exercise of all then outstanding options, warrants, and other rights to acquire capital stock, whether or not then exercisable.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w:t>
      </w:r>
      <w:r>
        <w:rPr>
          <w:rFonts w:ascii="Times New Roman" w:cs="Times New Roman" w:eastAsia="Times New Roman" w:hAnsi="Times New Roman"/>
          <w:sz w:val="18"/>
          <w:szCs w:val="18"/>
          <w:color w:val="auto"/>
        </w:rPr>
        <w:t>” means any agency, department or other unit of the United States of America or the State of Ohio.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means including, but without limitation.</w:t>
      </w:r>
    </w:p>
    <w:p>
      <w:pPr>
        <w:spacing w:after="0" w:line="1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IND-Enabling Toxicology Study</w:t>
      </w:r>
      <w:r>
        <w:rPr>
          <w:rFonts w:ascii="Times New Roman" w:cs="Times New Roman" w:eastAsia="Times New Roman" w:hAnsi="Times New Roman"/>
          <w:sz w:val="18"/>
          <w:szCs w:val="18"/>
          <w:color w:val="auto"/>
        </w:rPr>
        <w:t>” means the dosing of the first animal subject in the first pre-clinical toxicity study design to profile the toxicity potential of a development candidate for purposes of submission of an Investigational New Drug Application or the equivalent.</w:t>
      </w:r>
    </w:p>
    <w:p>
      <w:pPr>
        <w:spacing w:after="0" w:line="12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Platform Product</w:t>
      </w:r>
      <w:r>
        <w:rPr>
          <w:rFonts w:ascii="Times New Roman" w:cs="Times New Roman" w:eastAsia="Times New Roman" w:hAnsi="Times New Roman"/>
          <w:sz w:val="18"/>
          <w:szCs w:val="18"/>
          <w:color w:val="auto"/>
        </w:rPr>
        <w:t>” means any product or process that: (a) is Covered by a Valid Platform Claim and/or whose manufacture or use is Covered by a Valid Platform Claim, or (b) itself - or its manufacture, use, sale or importation - uses, incorporates, is made with and/or is or was created or derived</w:t>
      </w:r>
    </w:p>
    <w:p>
      <w:pPr>
        <w:spacing w:after="0"/>
        <w:rPr>
          <w:sz w:val="20"/>
          <w:szCs w:val="20"/>
          <w:color w:val="auto"/>
        </w:rPr>
      </w:pPr>
      <w:r>
        <w:rPr>
          <w:rFonts w:ascii="Times New Roman" w:cs="Times New Roman" w:eastAsia="Times New Roman" w:hAnsi="Times New Roman"/>
          <w:sz w:val="18"/>
          <w:szCs w:val="18"/>
          <w:color w:val="auto"/>
        </w:rPr>
        <w:t>from any Platform Technology Rights but not any Program Technology Rights.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Product</w:t>
      </w:r>
      <w:r>
        <w:rPr>
          <w:rFonts w:ascii="Times New Roman" w:cs="Times New Roman" w:eastAsia="Times New Roman" w:hAnsi="Times New Roman"/>
          <w:sz w:val="18"/>
          <w:szCs w:val="18"/>
          <w:color w:val="auto"/>
        </w:rPr>
        <w:t>” means a Licensed Platform Product or a Licensed Program Product.</w:t>
      </w:r>
    </w:p>
    <w:p>
      <w:pPr>
        <w:spacing w:after="0" w:line="15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Program Product</w:t>
      </w:r>
      <w:r>
        <w:rPr>
          <w:rFonts w:ascii="Times New Roman" w:cs="Times New Roman" w:eastAsia="Times New Roman" w:hAnsi="Times New Roman"/>
          <w:sz w:val="18"/>
          <w:szCs w:val="18"/>
          <w:color w:val="auto"/>
        </w:rPr>
        <w:t>” means any product or process that: (a) is Covered by a Valid Program Claim and/or whose manufacture or use is Covered by a Valid Program Claim, or (b) itself - or its manufacture, use, sale or importation - uses, incorporates, is made with and/or is or was created or derived</w:t>
      </w:r>
    </w:p>
    <w:p>
      <w:pPr>
        <w:jc w:val="both"/>
        <w:spacing w:after="0" w:line="226" w:lineRule="auto"/>
        <w:rPr>
          <w:sz w:val="20"/>
          <w:szCs w:val="20"/>
          <w:color w:val="auto"/>
        </w:rPr>
      </w:pPr>
      <w:r>
        <w:rPr>
          <w:rFonts w:ascii="Times New Roman" w:cs="Times New Roman" w:eastAsia="Times New Roman" w:hAnsi="Times New Roman"/>
          <w:sz w:val="18"/>
          <w:szCs w:val="18"/>
          <w:color w:val="auto"/>
        </w:rPr>
        <w:t>from any Program Technology Rights. For avoidance of doubt, a product that is Covered by both a Valid Program Claim and a Valid Platform Claim, or uses both Program Technology Rights and Platform Technology Rights, shall be deemed a Licensed Program Product hereunder.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Subject Matter</w:t>
      </w:r>
      <w:r>
        <w:rPr>
          <w:rFonts w:ascii="Times New Roman" w:cs="Times New Roman" w:eastAsia="Times New Roman" w:hAnsi="Times New Roman"/>
          <w:sz w:val="18"/>
          <w:szCs w:val="18"/>
          <w:color w:val="auto"/>
        </w:rPr>
        <w:t>” means Patent Rights and/or Technology Rights.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Marketing Approval</w:t>
      </w:r>
      <w:r>
        <w:rPr>
          <w:rFonts w:ascii="Times New Roman" w:cs="Times New Roman" w:eastAsia="Times New Roman" w:hAnsi="Times New Roman"/>
          <w:sz w:val="18"/>
          <w:szCs w:val="18"/>
          <w:color w:val="auto"/>
        </w:rPr>
        <w:t>” means all approvals, licenses, registrations or authorizations of any federal, state or local regulatory agency, department, bureau or</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other governmental entity, necessary for the manufacturing, distribution, use, storage, import, transport, marketing or sale of Licensed Products in a country or regulatory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 of 30</w:t>
      </w:r>
    </w:p>
    <w:p>
      <w:pPr>
        <w:sectPr>
          <w:pgSz w:w="11900" w:h="16838" w:orient="portrait"/>
          <w:cols w:equalWidth="0" w:num="1">
            <w:col w:w="11240"/>
          </w:cols>
          <w:pgMar w:left="320" w:top="1404" w:right="339" w:bottom="1440" w:gutter="0" w:footer="0" w:header="0"/>
        </w:sectPr>
      </w:pPr>
    </w:p>
    <w:bookmarkStart w:id="176" w:name="page177"/>
    <w:bookmarkEnd w:id="176"/>
    <w:p>
      <w:pPr>
        <w:jc w:val="both"/>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means the gross amount of consideration received by Licensee, Affiliates, and/or Sublicensees for Licensed Products sold, leased, transferred, used, performed or otherwise provided, less the amount specifically identified on the invoice for the following items directly attributable to the Licensed</w:t>
      </w:r>
    </w:p>
    <w:p>
      <w:pPr>
        <w:jc w:val="both"/>
        <w:spacing w:after="0" w:line="208" w:lineRule="auto"/>
        <w:rPr>
          <w:sz w:val="20"/>
          <w:szCs w:val="20"/>
          <w:color w:val="auto"/>
        </w:rPr>
      </w:pPr>
      <w:r>
        <w:rPr>
          <w:rFonts w:ascii="Times New Roman" w:cs="Times New Roman" w:eastAsia="Times New Roman" w:hAnsi="Times New Roman"/>
          <w:sz w:val="18"/>
          <w:szCs w:val="18"/>
          <w:color w:val="auto"/>
        </w:rPr>
        <w:t>Products and borne by Licensee, Affiliates, or Sublicensees as the provider: (a) [***]; (b) [***]; (c) [***]; and (d) [***]. Net Sales on Licensed Products transferred as part of a non-cash exchange or where the gross amount is not in immediately available funds shall be calculated at the average amount invoiced to third parties for such Licensed Products in the same country in the Contract Period. If there is no average amount, then the Parties shall select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another reasonable benchmark.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If more than one product or service sold separately by Licensee are combined for sale at a single offering price (e.g. as a kit including as separate items both a Licensed Product and a device or other freestanding product that is not a Licensed Product) (a “</w:t>
      </w:r>
      <w:r>
        <w:rPr>
          <w:rFonts w:ascii="Times New Roman" w:cs="Times New Roman" w:eastAsia="Times New Roman" w:hAnsi="Times New Roman"/>
          <w:sz w:val="18"/>
          <w:szCs w:val="18"/>
          <w:b w:val="1"/>
          <w:bCs w:val="1"/>
          <w:color w:val="auto"/>
        </w:rPr>
        <w:t>Combination Product</w:t>
      </w:r>
      <w:r>
        <w:rPr>
          <w:rFonts w:ascii="Times New Roman" w:cs="Times New Roman" w:eastAsia="Times New Roman" w:hAnsi="Times New Roman"/>
          <w:sz w:val="18"/>
          <w:szCs w:val="18"/>
          <w:color w:val="auto"/>
        </w:rPr>
        <w:t>”), the total gross amount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received for purposes of determining Net Sales shall be calculated by multiplying the revenue for said Combination Product by the fraction A/(A+B), where A is the sum of the offering prices of each product and service that independently constitutes a Licensed Product when sold separately, and B is the sum of the offering prices of each other product or service combined therewith at said single offering price. Notwithstanding the foregoing and for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avoidance of doubt, sale of a single product that embodies more than one technology or biological component (e.g. a drug product that includes a cyclic cell-penetrating peptide and an enzyme) shall not constitute a Combination Product subject to the provisions of this paragraph.</w:t>
      </w:r>
    </w:p>
    <w:p>
      <w:pPr>
        <w:spacing w:after="0" w:line="12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Non-Royalty Sublicensing Consideration</w:t>
      </w:r>
      <w:r>
        <w:rPr>
          <w:rFonts w:ascii="Times New Roman" w:cs="Times New Roman" w:eastAsia="Times New Roman" w:hAnsi="Times New Roman"/>
          <w:sz w:val="18"/>
          <w:szCs w:val="18"/>
          <w:color w:val="auto"/>
        </w:rPr>
        <w:t>” means the gross amount of consideration, excluding Net Sales and any royalties based on Net Sales, received directly or indirectly by Licensee, Affiliate, Related Party or Related Party Entity, (as defined in Section 3.10) and/or each Sublicensee that grants a further sub license, in return for the grant of a sublicense of any Patent Rights, including: (a) fees, including fixed, option, license, maintenance and joint</w:t>
      </w:r>
    </w:p>
    <w:p>
      <w:pPr>
        <w:spacing w:after="0" w:line="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marketing fees; (b) payments, including milestones and minimum royalty payments (provided that such payments shall not constitute Net Sales); (c) non-cash consideration, including equity, the fair market value for each cross-license of intellectual and/or tangible property and debt forgiveness; (d) funding in excess of Licensee’s or such Sublicensee’s cost of performing the prospective research and development; and (e) any other property, remuneration or value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given or exchanged for a Sublicense Agreement regardless of how any party characterizes such consideration. Notwithstanding the foregoing, Non-Royalty Sub licensing Consideration excludes all consideration in the form of (i) payments or reimbursement for documented sponsored research, development activities, pilot studies and/or transfer of research materials, (ii) payment or reimbursement of reasonable patent expenses actually incurred or paid by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Licensee and not otherwise reimbursed, or payment of patent expenses required to be paid by Licensee hereunder, (iii) payments for the purchase of equity in Licensee at the fair market value of such equity, (iv) payments in consideration of the license or sub license of any intellectual property other than the Patent Rights and (v) payments received by Licensee from Sublicensees in support of full time equivalent employees to run a partnered program.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Agreement</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 Rights</w:t>
      </w:r>
      <w:r>
        <w:rPr>
          <w:rFonts w:ascii="Times New Roman" w:cs="Times New Roman" w:eastAsia="Times New Roman" w:hAnsi="Times New Roman"/>
          <w:sz w:val="18"/>
          <w:szCs w:val="18"/>
          <w:color w:val="auto"/>
        </w:rPr>
        <w:t>” means all (a) patents and/or patent applications listed in Appendix 1A (Platform Patent Rights) or 1B (Program Patent Rights), or arising out of the invention disclosures (Tech IDs) listed in Appendix 1A or 1B; (b) patents and/or patent applications included in this Agreement pursuant to Sections 2.7 and 2.8; (c) patent applications that claim priority to the patents and patent applications in (a) and (b), including all divisionals, continuations and continuations-in-part (but only to the extent of the subject matter that is fully disclosed and enabled by (a) and/or (b) to satisfy 35 U.S.C. §112); (d)</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patents issuing on (a), (b) and/or (c); and (e) reissues, reexaminations, extensions, foreign counterparts and supplementary protection certificates referencing any of the foregoing.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Deadline</w:t>
      </w:r>
      <w:r>
        <w:rPr>
          <w:rFonts w:ascii="Times New Roman" w:cs="Times New Roman" w:eastAsia="Times New Roman" w:hAnsi="Times New Roman"/>
          <w:sz w:val="18"/>
          <w:szCs w:val="18"/>
          <w:color w:val="auto"/>
        </w:rPr>
        <w:t>” means each day that is [***] days after the last day of any particular Contract Period.</w:t>
      </w:r>
    </w:p>
    <w:p>
      <w:pPr>
        <w:spacing w:after="0" w:line="14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1 Clinical Trial</w:t>
      </w:r>
      <w:r>
        <w:rPr>
          <w:rFonts w:ascii="Times New Roman" w:cs="Times New Roman" w:eastAsia="Times New Roman" w:hAnsi="Times New Roman"/>
          <w:sz w:val="18"/>
          <w:szCs w:val="18"/>
          <w:color w:val="auto"/>
        </w:rPr>
        <w:t>” means, as to a specific Licensed Product, a study as described in 21 C.F.R. §312.21(a) or a comparable clinical study in a country other than the United States.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2 Clinical Trial</w:t>
      </w:r>
      <w:r>
        <w:rPr>
          <w:rFonts w:ascii="Times New Roman" w:cs="Times New Roman" w:eastAsia="Times New Roman" w:hAnsi="Times New Roman"/>
          <w:sz w:val="18"/>
          <w:szCs w:val="18"/>
          <w:color w:val="auto"/>
        </w:rPr>
        <w:t>” means, as to a specific Licensed Product, a study in humans designed with the principal purpose of determining initial efficacy</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and dosing of such Licensed Product in patients for the indication(s) being studied as described in 21 C.F.R. §312.21(b); or a similar clinical study in a country other than the United States.</w:t>
      </w:r>
    </w:p>
    <w:p>
      <w:pPr>
        <w:spacing w:after="0" w:line="12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3 Clinical Trial</w:t>
      </w:r>
      <w:r>
        <w:rPr>
          <w:rFonts w:ascii="Times New Roman" w:cs="Times New Roman" w:eastAsia="Times New Roman" w:hAnsi="Times New Roman"/>
          <w:sz w:val="18"/>
          <w:szCs w:val="18"/>
          <w:color w:val="auto"/>
        </w:rPr>
        <w:t>” means, as to a specific Licensed Product, a lawful study in humans of the efficacy and safety of such Licensed Product, which is prospectively designed to demonstrate statistically whether such Licensed Product is effective and safe for use in a particular indication in a manner sufficient to file an application to obtain Marketing Approval to market and sell that Licensed Product in the United States or another country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 of 30</w:t>
      </w:r>
    </w:p>
    <w:p>
      <w:pPr>
        <w:sectPr>
          <w:pgSz w:w="11900" w:h="16838" w:orient="portrait"/>
          <w:cols w:equalWidth="0" w:num="1">
            <w:col w:w="11240"/>
          </w:cols>
          <w:pgMar w:left="320" w:top="1400"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color w:val="auto"/>
        </w:rPr>
        <w:t>indication being investigated by the study, as described in 21 C.F.R. § 312.21(c); or similar clinical study in a country other than the United States.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Platform Claims</w:t>
      </w:r>
      <w:r>
        <w:rPr>
          <w:rFonts w:ascii="Times New Roman" w:cs="Times New Roman" w:eastAsia="Times New Roman" w:hAnsi="Times New Roman"/>
          <w:sz w:val="18"/>
          <w:szCs w:val="18"/>
          <w:color w:val="auto"/>
        </w:rPr>
        <w:t>” means [***].</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Platform Technology Rights</w:t>
      </w:r>
      <w:r>
        <w:rPr>
          <w:rFonts w:ascii="Times New Roman" w:cs="Times New Roman" w:eastAsia="Times New Roman" w:hAnsi="Times New Roman"/>
          <w:sz w:val="18"/>
          <w:szCs w:val="18"/>
          <w:color w:val="auto"/>
        </w:rPr>
        <w:t>” means [***].</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Program Claims</w:t>
      </w:r>
      <w:r>
        <w:rPr>
          <w:rFonts w:ascii="Times New Roman" w:cs="Times New Roman" w:eastAsia="Times New Roman" w:hAnsi="Times New Roman"/>
          <w:sz w:val="18"/>
          <w:szCs w:val="18"/>
          <w:color w:val="auto"/>
        </w:rPr>
        <w:t>” means [***]. Program Claims are set forth in Appendix 1B, which shall be updated from time to time in accordance with this Agreement.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Program Technology Rights</w:t>
      </w:r>
      <w:r>
        <w:rPr>
          <w:rFonts w:ascii="Times New Roman" w:cs="Times New Roman" w:eastAsia="Times New Roman" w:hAnsi="Times New Roman"/>
          <w:sz w:val="18"/>
          <w:szCs w:val="18"/>
          <w:color w:val="auto"/>
        </w:rPr>
        <w:t>” means [***].</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Work(s)</w:t>
      </w:r>
      <w:r>
        <w:rPr>
          <w:rFonts w:ascii="Times New Roman" w:cs="Times New Roman" w:eastAsia="Times New Roman" w:hAnsi="Times New Roman"/>
          <w:sz w:val="18"/>
          <w:szCs w:val="18"/>
          <w:color w:val="auto"/>
        </w:rPr>
        <w:t>” means [***].</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SRA Technology</w:t>
      </w:r>
      <w:r>
        <w:rPr>
          <w:rFonts w:ascii="Times New Roman" w:cs="Times New Roman" w:eastAsia="Times New Roman" w:hAnsi="Times New Roman"/>
          <w:sz w:val="18"/>
          <w:szCs w:val="18"/>
          <w:color w:val="auto"/>
        </w:rPr>
        <w:t>” means all patents, patent applications, and technology arising out of an SRA and (i) not already included in the Patent Rights, (ii) not a Related Work, and (iii) not already included in the Technology Rights.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SRA</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Sublicense Agreement</w:t>
      </w:r>
      <w:r>
        <w:rPr>
          <w:rFonts w:ascii="Times New Roman" w:cs="Times New Roman" w:eastAsia="Times New Roman" w:hAnsi="Times New Roman"/>
          <w:sz w:val="18"/>
          <w:szCs w:val="18"/>
          <w:color w:val="auto"/>
        </w:rPr>
        <w:t>” means any agreement or arrangement pursuant to which Licensee directly or indirectly through intermediaries authorizes a third party to: (a) develop, manufacture, offer for sale, sell, lease, transfer, import and/or otherwise provide a Licensed Product; or (b) practice the Licensed</w:t>
      </w:r>
    </w:p>
    <w:p>
      <w:pPr>
        <w:jc w:val="both"/>
        <w:spacing w:after="0" w:line="218" w:lineRule="auto"/>
        <w:rPr>
          <w:sz w:val="20"/>
          <w:szCs w:val="20"/>
          <w:color w:val="auto"/>
        </w:rPr>
      </w:pPr>
      <w:r>
        <w:rPr>
          <w:rFonts w:ascii="Times New Roman" w:cs="Times New Roman" w:eastAsia="Times New Roman" w:hAnsi="Times New Roman"/>
          <w:sz w:val="18"/>
          <w:szCs w:val="18"/>
          <w:color w:val="auto"/>
        </w:rPr>
        <w:t>Subject Matter; regardless of whether the agreement or arrangement requires or is captioned as a License or sublicense under the Licensed Subject Matter; provided in each case that a Sublicense Agreement does not include agreements with vendors and contractors providing services (including without limitation contract research organizations, contract manufacturing organizations and distributors) on behalf of Licensee or an Affiliate or Sublicensee.</w:t>
      </w:r>
    </w:p>
    <w:p>
      <w:pPr>
        <w:spacing w:after="0" w:line="12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Sublicensee</w:t>
      </w:r>
      <w:r>
        <w:rPr>
          <w:rFonts w:ascii="Times New Roman" w:cs="Times New Roman" w:eastAsia="Times New Roman" w:hAnsi="Times New Roman"/>
          <w:sz w:val="18"/>
          <w:szCs w:val="18"/>
          <w:color w:val="auto"/>
        </w:rPr>
        <w:t>” means any third party, including an Affiliate, with a Sublicense Agreement. For the avoidance of doubt, Sublicensee does not include vendors and contractors providing services (including without Limitation contract research organizations, contract manufacturing organizations and</w:t>
      </w:r>
    </w:p>
    <w:p>
      <w:pPr>
        <w:spacing w:after="0"/>
        <w:rPr>
          <w:sz w:val="20"/>
          <w:szCs w:val="20"/>
          <w:color w:val="auto"/>
        </w:rPr>
      </w:pPr>
      <w:r>
        <w:rPr>
          <w:rFonts w:ascii="Times New Roman" w:cs="Times New Roman" w:eastAsia="Times New Roman" w:hAnsi="Times New Roman"/>
          <w:sz w:val="18"/>
          <w:szCs w:val="18"/>
          <w:color w:val="auto"/>
        </w:rPr>
        <w:t>distributors) on behalf of Licensee or an Affiliate.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Technology Rights</w:t>
      </w:r>
      <w:r>
        <w:rPr>
          <w:rFonts w:ascii="Times New Roman" w:cs="Times New Roman" w:eastAsia="Times New Roman" w:hAnsi="Times New Roman"/>
          <w:sz w:val="18"/>
          <w:szCs w:val="18"/>
          <w:color w:val="auto"/>
        </w:rPr>
        <w:t>” means [***].</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18"/>
          <w:szCs w:val="18"/>
          <w:color w:val="auto"/>
        </w:rPr>
        <w:t>” means worldwide.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Transferred Materials</w:t>
      </w:r>
      <w:r>
        <w:rPr>
          <w:rFonts w:ascii="Times New Roman" w:cs="Times New Roman" w:eastAsia="Times New Roman" w:hAnsi="Times New Roman"/>
          <w:sz w:val="18"/>
          <w:szCs w:val="18"/>
          <w:color w:val="auto"/>
        </w:rPr>
        <w:t>” has the meaning set forth in Section 2.9.</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‘Valid Claim</w:t>
      </w:r>
      <w:r>
        <w:rPr>
          <w:rFonts w:ascii="Times New Roman" w:cs="Times New Roman" w:eastAsia="Times New Roman" w:hAnsi="Times New Roman"/>
          <w:sz w:val="18"/>
          <w:szCs w:val="18"/>
          <w:color w:val="auto"/>
        </w:rPr>
        <w:t>” means a Valid Platform Claim or a Valid Program Claim.</w:t>
      </w:r>
    </w:p>
    <w:p>
      <w:pPr>
        <w:spacing w:after="0" w:line="15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Valid Platform Claim</w:t>
      </w:r>
      <w:r>
        <w:rPr>
          <w:rFonts w:ascii="Times New Roman" w:cs="Times New Roman" w:eastAsia="Times New Roman" w:hAnsi="Times New Roman"/>
          <w:sz w:val="18"/>
          <w:szCs w:val="18"/>
          <w:color w:val="auto"/>
        </w:rPr>
        <w:t>” means a Platform Claim of a pending patent application or an issued and unexpired patent in a particular jurisdiction, which claim has not, in such jurisdiction, (a) been finally rejected or been declared invalid or cancelled by the patent office or a court of competent jurisdiction in a decision that is no longer subject to appeal as a matter of right or (b) been pending at least [***] years after First Commercial Sale; provided that, for</w:t>
      </w:r>
    </w:p>
    <w:p>
      <w:pPr>
        <w:spacing w:after="0" w:line="3"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avoidance of doubt, “Valid Platform Claim” shall include an issued Platform Claim even if issued from an application that had been pending more than [***] years since First Commercial Sale.</w:t>
      </w:r>
    </w:p>
    <w:p>
      <w:pPr>
        <w:spacing w:after="0" w:line="12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Valid Program Claim</w:t>
      </w:r>
      <w:r>
        <w:rPr>
          <w:rFonts w:ascii="Times New Roman" w:cs="Times New Roman" w:eastAsia="Times New Roman" w:hAnsi="Times New Roman"/>
          <w:sz w:val="18"/>
          <w:szCs w:val="18"/>
          <w:color w:val="auto"/>
        </w:rPr>
        <w:t>” means a Program Claim of a pending patent application or an issued and unexpired patent in a particular jurisdiction, which claim has not, in such jurisdiction, (a) been finally rejected or been declared invalid or cancelled by the patent office or a court of competent jurisdiction in a decision that is no longer subject to appeal as a matter of right or (b) been pending at least [***] years after First Commercial Sale; provided that, for</w:t>
      </w:r>
    </w:p>
    <w:p>
      <w:pPr>
        <w:spacing w:after="0" w:line="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avoidance of doubt, “Valid Program Claim” shall include an issued Program Claim even if issued from an application that had been pending more than [***] years since First Commercial Sale.</w:t>
      </w:r>
    </w:p>
    <w:p>
      <w:pPr>
        <w:spacing w:after="0" w:line="126" w:lineRule="exact"/>
        <w:rPr>
          <w:sz w:val="20"/>
          <w:szCs w:val="20"/>
          <w:color w:val="auto"/>
        </w:rPr>
      </w:pPr>
    </w:p>
    <w:p>
      <w:pPr>
        <w:ind w:left="320" w:hanging="312"/>
        <w:spacing w:after="0"/>
        <w:tabs>
          <w:tab w:leader="none" w:pos="32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License Grant and Commercialization.</w:t>
      </w:r>
    </w:p>
    <w:p>
      <w:pPr>
        <w:spacing w:after="0" w:line="144"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b w:val="1"/>
          <w:bCs w:val="1"/>
          <w:u w:val="single" w:color="auto"/>
          <w:color w:val="auto"/>
        </w:rPr>
        <w:t>Grant</w:t>
      </w:r>
      <w:r>
        <w:rPr>
          <w:rFonts w:ascii="Times New Roman" w:cs="Times New Roman" w:eastAsia="Times New Roman" w:hAnsi="Times New Roman"/>
          <w:sz w:val="18"/>
          <w:szCs w:val="18"/>
          <w:color w:val="auto"/>
        </w:rPr>
        <w:t>. Subject to the terms and conditions of this Agreement and Licensee’s compliance therewith, OSIF grants and Licensee accepts a</w:t>
      </w:r>
    </w:p>
    <w:p>
      <w:pPr>
        <w:spacing w:after="0" w:line="6" w:lineRule="exact"/>
        <w:rPr>
          <w:sz w:val="20"/>
          <w:szCs w:val="20"/>
          <w:color w:val="auto"/>
        </w:rPr>
      </w:pPr>
    </w:p>
    <w:p>
      <w:pPr>
        <w:ind w:left="1300" w:right="20"/>
        <w:spacing w:after="0" w:line="226" w:lineRule="auto"/>
        <w:rPr>
          <w:sz w:val="20"/>
          <w:szCs w:val="20"/>
          <w:color w:val="auto"/>
        </w:rPr>
      </w:pPr>
      <w:r>
        <w:rPr>
          <w:rFonts w:ascii="Times New Roman" w:cs="Times New Roman" w:eastAsia="Times New Roman" w:hAnsi="Times New Roman"/>
          <w:sz w:val="18"/>
          <w:szCs w:val="18"/>
          <w:color w:val="auto"/>
        </w:rPr>
        <w:t>sublicensable (through multiple tiers, pursuant to Section 2.2 non-transferable, except as provided in Section 15, royalty-bearing (as provided in Section 3.2):</w:t>
      </w:r>
    </w:p>
    <w:p>
      <w:pPr>
        <w:spacing w:after="0" w:line="130" w:lineRule="exact"/>
        <w:rPr>
          <w:sz w:val="20"/>
          <w:szCs w:val="20"/>
          <w:color w:val="auto"/>
        </w:rPr>
      </w:pPr>
    </w:p>
    <w:p>
      <w:pPr>
        <w:ind w:left="1960" w:right="20" w:hanging="656"/>
        <w:spacing w:after="0" w:line="237" w:lineRule="auto"/>
        <w:tabs>
          <w:tab w:leader="none" w:pos="172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(even as to OSIF, except as expressly provided herein), license under Patent Rights make, have made, use, sell, offer for sale and, import (and otherwise exercise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4 of 30</w:t>
      </w:r>
    </w:p>
    <w:p>
      <w:pPr>
        <w:sectPr>
          <w:pgSz w:w="11900" w:h="16838" w:orient="portrait"/>
          <w:cols w:equalWidth="0" w:num="1">
            <w:col w:w="11240"/>
          </w:cols>
          <w:pgMar w:left="320" w:top="1404" w:right="339" w:bottom="1440" w:gutter="0" w:footer="0" w:header="0"/>
        </w:sectPr>
      </w:pPr>
    </w:p>
    <w:bookmarkStart w:id="178" w:name="page179"/>
    <w:bookmarkEnd w:id="178"/>
    <w:p>
      <w:pPr>
        <w:ind w:left="1300"/>
        <w:spacing w:after="0"/>
        <w:rPr>
          <w:sz w:val="20"/>
          <w:szCs w:val="20"/>
          <w:color w:val="auto"/>
        </w:rPr>
      </w:pPr>
      <w:r>
        <w:rPr>
          <w:rFonts w:ascii="Times New Roman" w:cs="Times New Roman" w:eastAsia="Times New Roman" w:hAnsi="Times New Roman"/>
          <w:sz w:val="18"/>
          <w:szCs w:val="18"/>
          <w:color w:val="auto"/>
        </w:rPr>
        <w:t>statutory patent rights with respect to) Licensed Products, in the Field of Use in the Territory;</w:t>
      </w:r>
    </w:p>
    <w:p>
      <w:pPr>
        <w:spacing w:after="0" w:line="158" w:lineRule="exact"/>
        <w:rPr>
          <w:sz w:val="20"/>
          <w:szCs w:val="20"/>
          <w:color w:val="auto"/>
        </w:rPr>
      </w:pPr>
    </w:p>
    <w:p>
      <w:pPr>
        <w:ind w:left="1300" w:right="20" w:hanging="656"/>
        <w:spacing w:after="0" w:line="237" w:lineRule="auto"/>
        <w:tabs>
          <w:tab w:leader="none" w:pos="105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license to research, have researched, develop, have developed, make, have made, use, have used, sell, have sold, offer for sale, import, export, commercialize and otherwise exploit the Transferred Materials in the Field of Use in the Territory; and</w:t>
      </w:r>
    </w:p>
    <w:p>
      <w:pPr>
        <w:spacing w:after="0" w:line="131" w:lineRule="exact"/>
        <w:rPr>
          <w:rFonts w:ascii="Times New Roman" w:cs="Times New Roman" w:eastAsia="Times New Roman" w:hAnsi="Times New Roman"/>
          <w:sz w:val="18"/>
          <w:szCs w:val="18"/>
          <w:color w:val="auto"/>
        </w:rPr>
      </w:pPr>
    </w:p>
    <w:p>
      <w:pPr>
        <w:ind w:left="1300" w:hanging="656"/>
        <w:spacing w:after="0" w:line="226" w:lineRule="auto"/>
        <w:tabs>
          <w:tab w:leader="none" w:pos="105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(even as to OSIF, except as expressly provided herein) non-exclusive license to use Technology Rights (other than Transferred Materials) to research, have researched, develop, have developed, make, have made, use, have used, sell, have sold, offer for sale, import, export, commercialize and otherwise exploit products and services in the Field of Use in the Territory.</w:t>
      </w:r>
    </w:p>
    <w:p>
      <w:pPr>
        <w:spacing w:after="0" w:line="131" w:lineRule="exact"/>
        <w:rPr>
          <w:sz w:val="20"/>
          <w:szCs w:val="20"/>
          <w:color w:val="auto"/>
        </w:rPr>
      </w:pPr>
    </w:p>
    <w:p>
      <w:pPr>
        <w:jc w:val="both"/>
        <w:ind w:left="640"/>
        <w:spacing w:after="0" w:line="222" w:lineRule="auto"/>
        <w:rPr>
          <w:sz w:val="20"/>
          <w:szCs w:val="20"/>
          <w:color w:val="auto"/>
        </w:rPr>
      </w:pPr>
      <w:r>
        <w:rPr>
          <w:rFonts w:ascii="Times New Roman" w:cs="Times New Roman" w:eastAsia="Times New Roman" w:hAnsi="Times New Roman"/>
          <w:sz w:val="18"/>
          <w:szCs w:val="18"/>
          <w:color w:val="auto"/>
        </w:rPr>
        <w:t>On behalf of itself and OSU, OSIF reserves the right to practice, have practiced and transfer the Licensed Subject Matter for teaching, non-commercial research, education, public service and other non-commercial research-related purposes and to publish in connection</w:t>
      </w:r>
    </w:p>
    <w:p>
      <w:pPr>
        <w:spacing w:after="0" w:line="2" w:lineRule="exact"/>
        <w:rPr>
          <w:sz w:val="20"/>
          <w:szCs w:val="20"/>
          <w:color w:val="auto"/>
        </w:rPr>
      </w:pPr>
    </w:p>
    <w:p>
      <w:pPr>
        <w:jc w:val="both"/>
        <w:ind w:left="640" w:right="20"/>
        <w:spacing w:after="0" w:line="218" w:lineRule="auto"/>
        <w:rPr>
          <w:sz w:val="20"/>
          <w:szCs w:val="20"/>
          <w:color w:val="auto"/>
        </w:rPr>
      </w:pPr>
      <w:r>
        <w:rPr>
          <w:rFonts w:ascii="Times New Roman" w:cs="Times New Roman" w:eastAsia="Times New Roman" w:hAnsi="Times New Roman"/>
          <w:sz w:val="18"/>
          <w:szCs w:val="18"/>
          <w:color w:val="auto"/>
        </w:rPr>
        <w:t>therewith in accordance with Section 9.7 including to grant rights to, and transfer material embodiments of, the Licensed Subject Matter to OSU, other academic institutions, non-profit research institutions and governmental entities for these purposes (provided in each case, that any such transfer shall preclude commercial research on behalf of third party commercial entities).</w:t>
      </w:r>
    </w:p>
    <w:p>
      <w:pPr>
        <w:spacing w:after="0" w:line="172" w:lineRule="exact"/>
        <w:rPr>
          <w:sz w:val="20"/>
          <w:szCs w:val="20"/>
          <w:color w:val="auto"/>
        </w:rPr>
      </w:pPr>
    </w:p>
    <w:p>
      <w:pPr>
        <w:jc w:val="both"/>
        <w:ind w:left="640"/>
        <w:spacing w:after="0" w:line="216" w:lineRule="auto"/>
        <w:rPr>
          <w:sz w:val="20"/>
          <w:szCs w:val="20"/>
          <w:color w:val="auto"/>
        </w:rPr>
      </w:pPr>
      <w:r>
        <w:rPr>
          <w:rFonts w:ascii="Times New Roman" w:cs="Times New Roman" w:eastAsia="Times New Roman" w:hAnsi="Times New Roman"/>
          <w:sz w:val="18"/>
          <w:szCs w:val="18"/>
          <w:color w:val="auto"/>
        </w:rPr>
        <w:t>Nothing contained in this Agreement or a Party’s performance hereunder shall be construed as conferring, by implication, estoppel or otherwise, upon Licensee, Affiliates, Sublicensees, any party in privity therewith or any customer thereof, any right, title or interest under any intellectual or tangible property right at any time, except for those rights expressly granted under this Agreement. OSIF reserves all</w:t>
      </w:r>
    </w:p>
    <w:p>
      <w:pPr>
        <w:spacing w:after="0" w:line="1" w:lineRule="exact"/>
        <w:rPr>
          <w:sz w:val="20"/>
          <w:szCs w:val="20"/>
          <w:color w:val="auto"/>
        </w:rPr>
      </w:pPr>
    </w:p>
    <w:p>
      <w:pPr>
        <w:jc w:val="both"/>
        <w:ind w:left="640"/>
        <w:spacing w:after="0" w:line="226" w:lineRule="auto"/>
        <w:rPr>
          <w:sz w:val="20"/>
          <w:szCs w:val="20"/>
          <w:color w:val="auto"/>
        </w:rPr>
      </w:pPr>
      <w:r>
        <w:rPr>
          <w:rFonts w:ascii="Times New Roman" w:cs="Times New Roman" w:eastAsia="Times New Roman" w:hAnsi="Times New Roman"/>
          <w:sz w:val="18"/>
          <w:szCs w:val="18"/>
          <w:color w:val="auto"/>
        </w:rPr>
        <w:t>rights, titles and interests not expressly granted under this Agreement. Nothing herein shall be construed as a sale of the Licensed Subject Matter. Licensee agrees not to practice the Patent Rights or use the Technology Rights outside the Field of Use or outside the Territory.</w:t>
      </w:r>
    </w:p>
    <w:p>
      <w:pPr>
        <w:spacing w:after="0" w:line="153" w:lineRule="exact"/>
        <w:rPr>
          <w:sz w:val="20"/>
          <w:szCs w:val="20"/>
          <w:color w:val="auto"/>
        </w:rPr>
      </w:pPr>
    </w:p>
    <w:p>
      <w:pPr>
        <w:ind w:left="420" w:right="20" w:hanging="647"/>
        <w:spacing w:after="0" w:line="255" w:lineRule="auto"/>
        <w:tabs>
          <w:tab w:leader="none" w:pos="40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b w:val="1"/>
          <w:bCs w:val="1"/>
          <w:u w:val="single" w:color="auto"/>
          <w:color w:val="auto"/>
        </w:rPr>
        <w:t>Sublicensing</w:t>
      </w:r>
      <w:r>
        <w:rPr>
          <w:rFonts w:ascii="Times New Roman" w:cs="Times New Roman" w:eastAsia="Times New Roman" w:hAnsi="Times New Roman"/>
          <w:sz w:val="18"/>
          <w:szCs w:val="18"/>
          <w:color w:val="auto"/>
        </w:rPr>
        <w:t>. Subject to the terms and conditions of this Agreement and Licensee’s and Sublicensee’s compliance therewith, Licensee may</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grant Sublicense Agreements under the Licensed Subject Matter without the consent of OSIF, through multiple tiers, provided:</w:t>
      </w:r>
    </w:p>
    <w:p>
      <w:pPr>
        <w:spacing w:after="0" w:line="104" w:lineRule="exact"/>
        <w:rPr>
          <w:sz w:val="20"/>
          <w:szCs w:val="20"/>
          <w:color w:val="auto"/>
        </w:rPr>
      </w:pPr>
    </w:p>
    <w:p>
      <w:pPr>
        <w:ind w:left="1300" w:hanging="656"/>
        <w:spacing w:after="0" w:line="231" w:lineRule="auto"/>
        <w:tabs>
          <w:tab w:leader="none" w:pos="108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Sublicense Agreement: (i) is in writing; (ii) has restrictions consistent with and terms that do not exceed the scope of rights granted to Licensee hereunder; and (iii) includes a right of termination by Licensee in the event that Sublicensee acts in any manner that would constitute a breach of this Agreement if such action or inaction were that of Licensee.</w:t>
      </w:r>
    </w:p>
    <w:p>
      <w:pPr>
        <w:spacing w:after="0" w:line="131" w:lineRule="exact"/>
        <w:rPr>
          <w:rFonts w:ascii="Times New Roman" w:cs="Times New Roman" w:eastAsia="Times New Roman" w:hAnsi="Times New Roman"/>
          <w:sz w:val="18"/>
          <w:szCs w:val="18"/>
          <w:color w:val="auto"/>
        </w:rPr>
      </w:pPr>
    </w:p>
    <w:p>
      <w:pPr>
        <w:ind w:left="1300" w:hanging="656"/>
        <w:spacing w:after="0" w:line="226" w:lineRule="auto"/>
        <w:tabs>
          <w:tab w:leader="none" w:pos="107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deliver to OSIF a copy of each Sublicense Agreement granted and all modifications or terminations thereof, within [***] days following the applicable execution, modification or termination, provided that Licensee may redact portions of the Sublicense Agreements not relevant to determining compliance with this Agreement.</w:t>
      </w:r>
    </w:p>
    <w:p>
      <w:pPr>
        <w:spacing w:after="0" w:line="130" w:lineRule="exact"/>
        <w:rPr>
          <w:rFonts w:ascii="Times New Roman" w:cs="Times New Roman" w:eastAsia="Times New Roman" w:hAnsi="Times New Roman"/>
          <w:sz w:val="18"/>
          <w:szCs w:val="18"/>
          <w:color w:val="auto"/>
        </w:rPr>
      </w:pPr>
    </w:p>
    <w:p>
      <w:pPr>
        <w:ind w:left="1300" w:hanging="656"/>
        <w:spacing w:after="0" w:line="231" w:lineRule="auto"/>
        <w:tabs>
          <w:tab w:leader="none" w:pos="114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Sublicense Agreement, Licensee shall remain liable to OSIF for all of Licensee’s duties and obligations contained in this Agreement and Sublicensee’s breach of its Sub license Agreement and shall enforce the terms of the Sublicense Agreement.</w:t>
      </w:r>
    </w:p>
    <w:p>
      <w:pPr>
        <w:spacing w:after="0" w:line="118" w:lineRule="exact"/>
        <w:rPr>
          <w:sz w:val="20"/>
          <w:szCs w:val="20"/>
          <w:color w:val="auto"/>
        </w:rPr>
      </w:pPr>
    </w:p>
    <w:p>
      <w:pPr>
        <w:jc w:val="both"/>
        <w:ind w:left="640"/>
        <w:spacing w:after="0" w:line="222" w:lineRule="auto"/>
        <w:rPr>
          <w:sz w:val="20"/>
          <w:szCs w:val="20"/>
          <w:color w:val="auto"/>
        </w:rPr>
      </w:pPr>
      <w:r>
        <w:rPr>
          <w:rFonts w:ascii="Times New Roman" w:cs="Times New Roman" w:eastAsia="Times New Roman" w:hAnsi="Times New Roman"/>
          <w:sz w:val="18"/>
          <w:szCs w:val="18"/>
          <w:color w:val="auto"/>
        </w:rPr>
        <w:t>In the event a Sublicensee is an Affiliate of Licensee, the obligations of Sections 2.2(a) and 2.2(b) do not apply if an authorized officer of Licensee has certified in writing to OSIF that Licensee’s corporate documents authorize it to obligate and bind the Affiliate named in the</w:t>
      </w:r>
    </w:p>
    <w:p>
      <w:pPr>
        <w:spacing w:after="0" w:line="2" w:lineRule="exact"/>
        <w:rPr>
          <w:sz w:val="20"/>
          <w:szCs w:val="20"/>
          <w:color w:val="auto"/>
        </w:rPr>
      </w:pPr>
    </w:p>
    <w:p>
      <w:pPr>
        <w:jc w:val="both"/>
        <w:ind w:left="640"/>
        <w:spacing w:after="0" w:line="208" w:lineRule="auto"/>
        <w:rPr>
          <w:sz w:val="20"/>
          <w:szCs w:val="20"/>
          <w:color w:val="auto"/>
        </w:rPr>
      </w:pPr>
      <w:r>
        <w:rPr>
          <w:rFonts w:ascii="Times New Roman" w:cs="Times New Roman" w:eastAsia="Times New Roman" w:hAnsi="Times New Roman"/>
          <w:sz w:val="18"/>
          <w:szCs w:val="18"/>
          <w:color w:val="auto"/>
        </w:rPr>
        <w:t>certification and Licensee has in fact done so in a manner that is consistent with the terms and conditions of this Agreement. Each such certification shall be attached and incorporated into this Agreement to evidence the Sublicense Agreement with the named Affiliate as a Sublicensee without the requirement for a formal amendment to this Agreement. Regardless of when the certification is attached to this</w:t>
      </w:r>
    </w:p>
    <w:p>
      <w:pPr>
        <w:spacing w:after="0" w:line="2" w:lineRule="exact"/>
        <w:rPr>
          <w:sz w:val="20"/>
          <w:szCs w:val="20"/>
          <w:color w:val="auto"/>
        </w:rPr>
      </w:pPr>
    </w:p>
    <w:p>
      <w:pPr>
        <w:jc w:val="both"/>
        <w:ind w:left="640"/>
        <w:spacing w:after="0" w:line="208" w:lineRule="auto"/>
        <w:rPr>
          <w:sz w:val="20"/>
          <w:szCs w:val="20"/>
          <w:color w:val="auto"/>
        </w:rPr>
      </w:pPr>
      <w:r>
        <w:rPr>
          <w:rFonts w:ascii="Times New Roman" w:cs="Times New Roman" w:eastAsia="Times New Roman" w:hAnsi="Times New Roman"/>
          <w:sz w:val="18"/>
          <w:szCs w:val="18"/>
          <w:color w:val="auto"/>
        </w:rPr>
        <w:t>Agreement, such Sublicense Agreement shall be given effect as of the date such certification is received by OSIF pursuant to Section 18. Licensee may also engage vendors and contractors (including without limitation contract research organizations, contract manufacturing organizations and distributors) to provide services on behalf of Licensee or an Affiliate with respect to Licensed Products consistent with</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terms of this Agreement, and shall not be required to provide OSIF notice or provide copies of such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5 of 30</w:t>
      </w:r>
    </w:p>
    <w:p>
      <w:pPr>
        <w:sectPr>
          <w:pgSz w:w="11900" w:h="16838" w:orient="portrait"/>
          <w:cols w:equalWidth="0" w:num="1">
            <w:col w:w="10580"/>
          </w:cols>
          <w:pgMar w:left="980" w:top="1404" w:right="339" w:bottom="1440" w:gutter="0" w:footer="0" w:header="0"/>
        </w:sectPr>
      </w:pPr>
    </w:p>
    <w:bookmarkStart w:id="179" w:name="page180"/>
    <w:bookmarkEnd w:id="179"/>
    <w:p>
      <w:pPr>
        <w:jc w:val="right"/>
        <w:spacing w:after="0" w:line="225"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u w:val="single" w:color="auto"/>
          <w:color w:val="auto"/>
        </w:rPr>
        <w:t>Confirmatory License</w:t>
      </w:r>
      <w:r>
        <w:rPr>
          <w:rFonts w:ascii="Times New Roman" w:cs="Times New Roman" w:eastAsia="Times New Roman" w:hAnsi="Times New Roman"/>
          <w:sz w:val="18"/>
          <w:szCs w:val="18"/>
          <w:color w:val="auto"/>
        </w:rPr>
        <w:t>. To the extent OSIF has any ownership rights in (a)-(d) below, OSIF grants and Licensee accepts a worldwide, perpetual, irrevocable, fully - paid, royalty-free, exclusive license, with the right to sublicense through multiple tiers, to any rights OSIF,</w:t>
      </w:r>
    </w:p>
    <w:p>
      <w:pPr>
        <w:jc w:val="both"/>
        <w:ind w:left="640"/>
        <w:spacing w:after="0" w:line="208" w:lineRule="auto"/>
        <w:rPr>
          <w:sz w:val="20"/>
          <w:szCs w:val="20"/>
          <w:color w:val="auto"/>
        </w:rPr>
      </w:pPr>
      <w:r>
        <w:rPr>
          <w:rFonts w:ascii="Times New Roman" w:cs="Times New Roman" w:eastAsia="Times New Roman" w:hAnsi="Times New Roman"/>
          <w:sz w:val="18"/>
          <w:szCs w:val="18"/>
          <w:color w:val="auto"/>
        </w:rPr>
        <w:t>OSU or its Affiliates may have in (a) the patents and patent applications identified in Appendix 6, (b) patent applications that claim priority to the patents and patent applications in (a), including all divisionals, continuations and continuations-in-part (but only to the extent of the subject matter that is fully disclosed and enabled by (a) to satisfy 35 U.S.C. §112); (c) patents issuing on (a) and/or (b);</w:t>
      </w:r>
    </w:p>
    <w:p>
      <w:pPr>
        <w:spacing w:after="0" w:line="2" w:lineRule="exact"/>
        <w:rPr>
          <w:sz w:val="20"/>
          <w:szCs w:val="20"/>
          <w:color w:val="auto"/>
        </w:rPr>
      </w:pPr>
    </w:p>
    <w:p>
      <w:pPr>
        <w:jc w:val="both"/>
        <w:ind w:left="640" w:firstLine="4"/>
        <w:spacing w:after="0" w:line="215" w:lineRule="auto"/>
        <w:tabs>
          <w:tab w:leader="none" w:pos="90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reissues, reexaminations, extensions, foreign counterparts and supplementary protection certificates referencing any of the foregoing. Notwithstanding and without limiting the foregoing license, OSIF shall provide Licensee reasonable assistance, at Licensee’s expense, to perfect Licensee’s rights in such foregoing patents and applications, including submissions to NIH or other federal agency required to perfect assignment pursuant to Bayh-Dole Act statutory provisions and related regulations. Notwithstanding the foregoing, OSIF makes no representations in this Section 2.3 as to its ownership rights in (a)-(d) of this Section 2.3.</w:t>
      </w:r>
    </w:p>
    <w:p>
      <w:pPr>
        <w:spacing w:after="0" w:line="129" w:lineRule="exact"/>
        <w:rPr>
          <w:sz w:val="20"/>
          <w:szCs w:val="20"/>
          <w:color w:val="auto"/>
        </w:rPr>
      </w:pPr>
    </w:p>
    <w:p>
      <w:pPr>
        <w:jc w:val="both"/>
        <w:ind w:left="420" w:hanging="647"/>
        <w:spacing w:after="0" w:line="217" w:lineRule="auto"/>
        <w:tabs>
          <w:tab w:leader="none" w:pos="40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b w:val="1"/>
          <w:bCs w:val="1"/>
          <w:u w:val="single" w:color="auto"/>
          <w:color w:val="auto"/>
        </w:rPr>
        <w:t>Government Rights</w:t>
      </w:r>
      <w:r>
        <w:rPr>
          <w:rFonts w:ascii="Times New Roman" w:cs="Times New Roman" w:eastAsia="Times New Roman" w:hAnsi="Times New Roman"/>
          <w:sz w:val="18"/>
          <w:szCs w:val="18"/>
          <w:color w:val="auto"/>
        </w:rPr>
        <w:t>. Licensee understands that Licensed Subject Matter may have been conceived or first actually reduced to practice, or</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during the Term may be first actually reduced to practice, under a funding agreement with a Government and, if so, that Government has certain rights relative thereto. This Agreement is limited by and made subject to the Government’s rights under any such agreement and</w:t>
      </w:r>
    </w:p>
    <w:p>
      <w:pPr>
        <w:spacing w:after="0" w:line="3" w:lineRule="exact"/>
        <w:rPr>
          <w:sz w:val="20"/>
          <w:szCs w:val="20"/>
          <w:color w:val="auto"/>
        </w:rPr>
      </w:pPr>
    </w:p>
    <w:p>
      <w:pPr>
        <w:jc w:val="both"/>
        <w:ind w:left="640"/>
        <w:spacing w:after="0" w:line="208" w:lineRule="auto"/>
        <w:rPr>
          <w:sz w:val="20"/>
          <w:szCs w:val="20"/>
          <w:color w:val="auto"/>
        </w:rPr>
      </w:pPr>
      <w:r>
        <w:rPr>
          <w:rFonts w:ascii="Times New Roman" w:cs="Times New Roman" w:eastAsia="Times New Roman" w:hAnsi="Times New Roman"/>
          <w:sz w:val="18"/>
          <w:szCs w:val="18"/>
          <w:color w:val="auto"/>
        </w:rPr>
        <w:t>under any applicable Government’s law or regulation, including 35 U.S.C. §200 et seq. (“</w:t>
      </w:r>
      <w:r>
        <w:rPr>
          <w:rFonts w:ascii="Times New Roman" w:cs="Times New Roman" w:eastAsia="Times New Roman" w:hAnsi="Times New Roman"/>
          <w:sz w:val="18"/>
          <w:szCs w:val="18"/>
          <w:b w:val="1"/>
          <w:bCs w:val="1"/>
          <w:color w:val="auto"/>
        </w:rPr>
        <w:t>Bayh-Dole Act</w:t>
      </w:r>
      <w:r>
        <w:rPr>
          <w:rFonts w:ascii="Times New Roman" w:cs="Times New Roman" w:eastAsia="Times New Roman" w:hAnsi="Times New Roman"/>
          <w:sz w:val="18"/>
          <w:szCs w:val="18"/>
          <w:color w:val="auto"/>
        </w:rPr>
        <w:t>”). To the extent that there is a conflict between any such agreement, such applicable law or regulation and this Agreement, the terms and conditions of such Government agreement, and/or applicable law or regulation, shall prevail. Licensee agrees to comply and permit OSIF to comply with the</w:t>
      </w:r>
    </w:p>
    <w:p>
      <w:pPr>
        <w:spacing w:after="0" w:line="2" w:lineRule="exact"/>
        <w:rPr>
          <w:sz w:val="20"/>
          <w:szCs w:val="20"/>
          <w:color w:val="auto"/>
        </w:rPr>
      </w:pPr>
    </w:p>
    <w:p>
      <w:pPr>
        <w:jc w:val="both"/>
        <w:ind w:left="640"/>
        <w:spacing w:after="0" w:line="218" w:lineRule="auto"/>
        <w:rPr>
          <w:sz w:val="20"/>
          <w:szCs w:val="20"/>
          <w:color w:val="auto"/>
        </w:rPr>
      </w:pPr>
      <w:r>
        <w:rPr>
          <w:rFonts w:ascii="Times New Roman" w:cs="Times New Roman" w:eastAsia="Times New Roman" w:hAnsi="Times New Roman"/>
          <w:sz w:val="18"/>
          <w:szCs w:val="18"/>
          <w:color w:val="auto"/>
        </w:rPr>
        <w:t>Bayh-Dole Act, including to provide the reporting required, and unless waived pursuant to the Bayh-Dole Act, to substantially manufacture Licensed Products and products produced through the use of Licensed Products in the United States to the extent required by the Bayh-Dole Act.</w:t>
      </w:r>
    </w:p>
    <w:p>
      <w:pPr>
        <w:spacing w:after="0" w:line="127" w:lineRule="exact"/>
        <w:rPr>
          <w:sz w:val="20"/>
          <w:szCs w:val="20"/>
          <w:color w:val="auto"/>
        </w:rPr>
      </w:pPr>
    </w:p>
    <w:p>
      <w:pPr>
        <w:jc w:val="right"/>
        <w:spacing w:after="0" w:line="225"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u w:val="single" w:color="auto"/>
          <w:color w:val="auto"/>
        </w:rPr>
        <w:t>Diligent Commercialization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Licensee, by itself or through its Sublicensees, shall use Commercially Reasonable Efforts to commercialize Licensed Products in the Field of Use within the Territory. Without limiting the foregoing, Licensee, by itself or through its Sublicensees</w:t>
      </w:r>
    </w:p>
    <w:p>
      <w:pPr>
        <w:jc w:val="both"/>
        <w:ind w:left="640"/>
        <w:spacing w:after="0" w:line="218" w:lineRule="auto"/>
        <w:rPr>
          <w:sz w:val="20"/>
          <w:szCs w:val="20"/>
          <w:color w:val="auto"/>
        </w:rPr>
      </w:pPr>
      <w:r>
        <w:rPr>
          <w:rFonts w:ascii="Times New Roman" w:cs="Times New Roman" w:eastAsia="Times New Roman" w:hAnsi="Times New Roman"/>
          <w:sz w:val="18"/>
          <w:szCs w:val="18"/>
          <w:color w:val="auto"/>
        </w:rPr>
        <w:t>shall, at a minimum: (a) maintain bona fide, funded, ongoing and active research and development until product approval and thereafter diligently make, offer for sale and sell Licensed Products so that Licensed Products are commercially available to the public as soon as reasonably commercially practicable; and (b) fulfill the milestone events stated below (the “</w:t>
      </w:r>
      <w:r>
        <w:rPr>
          <w:rFonts w:ascii="Times New Roman" w:cs="Times New Roman" w:eastAsia="Times New Roman" w:hAnsi="Times New Roman"/>
          <w:sz w:val="18"/>
          <w:szCs w:val="18"/>
          <w:b w:val="1"/>
          <w:bCs w:val="1"/>
          <w:color w:val="auto"/>
        </w:rPr>
        <w:t>Diligence Milestones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170" w:lineRule="exact"/>
        <w:rPr>
          <w:sz w:val="20"/>
          <w:szCs w:val="20"/>
          <w:color w:val="auto"/>
        </w:rPr>
      </w:pPr>
    </w:p>
    <w:tbl>
      <w:tblPr>
        <w:tblLayout w:type="fixed"/>
        <w:tblInd w:w="650" w:type="dxa"/>
        <w:tblCellMar>
          <w:top w:w="0" w:type="dxa"/>
          <w:left w:w="0" w:type="dxa"/>
          <w:bottom w:w="0" w:type="dxa"/>
          <w:right w:w="0" w:type="dxa"/>
        </w:tblCellMar>
      </w:tblPr>
      <w:tr>
        <w:trPr>
          <w:trHeight w:val="243"/>
        </w:trPr>
        <w:tc>
          <w:tcPr>
            <w:tcW w:w="4240" w:type="dxa"/>
            <w:vAlign w:val="bottom"/>
            <w:tcBorders>
              <w:top w:val="single" w:sz="8" w:color="auto"/>
              <w:left w:val="single" w:sz="8" w:color="auto"/>
              <w:bottom w:val="single" w:sz="8" w:color="auto"/>
              <w:right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color w:val="auto"/>
              </w:rPr>
              <w:t>Diligence Milestone</w:t>
            </w:r>
          </w:p>
        </w:tc>
        <w:tc>
          <w:tcPr>
            <w:tcW w:w="41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Date to be Completed/Achieved</w:t>
            </w:r>
          </w:p>
        </w:tc>
      </w:tr>
      <w:tr>
        <w:trPr>
          <w:trHeight w:val="223"/>
        </w:trPr>
        <w:tc>
          <w:tcPr>
            <w:tcW w:w="4240" w:type="dxa"/>
            <w:vAlign w:val="bottom"/>
            <w:tcBorders>
              <w:left w:val="single" w:sz="8" w:color="auto"/>
              <w:bottom w:val="single" w:sz="8" w:color="auto"/>
              <w:right w:val="single" w:sz="8" w:color="auto"/>
            </w:tcBorders>
          </w:tcPr>
          <w:p>
            <w:pPr>
              <w:jc w:val="right"/>
              <w:ind w:right="369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End of [***] Contract Year</w:t>
            </w:r>
          </w:p>
        </w:tc>
      </w:tr>
      <w:tr>
        <w:trPr>
          <w:trHeight w:val="223"/>
        </w:trPr>
        <w:tc>
          <w:tcPr>
            <w:tcW w:w="4240" w:type="dxa"/>
            <w:vAlign w:val="bottom"/>
            <w:tcBorders>
              <w:left w:val="single" w:sz="8" w:color="auto"/>
              <w:bottom w:val="single" w:sz="8" w:color="auto"/>
              <w:right w:val="single" w:sz="8" w:color="auto"/>
            </w:tcBorders>
          </w:tcPr>
          <w:p>
            <w:pPr>
              <w:jc w:val="right"/>
              <w:ind w:right="369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End of [***] Contract Year</w:t>
            </w:r>
          </w:p>
        </w:tc>
      </w:tr>
      <w:tr>
        <w:trPr>
          <w:trHeight w:val="223"/>
        </w:trPr>
        <w:tc>
          <w:tcPr>
            <w:tcW w:w="4240" w:type="dxa"/>
            <w:vAlign w:val="bottom"/>
            <w:tcBorders>
              <w:left w:val="single" w:sz="8" w:color="auto"/>
              <w:bottom w:val="single" w:sz="8" w:color="auto"/>
              <w:right w:val="single" w:sz="8" w:color="auto"/>
            </w:tcBorders>
          </w:tcPr>
          <w:p>
            <w:pPr>
              <w:jc w:val="right"/>
              <w:ind w:right="369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End of [***] Contract Year</w:t>
            </w:r>
          </w:p>
        </w:tc>
      </w:tr>
      <w:tr>
        <w:trPr>
          <w:trHeight w:val="223"/>
        </w:trPr>
        <w:tc>
          <w:tcPr>
            <w:tcW w:w="4240" w:type="dxa"/>
            <w:vAlign w:val="bottom"/>
            <w:tcBorders>
              <w:left w:val="single" w:sz="8" w:color="auto"/>
              <w:bottom w:val="single" w:sz="8" w:color="auto"/>
              <w:right w:val="single" w:sz="8" w:color="auto"/>
            </w:tcBorders>
          </w:tcPr>
          <w:p>
            <w:pPr>
              <w:jc w:val="right"/>
              <w:ind w:right="369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End of [***] Contract Year</w:t>
            </w:r>
          </w:p>
        </w:tc>
      </w:tr>
    </w:tbl>
    <w:p>
      <w:pPr>
        <w:spacing w:after="0" w:line="306" w:lineRule="exact"/>
        <w:rPr>
          <w:sz w:val="20"/>
          <w:szCs w:val="20"/>
          <w:color w:val="auto"/>
        </w:rPr>
      </w:pPr>
    </w:p>
    <w:p>
      <w:pPr>
        <w:ind w:left="640"/>
        <w:spacing w:after="0" w:line="237" w:lineRule="auto"/>
        <w:rPr>
          <w:sz w:val="20"/>
          <w:szCs w:val="20"/>
          <w:color w:val="auto"/>
        </w:rPr>
      </w:pPr>
      <w:r>
        <w:rPr>
          <w:rFonts w:ascii="Times New Roman" w:cs="Times New Roman" w:eastAsia="Times New Roman" w:hAnsi="Times New Roman"/>
          <w:sz w:val="18"/>
          <w:szCs w:val="18"/>
          <w:color w:val="auto"/>
        </w:rPr>
        <w:t>If any of the obligations under this Section 2.5 are not fulfilled, OSIF may treat such failure as a breach in accordance with Section 8.3(b).</w:t>
      </w:r>
    </w:p>
    <w:p>
      <w:pPr>
        <w:spacing w:after="0" w:line="1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Licensee shall provide a written report on the completion of each Diligence Milestone to OSIF within [***] days of completion.</w:t>
      </w:r>
    </w:p>
    <w:p>
      <w:pPr>
        <w:spacing w:after="0" w:line="194" w:lineRule="exact"/>
        <w:rPr>
          <w:sz w:val="20"/>
          <w:szCs w:val="20"/>
          <w:color w:val="auto"/>
        </w:rPr>
      </w:pPr>
    </w:p>
    <w:p>
      <w:pPr>
        <w:jc w:val="both"/>
        <w:ind w:left="400" w:hanging="647"/>
        <w:spacing w:after="0" w:line="214" w:lineRule="auto"/>
        <w:tabs>
          <w:tab w:leader="none" w:pos="38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b w:val="1"/>
          <w:bCs w:val="1"/>
          <w:u w:val="single" w:color="auto"/>
          <w:color w:val="auto"/>
        </w:rPr>
        <w:t>No Use of OSU Resources</w:t>
      </w:r>
      <w:r>
        <w:rPr>
          <w:rFonts w:ascii="Times New Roman" w:cs="Times New Roman" w:eastAsia="Times New Roman" w:hAnsi="Times New Roman"/>
          <w:sz w:val="18"/>
          <w:szCs w:val="18"/>
          <w:color w:val="auto"/>
        </w:rPr>
        <w:t>. Licensee acknowledges that unless OSU executes a sponsored research agreement with Licensee, Licensee shall</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not satisfy its diligence obligations with work conducted at OSU. Licensee agrees not to develop Licensed Products at OSU, or absent a separate agreement executed by the Parties, otherwise benefit from any development of Licensed Products performed by OSU. The Parties shall evaluate the need for, and implement when necessary, a conflict of interest management plan for overseeing Licensee’s</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activities related to the licensed rights in accordance with OSU’s conflict of interest policies and procedures.</w:t>
      </w:r>
    </w:p>
    <w:p>
      <w:pPr>
        <w:spacing w:after="0" w:line="12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2.7</w:t>
        <w:tab/>
        <w:t>[***].</w:t>
      </w:r>
    </w:p>
    <w:p>
      <w:pPr>
        <w:spacing w:after="0" w:line="15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2.8</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6 of 30</w:t>
      </w:r>
    </w:p>
    <w:p>
      <w:pPr>
        <w:sectPr>
          <w:pgSz w:w="11900" w:h="16838" w:orient="portrait"/>
          <w:cols w:equalWidth="0" w:num="1">
            <w:col w:w="10580"/>
          </w:cols>
          <w:pgMar w:left="980" w:top="1400" w:right="339" w:bottom="1440" w:gutter="0" w:footer="0" w:header="0"/>
        </w:sectPr>
      </w:pPr>
    </w:p>
    <w:bookmarkStart w:id="180" w:name="page181"/>
    <w:bookmarkEnd w:id="180"/>
    <w:p>
      <w:pPr>
        <w:jc w:val="right"/>
        <w:ind w:left="660"/>
        <w:spacing w:after="0" w:line="225"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b w:val="1"/>
          <w:bCs w:val="1"/>
          <w:u w:val="single" w:color="auto"/>
          <w:color w:val="auto"/>
        </w:rPr>
        <w:t>Technology Transfer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During the [***] day period following the Effective Date (the “</w:t>
      </w:r>
      <w:r>
        <w:rPr>
          <w:rFonts w:ascii="Times New Roman" w:cs="Times New Roman" w:eastAsia="Times New Roman" w:hAnsi="Times New Roman"/>
          <w:sz w:val="18"/>
          <w:szCs w:val="18"/>
          <w:b w:val="1"/>
          <w:bCs w:val="1"/>
          <w:color w:val="auto"/>
        </w:rPr>
        <w:t>Transition Period</w:t>
      </w:r>
      <w:r>
        <w:rPr>
          <w:rFonts w:ascii="Times New Roman" w:cs="Times New Roman" w:eastAsia="Times New Roman" w:hAnsi="Times New Roman"/>
          <w:sz w:val="18"/>
          <w:szCs w:val="18"/>
          <w:color w:val="auto"/>
        </w:rPr>
        <w:t>”), [***]. During the Transition Period, OSIF and OSU shall reasonably cooperate with Licensee to assist Licensee with understanding and using the Technology Rights</w:t>
      </w:r>
    </w:p>
    <w:p>
      <w:pPr>
        <w:ind w:left="1300"/>
        <w:spacing w:after="0"/>
        <w:rPr>
          <w:sz w:val="20"/>
          <w:szCs w:val="20"/>
          <w:color w:val="auto"/>
        </w:rPr>
      </w:pPr>
      <w:r>
        <w:rPr>
          <w:rFonts w:ascii="Times New Roman" w:cs="Times New Roman" w:eastAsia="Times New Roman" w:hAnsi="Times New Roman"/>
          <w:sz w:val="18"/>
          <w:szCs w:val="18"/>
          <w:color w:val="auto"/>
        </w:rPr>
        <w:t>provided to Licensee under this Section 2.8.</w:t>
      </w:r>
    </w:p>
    <w:p>
      <w:pPr>
        <w:spacing w:after="0" w:line="120" w:lineRule="exact"/>
        <w:rPr>
          <w:sz w:val="20"/>
          <w:szCs w:val="20"/>
          <w:color w:val="auto"/>
        </w:rPr>
      </w:pPr>
    </w:p>
    <w:p>
      <w:pPr>
        <w:ind w:left="320" w:hanging="312"/>
        <w:spacing w:after="0"/>
        <w:tabs>
          <w:tab w:leader="none" w:pos="32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w:t>
      </w:r>
    </w:p>
    <w:p>
      <w:pPr>
        <w:spacing w:after="0" w:line="158"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b w:val="1"/>
          <w:bCs w:val="1"/>
          <w:u w:val="single" w:color="auto"/>
          <w:color w:val="auto"/>
        </w:rPr>
        <w:t>License Fee</w:t>
      </w:r>
      <w:r>
        <w:rPr>
          <w:rFonts w:ascii="Times New Roman" w:cs="Times New Roman" w:eastAsia="Times New Roman" w:hAnsi="Times New Roman"/>
          <w:sz w:val="17"/>
          <w:szCs w:val="17"/>
          <w:color w:val="auto"/>
        </w:rPr>
        <w:t>. Licensee shall pay to OSIF a non-refundable, up-front license fee in the amount of [***] (“</w:t>
      </w:r>
      <w:r>
        <w:rPr>
          <w:rFonts w:ascii="Times New Roman" w:cs="Times New Roman" w:eastAsia="Times New Roman" w:hAnsi="Times New Roman"/>
          <w:sz w:val="17"/>
          <w:szCs w:val="17"/>
          <w:b w:val="1"/>
          <w:bCs w:val="1"/>
          <w:color w:val="auto"/>
        </w:rPr>
        <w:t>License Fee</w:t>
      </w:r>
      <w:r>
        <w:rPr>
          <w:rFonts w:ascii="Times New Roman" w:cs="Times New Roman" w:eastAsia="Times New Roman" w:hAnsi="Times New Roman"/>
          <w:sz w:val="17"/>
          <w:szCs w:val="17"/>
          <w:color w:val="auto"/>
        </w:rPr>
        <w:t>”). [***].</w:t>
      </w:r>
    </w:p>
    <w:p>
      <w:pPr>
        <w:spacing w:after="0" w:line="158" w:lineRule="exact"/>
        <w:rPr>
          <w:sz w:val="20"/>
          <w:szCs w:val="20"/>
          <w:color w:val="auto"/>
        </w:rPr>
      </w:pPr>
    </w:p>
    <w:p>
      <w:pPr>
        <w:ind w:left="1160" w:hanging="647"/>
        <w:spacing w:after="0" w:line="239" w:lineRule="auto"/>
        <w:tabs>
          <w:tab w:leader="none" w:pos="11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b w:val="1"/>
          <w:bCs w:val="1"/>
          <w:u w:val="single" w:color="auto"/>
          <w:color w:val="auto"/>
        </w:rPr>
        <w:t>Royalties</w:t>
      </w:r>
      <w:r>
        <w:rPr>
          <w:rFonts w:ascii="Times New Roman" w:cs="Times New Roman" w:eastAsia="Times New Roman" w:hAnsi="Times New Roman"/>
          <w:sz w:val="18"/>
          <w:szCs w:val="18"/>
          <w:color w:val="auto"/>
        </w:rPr>
        <w:t>. By each Payment Deadline, Licensee shall pay OSIF non-refundable and non-creditable running royalties on Net Sales as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follows:</w:t>
      </w:r>
    </w:p>
    <w:p>
      <w:pPr>
        <w:spacing w:after="0" w:line="132" w:lineRule="exact"/>
        <w:rPr>
          <w:sz w:val="20"/>
          <w:szCs w:val="20"/>
          <w:color w:val="auto"/>
        </w:rPr>
      </w:pPr>
    </w:p>
    <w:p>
      <w:pPr>
        <w:ind w:left="1300"/>
        <w:spacing w:after="0"/>
        <w:tabs>
          <w:tab w:leader="none" w:pos="16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With respect to Licensed Program Products:</w:t>
      </w:r>
    </w:p>
    <w:p>
      <w:pPr>
        <w:spacing w:after="0" w:line="183" w:lineRule="exact"/>
        <w:rPr>
          <w:sz w:val="20"/>
          <w:szCs w:val="20"/>
          <w:color w:val="auto"/>
        </w:rPr>
      </w:pPr>
    </w:p>
    <w:tbl>
      <w:tblPr>
        <w:tblLayout w:type="fixed"/>
        <w:tblInd w:w="1310" w:type="dxa"/>
        <w:tblCellMar>
          <w:top w:w="0" w:type="dxa"/>
          <w:left w:w="0" w:type="dxa"/>
          <w:bottom w:w="0" w:type="dxa"/>
          <w:right w:w="0" w:type="dxa"/>
        </w:tblCellMar>
      </w:tblPr>
      <w:tr>
        <w:trPr>
          <w:trHeight w:val="243"/>
        </w:trPr>
        <w:tc>
          <w:tcPr>
            <w:tcW w:w="484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3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Royalty</w:t>
            </w:r>
          </w:p>
        </w:tc>
      </w:tr>
      <w:tr>
        <w:trPr>
          <w:trHeight w:val="178"/>
        </w:trPr>
        <w:tc>
          <w:tcPr>
            <w:tcW w:w="4840" w:type="dxa"/>
            <w:vAlign w:val="bottom"/>
            <w:tcBorders>
              <w:left w:val="single" w:sz="8" w:color="auto"/>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(i) If Net Sales of all Licensed Products for the Contract Year are</w:t>
            </w:r>
          </w:p>
        </w:tc>
        <w:tc>
          <w:tcPr>
            <w:tcW w:w="360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 of Net Sales of Licensed Program</w:t>
            </w:r>
          </w:p>
        </w:tc>
      </w:tr>
      <w:tr>
        <w:trPr>
          <w:trHeight w:val="234"/>
        </w:trPr>
        <w:tc>
          <w:tcPr>
            <w:tcW w:w="48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up to and including $[***]:</w:t>
            </w: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Products</w:t>
            </w:r>
          </w:p>
        </w:tc>
      </w:tr>
      <w:tr>
        <w:trPr>
          <w:trHeight w:val="178"/>
        </w:trPr>
        <w:tc>
          <w:tcPr>
            <w:tcW w:w="4840" w:type="dxa"/>
            <w:vAlign w:val="bottom"/>
            <w:tcBorders>
              <w:left w:val="single" w:sz="8" w:color="auto"/>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(ii) If annual Net Sales of all Licensed Products for the Contract</w:t>
            </w:r>
          </w:p>
        </w:tc>
        <w:tc>
          <w:tcPr>
            <w:tcW w:w="360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 of Net Sales of Licensed Program</w:t>
            </w:r>
          </w:p>
        </w:tc>
      </w:tr>
      <w:tr>
        <w:trPr>
          <w:trHeight w:val="234"/>
        </w:trPr>
        <w:tc>
          <w:tcPr>
            <w:tcW w:w="48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Year are greater than $[***] up to and including $[***]:</w:t>
            </w: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Products</w:t>
            </w:r>
          </w:p>
        </w:tc>
      </w:tr>
      <w:tr>
        <w:trPr>
          <w:trHeight w:val="178"/>
        </w:trPr>
        <w:tc>
          <w:tcPr>
            <w:tcW w:w="4840" w:type="dxa"/>
            <w:vAlign w:val="bottom"/>
            <w:tcBorders>
              <w:left w:val="single" w:sz="8" w:color="auto"/>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(iii) If annual Net Sales of all Licensed Products for the Contract</w:t>
            </w:r>
          </w:p>
        </w:tc>
        <w:tc>
          <w:tcPr>
            <w:tcW w:w="360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 of Net Sales of Licensed Program</w:t>
            </w:r>
          </w:p>
        </w:tc>
      </w:tr>
      <w:tr>
        <w:trPr>
          <w:trHeight w:val="234"/>
        </w:trPr>
        <w:tc>
          <w:tcPr>
            <w:tcW w:w="48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Year are greater than $[***]:</w:t>
            </w: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Products</w:t>
            </w:r>
          </w:p>
        </w:tc>
      </w:tr>
      <w:tr>
        <w:trPr>
          <w:trHeight w:val="5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(b)  With respect to Licensed Platform Products:</w:t>
            </w:r>
          </w:p>
        </w:tc>
        <w:tc>
          <w:tcPr>
            <w:tcW w:w="3600" w:type="dxa"/>
            <w:vAlign w:val="bottom"/>
          </w:tcPr>
          <w:p>
            <w:pPr>
              <w:spacing w:after="0"/>
              <w:rPr>
                <w:sz w:val="24"/>
                <w:szCs w:val="24"/>
                <w:color w:val="auto"/>
              </w:rPr>
            </w:pPr>
          </w:p>
        </w:tc>
      </w:tr>
      <w:tr>
        <w:trPr>
          <w:trHeight w:val="189"/>
        </w:trPr>
        <w:tc>
          <w:tcPr>
            <w:tcW w:w="484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tcPr>
          <w:p>
            <w:pPr>
              <w:spacing w:after="0"/>
              <w:rPr>
                <w:sz w:val="16"/>
                <w:szCs w:val="16"/>
                <w:color w:val="auto"/>
              </w:rPr>
            </w:pPr>
          </w:p>
        </w:tc>
      </w:tr>
      <w:tr>
        <w:trPr>
          <w:trHeight w:val="223"/>
        </w:trPr>
        <w:tc>
          <w:tcPr>
            <w:tcW w:w="4840" w:type="dxa"/>
            <w:vAlign w:val="bottom"/>
            <w:tcBorders>
              <w:left w:val="single" w:sz="8" w:color="auto"/>
              <w:bottom w:val="single" w:sz="8" w:color="auto"/>
              <w:right w:val="single" w:sz="8" w:color="auto"/>
            </w:tcBorders>
          </w:tcPr>
          <w:p>
            <w:pPr>
              <w:spacing w:after="0"/>
              <w:rPr>
                <w:sz w:val="19"/>
                <w:szCs w:val="19"/>
                <w:color w:val="auto"/>
              </w:rPr>
            </w:pP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Royalty</w:t>
            </w:r>
          </w:p>
        </w:tc>
      </w:tr>
      <w:tr>
        <w:trPr>
          <w:trHeight w:val="169"/>
        </w:trPr>
        <w:tc>
          <w:tcPr>
            <w:tcW w:w="48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(i) If annual Net Sales of all Licensed Products for the Contract</w:t>
            </w:r>
          </w:p>
        </w:tc>
        <w:tc>
          <w:tcPr>
            <w:tcW w:w="36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 of Net Sales of Licensed Platform</w:t>
            </w:r>
          </w:p>
        </w:tc>
      </w:tr>
      <w:tr>
        <w:trPr>
          <w:trHeight w:val="239"/>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are up to and including $[***]:</w:t>
            </w: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Products</w:t>
            </w:r>
          </w:p>
        </w:tc>
      </w:tr>
      <w:tr>
        <w:trPr>
          <w:trHeight w:val="173"/>
        </w:trPr>
        <w:tc>
          <w:tcPr>
            <w:tcW w:w="4840" w:type="dxa"/>
            <w:vAlign w:val="bottom"/>
            <w:tcBorders>
              <w:left w:val="single" w:sz="8" w:color="auto"/>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(ii) If annual Net Sales of all Licensed Products for the Contract</w:t>
            </w:r>
          </w:p>
        </w:tc>
        <w:tc>
          <w:tcPr>
            <w:tcW w:w="360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8"/>
                <w:szCs w:val="18"/>
                <w:color w:val="auto"/>
                <w:w w:val="99"/>
              </w:rPr>
              <w:t>[***]% of Net Sales of Licensed Platform</w:t>
            </w:r>
          </w:p>
        </w:tc>
      </w:tr>
      <w:tr>
        <w:trPr>
          <w:trHeight w:val="239"/>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are greater than $[***]</w:t>
            </w: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Products</w:t>
            </w:r>
          </w:p>
        </w:tc>
      </w:tr>
    </w:tbl>
    <w:p>
      <w:pPr>
        <w:spacing w:after="0" w:line="2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Royalties under’ Sections 3.2(a) and 3.2(b), collectively, are deemed the “Royalties.” Royalties shall be paid on a Licensed Product-by-</w:t>
      </w:r>
    </w:p>
    <w:p>
      <w:pPr>
        <w:spacing w:after="0" w:line="2" w:lineRule="exact"/>
        <w:rPr>
          <w:sz w:val="20"/>
          <w:szCs w:val="20"/>
          <w:color w:val="auto"/>
        </w:rPr>
      </w:pPr>
    </w:p>
    <w:p>
      <w:pPr>
        <w:jc w:val="both"/>
        <w:ind w:left="1300"/>
        <w:spacing w:after="0" w:line="208" w:lineRule="auto"/>
        <w:rPr>
          <w:sz w:val="20"/>
          <w:szCs w:val="20"/>
          <w:color w:val="auto"/>
        </w:rPr>
      </w:pPr>
      <w:r>
        <w:rPr>
          <w:rFonts w:ascii="Times New Roman" w:cs="Times New Roman" w:eastAsia="Times New Roman" w:hAnsi="Times New Roman"/>
          <w:sz w:val="18"/>
          <w:szCs w:val="18"/>
          <w:color w:val="auto"/>
        </w:rPr>
        <w:t>Licensed Product and country-by-country basis until the later of (1) expiration of the last to expire of the Valid Claims Covering such Licensed Product in such country or (2) ten (10) years after First Commercial Sale of such Licensed Product in such country. The payment of Royalties for the last Contract Period of each Contract Year shall be adjusted as necessary to resolve any over- or</w:t>
      </w:r>
    </w:p>
    <w:p>
      <w:pPr>
        <w:spacing w:after="0" w:line="2" w:lineRule="exact"/>
        <w:rPr>
          <w:sz w:val="20"/>
          <w:szCs w:val="20"/>
          <w:color w:val="auto"/>
        </w:rPr>
      </w:pPr>
    </w:p>
    <w:p>
      <w:pPr>
        <w:jc w:val="both"/>
        <w:ind w:left="1300"/>
        <w:spacing w:after="0" w:line="208" w:lineRule="auto"/>
        <w:rPr>
          <w:sz w:val="20"/>
          <w:szCs w:val="20"/>
          <w:color w:val="auto"/>
        </w:rPr>
      </w:pPr>
      <w:r>
        <w:rPr>
          <w:rFonts w:ascii="Times New Roman" w:cs="Times New Roman" w:eastAsia="Times New Roman" w:hAnsi="Times New Roman"/>
          <w:sz w:val="18"/>
          <w:szCs w:val="18"/>
          <w:color w:val="auto"/>
        </w:rPr>
        <w:t>underpayment in the prior Contract Period, based on the Royalties tier resulting from actual Net Sales in the Contract Year. Only a single royalty payment under this Section 3.2 shall be due and payable on Net Sales of a Licensed Product, regardless if such Licensed Product is Covered by more than one Valid Claim. Upon expiration of the last Valid Claim Covering a Licensed Product in a country, the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Royalties shall be reduced by [***] percent ([***]%).</w:t>
      </w:r>
    </w:p>
    <w:p>
      <w:pPr>
        <w:spacing w:after="0" w:line="161" w:lineRule="exact"/>
        <w:rPr>
          <w:sz w:val="20"/>
          <w:szCs w:val="20"/>
          <w:color w:val="auto"/>
        </w:rPr>
      </w:pPr>
    </w:p>
    <w:p>
      <w:pPr>
        <w:jc w:val="right"/>
        <w:ind w:left="660"/>
        <w:spacing w:after="0" w:line="225"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u w:val="single" w:color="auto"/>
          <w:color w:val="auto"/>
        </w:rPr>
        <w:t>Third Party Offsets</w:t>
      </w:r>
      <w:r>
        <w:rPr>
          <w:rFonts w:ascii="Times New Roman" w:cs="Times New Roman" w:eastAsia="Times New Roman" w:hAnsi="Times New Roman"/>
          <w:sz w:val="18"/>
          <w:szCs w:val="18"/>
          <w:color w:val="auto"/>
        </w:rPr>
        <w:t>. In the event that the total royalties paid by Licensee in connection with a License Product exceed [***] the royalty rate set forth in the tables in Section 3.2, Licensee shall have the right to deduct, against Royalties payable to OSIF under this Agreement for</w:t>
      </w:r>
    </w:p>
    <w:p>
      <w:pPr>
        <w:jc w:val="both"/>
        <w:ind w:left="1300"/>
        <w:spacing w:after="0" w:line="208" w:lineRule="auto"/>
        <w:rPr>
          <w:sz w:val="20"/>
          <w:szCs w:val="20"/>
          <w:color w:val="auto"/>
        </w:rPr>
      </w:pPr>
      <w:r>
        <w:rPr>
          <w:rFonts w:ascii="Times New Roman" w:cs="Times New Roman" w:eastAsia="Times New Roman" w:hAnsi="Times New Roman"/>
          <w:sz w:val="18"/>
          <w:szCs w:val="18"/>
          <w:color w:val="auto"/>
        </w:rPr>
        <w:t>any Licensed Product in any Contract Period, [***] percent ([***]%) of royalty payments paid to a Third Party in consideration for a license to intellectual property that is necessary to make, have made, use, sell, offer to sell, export, or import the Licensed Subject Matter, provided that this Section 3.3 shall not be applied to reduce the royalty rates set forth in the tables in Section 3.2 by more than [***]</w:t>
      </w:r>
    </w:p>
    <w:p>
      <w:pPr>
        <w:spacing w:after="0" w:line="2" w:lineRule="exact"/>
        <w:rPr>
          <w:sz w:val="20"/>
          <w:szCs w:val="20"/>
          <w:color w:val="auto"/>
        </w:rPr>
      </w:pPr>
    </w:p>
    <w:p>
      <w:pPr>
        <w:jc w:val="both"/>
        <w:ind w:left="1300"/>
        <w:spacing w:after="0" w:line="226" w:lineRule="auto"/>
        <w:rPr>
          <w:sz w:val="20"/>
          <w:szCs w:val="20"/>
          <w:color w:val="auto"/>
        </w:rPr>
      </w:pPr>
      <w:r>
        <w:rPr>
          <w:rFonts w:ascii="Times New Roman" w:cs="Times New Roman" w:eastAsia="Times New Roman" w:hAnsi="Times New Roman"/>
          <w:sz w:val="18"/>
          <w:szCs w:val="18"/>
          <w:color w:val="auto"/>
        </w:rPr>
        <w:t>percent ([***]%). For the avoidance of doubt, such offset shall not include payments for licenses to other technology that Licensee combines with the Licensed Subject Matter.</w:t>
      </w:r>
    </w:p>
    <w:p>
      <w:pPr>
        <w:spacing w:after="0" w:line="113" w:lineRule="exact"/>
        <w:rPr>
          <w:sz w:val="20"/>
          <w:szCs w:val="20"/>
          <w:color w:val="auto"/>
        </w:rPr>
      </w:pPr>
    </w:p>
    <w:p>
      <w:pPr>
        <w:ind w:left="1120" w:right="20" w:hanging="647"/>
        <w:spacing w:after="0" w:line="255" w:lineRule="auto"/>
        <w:tabs>
          <w:tab w:leader="none" w:pos="110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b w:val="1"/>
          <w:bCs w:val="1"/>
          <w:u w:val="single" w:color="auto"/>
          <w:color w:val="auto"/>
        </w:rPr>
        <w:t>Minimum Annual Royalties</w:t>
      </w:r>
      <w:r>
        <w:rPr>
          <w:rFonts w:ascii="Times New Roman" w:cs="Times New Roman" w:eastAsia="Times New Roman" w:hAnsi="Times New Roman"/>
          <w:sz w:val="18"/>
          <w:szCs w:val="18"/>
          <w:color w:val="auto"/>
        </w:rPr>
        <w:t>. Beginning in the First Commercial Contract Year and for each Contract Year thereafter during the Term,</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Licensee shall pay OSIF a non-refundable minimum annual royalty of $[***] (the “</w:t>
      </w:r>
      <w:r>
        <w:rPr>
          <w:rFonts w:ascii="Times New Roman" w:cs="Times New Roman" w:eastAsia="Times New Roman" w:hAnsi="Times New Roman"/>
          <w:sz w:val="18"/>
          <w:szCs w:val="18"/>
          <w:b w:val="1"/>
          <w:bCs w:val="1"/>
          <w:color w:val="auto"/>
        </w:rPr>
        <w:t>Minimum Annual Royalty</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1300"/>
        <w:spacing w:after="0" w:line="250" w:lineRule="auto"/>
        <w:rPr>
          <w:sz w:val="20"/>
          <w:szCs w:val="20"/>
          <w:color w:val="auto"/>
        </w:rPr>
      </w:pPr>
      <w:r>
        <w:rPr>
          <w:rFonts w:ascii="Times New Roman" w:cs="Times New Roman" w:eastAsia="Times New Roman" w:hAnsi="Times New Roman"/>
          <w:sz w:val="18"/>
          <w:szCs w:val="18"/>
          <w:color w:val="auto"/>
        </w:rPr>
        <w:t>Payment of the Minimum Annual Royalty may be credited towards Royalties due in the Contract Year to which the payment corresponds. For the First Commercial Contract Year, the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7 of 30</w:t>
      </w:r>
    </w:p>
    <w:p>
      <w:pPr>
        <w:sectPr>
          <w:pgSz w:w="11900" w:h="16838" w:orient="portrait"/>
          <w:cols w:equalWidth="0" w:num="1">
            <w:col w:w="11240"/>
          </w:cols>
          <w:pgMar w:left="320" w:top="1400" w:right="339" w:bottom="1440" w:gutter="0" w:footer="0" w:header="0"/>
        </w:sectPr>
      </w:pPr>
    </w:p>
    <w:bookmarkStart w:id="181" w:name="page182"/>
    <w:bookmarkEnd w:id="181"/>
    <w:p>
      <w:pPr>
        <w:ind w:left="640"/>
        <w:spacing w:after="0" w:line="237" w:lineRule="auto"/>
        <w:rPr>
          <w:sz w:val="20"/>
          <w:szCs w:val="20"/>
          <w:color w:val="auto"/>
        </w:rPr>
      </w:pPr>
      <w:r>
        <w:rPr>
          <w:rFonts w:ascii="Times New Roman" w:cs="Times New Roman" w:eastAsia="Times New Roman" w:hAnsi="Times New Roman"/>
          <w:sz w:val="18"/>
          <w:szCs w:val="18"/>
          <w:color w:val="auto"/>
        </w:rPr>
        <w:t>Minimum Annual Royalty payable shall be pro-rated to reflect the actual number of days during the First Commercial Contract Year following the First Commercial Sale.</w:t>
      </w:r>
    </w:p>
    <w:p>
      <w:pPr>
        <w:spacing w:after="0" w:line="168" w:lineRule="exact"/>
        <w:rPr>
          <w:sz w:val="20"/>
          <w:szCs w:val="20"/>
          <w:color w:val="auto"/>
        </w:rPr>
      </w:pPr>
    </w:p>
    <w:p>
      <w:pPr>
        <w:jc w:val="both"/>
        <w:ind w:left="460" w:hanging="647"/>
        <w:spacing w:after="0" w:line="227" w:lineRule="auto"/>
        <w:tabs>
          <w:tab w:leader="none" w:pos="4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b w:val="1"/>
          <w:bCs w:val="1"/>
          <w:u w:val="single" w:color="auto"/>
          <w:color w:val="auto"/>
        </w:rPr>
        <w:t>Milestone Fees</w:t>
      </w:r>
      <w:r>
        <w:rPr>
          <w:rFonts w:ascii="Times New Roman" w:cs="Times New Roman" w:eastAsia="Times New Roman" w:hAnsi="Times New Roman"/>
          <w:sz w:val="18"/>
          <w:szCs w:val="18"/>
          <w:color w:val="auto"/>
        </w:rPr>
        <w:t>. Licensee shall pay OSIF the following amounts within [***] days of achievement by Licensee or its Affiliates of each</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corresponding Milestone for each of the first [***] Licensed Products to achieve the milestone, and not for any subsequent Licensed Products according to the following (collectively the “</w:t>
      </w:r>
      <w:r>
        <w:rPr>
          <w:rFonts w:ascii="Times New Roman" w:cs="Times New Roman" w:eastAsia="Times New Roman" w:hAnsi="Times New Roman"/>
          <w:sz w:val="18"/>
          <w:szCs w:val="18"/>
          <w:b w:val="1"/>
          <w:bCs w:val="1"/>
          <w:color w:val="auto"/>
        </w:rPr>
        <w:t>Milestone Fees</w:t>
      </w:r>
      <w:r>
        <w:rPr>
          <w:rFonts w:ascii="Times New Roman" w:cs="Times New Roman" w:eastAsia="Times New Roman" w:hAnsi="Times New Roman"/>
          <w:sz w:val="18"/>
          <w:szCs w:val="18"/>
          <w:color w:val="auto"/>
        </w:rPr>
        <w:t>”):</w:t>
      </w:r>
    </w:p>
    <w:p>
      <w:pPr>
        <w:spacing w:after="0" w:line="160"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6440" w:type="dxa"/>
            <w:vAlign w:val="bottom"/>
            <w:vMerge w:val="restart"/>
          </w:tcPr>
          <w:p>
            <w:pPr>
              <w:jc w:val="right"/>
              <w:ind w:right="2750"/>
              <w:spacing w:after="0"/>
              <w:rPr>
                <w:sz w:val="20"/>
                <w:szCs w:val="20"/>
                <w:color w:val="auto"/>
              </w:rPr>
            </w:pPr>
            <w:r>
              <w:rPr>
                <w:rFonts w:ascii="Times New Roman" w:cs="Times New Roman" w:eastAsia="Times New Roman" w:hAnsi="Times New Roman"/>
                <w:sz w:val="18"/>
                <w:szCs w:val="18"/>
                <w:b w:val="1"/>
                <w:bCs w:val="1"/>
                <w:color w:val="auto"/>
              </w:rPr>
              <w:t>Milestone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Milestone</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440" w:type="dxa"/>
            <w:vAlign w:val="bottom"/>
            <w:tcBorders>
              <w:bottom w:val="single" w:sz="8" w:color="auto"/>
            </w:tcBorders>
            <w:vMerge w:val="continue"/>
          </w:tcPr>
          <w:p>
            <w:pPr>
              <w:spacing w:after="0"/>
              <w:rPr>
                <w:sz w:val="21"/>
                <w:szCs w:val="21"/>
                <w:color w:val="auto"/>
              </w:rPr>
            </w:pPr>
          </w:p>
        </w:tc>
        <w:tc>
          <w:tcPr>
            <w:tcW w:w="1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Fee</w:t>
            </w:r>
          </w:p>
        </w:tc>
        <w:tc>
          <w:tcPr>
            <w:tcW w:w="5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440" w:type="dxa"/>
            <w:vAlign w:val="bottom"/>
            <w:tcBorders>
              <w:bottom w:val="single" w:sz="8" w:color="8EAADB"/>
              <w:right w:val="single" w:sz="8" w:color="8EAADB"/>
            </w:tcBorders>
            <w:shd w:val="clear" w:color="auto" w:fill="D9E2F3"/>
          </w:tcPr>
          <w:p>
            <w:pPr>
              <w:jc w:val="right"/>
              <w:ind w:right="589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8EAADB"/>
            </w:tcBorders>
            <w:shd w:val="clear" w:color="auto" w:fill="D9E2F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8EAADB"/>
            </w:tcBorders>
            <w:shd w:val="clear" w:color="auto" w:fill="D9E2F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8EAADB"/>
              <w:right w:val="single" w:sz="8" w:color="8EAADB"/>
            </w:tcBorders>
          </w:tcPr>
          <w:p>
            <w:pPr>
              <w:jc w:val="right"/>
              <w:ind w:right="589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8EAADB"/>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8EAADB"/>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8EAADB"/>
              <w:right w:val="single" w:sz="8" w:color="8EAADB"/>
            </w:tcBorders>
            <w:shd w:val="clear" w:color="auto" w:fill="D9E2F3"/>
          </w:tcPr>
          <w:p>
            <w:pPr>
              <w:jc w:val="right"/>
              <w:ind w:right="589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8EAADB"/>
            </w:tcBorders>
            <w:shd w:val="clear" w:color="auto" w:fill="D9E2F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8EAADB"/>
            </w:tcBorders>
            <w:shd w:val="clear" w:color="auto" w:fill="D9E2F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8EAADB"/>
              <w:right w:val="single" w:sz="8" w:color="8EAADB"/>
            </w:tcBorders>
          </w:tcPr>
          <w:p>
            <w:pPr>
              <w:jc w:val="right"/>
              <w:ind w:right="589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8EAADB"/>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8EAADB"/>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8EAADB"/>
              <w:right w:val="single" w:sz="8" w:color="8EAADB"/>
            </w:tcBorders>
            <w:shd w:val="clear" w:color="auto" w:fill="D9E2F3"/>
          </w:tcPr>
          <w:p>
            <w:pPr>
              <w:jc w:val="right"/>
              <w:ind w:right="589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8EAADB"/>
            </w:tcBorders>
            <w:shd w:val="clear" w:color="auto" w:fill="D9E2F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8EAADB"/>
            </w:tcBorders>
            <w:shd w:val="clear" w:color="auto" w:fill="D9E2F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8EAADB"/>
              <w:right w:val="single" w:sz="8" w:color="8EAADB"/>
            </w:tcBorders>
          </w:tcPr>
          <w:p>
            <w:pPr>
              <w:jc w:val="right"/>
              <w:ind w:right="589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8EAADB"/>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8EAADB"/>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8EAADB"/>
              <w:right w:val="single" w:sz="8" w:color="8EAADB"/>
            </w:tcBorders>
            <w:shd w:val="clear" w:color="auto" w:fill="D9E2F3"/>
          </w:tcPr>
          <w:p>
            <w:pPr>
              <w:jc w:val="right"/>
              <w:ind w:right="589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8EAADB"/>
            </w:tcBorders>
            <w:shd w:val="clear" w:color="auto" w:fill="D9E2F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8EAADB"/>
            </w:tcBorders>
            <w:shd w:val="clear" w:color="auto" w:fill="D9E2F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left="440" w:hanging="647"/>
        <w:spacing w:after="0" w:line="217" w:lineRule="auto"/>
        <w:tabs>
          <w:tab w:leader="none" w:pos="42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b w:val="1"/>
          <w:bCs w:val="1"/>
          <w:u w:val="single" w:color="auto"/>
          <w:color w:val="auto"/>
        </w:rPr>
        <w:t>Sublicense Fees</w:t>
      </w:r>
      <w:r>
        <w:rPr>
          <w:rFonts w:ascii="Times New Roman" w:cs="Times New Roman" w:eastAsia="Times New Roman" w:hAnsi="Times New Roman"/>
          <w:sz w:val="18"/>
          <w:szCs w:val="18"/>
          <w:color w:val="auto"/>
        </w:rPr>
        <w:t>. For clarity, Net Sales by Sublicensees shall be subject to royalties payable to OSIF as provided in Section 3.2, and shall</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therefore not be subject to Sublicensee Fees pursuant to this Section 3.6. Also, within [***] days of receiving any Non-Royalty Sublicensing Consideration, Licensee shall pay to OSIF an amount equal to the percentage of all Non-Royalty Sublicensing</w:t>
      </w:r>
    </w:p>
    <w:p>
      <w:pPr>
        <w:spacing w:after="0" w:line="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Consideration as follows (collectively the “</w:t>
      </w:r>
      <w:r>
        <w:rPr>
          <w:rFonts w:ascii="Times New Roman" w:cs="Times New Roman" w:eastAsia="Times New Roman" w:hAnsi="Times New Roman"/>
          <w:sz w:val="18"/>
          <w:szCs w:val="18"/>
          <w:b w:val="1"/>
          <w:bCs w:val="1"/>
          <w:color w:val="auto"/>
        </w:rPr>
        <w:t>Sublicensee Fees</w:t>
      </w:r>
      <w:r>
        <w:rPr>
          <w:rFonts w:ascii="Times New Roman" w:cs="Times New Roman" w:eastAsia="Times New Roman" w:hAnsi="Times New Roman"/>
          <w:sz w:val="18"/>
          <w:szCs w:val="18"/>
          <w:color w:val="auto"/>
        </w:rPr>
        <w:t>”), subject to Sections 3.6(b) and 3.6(c)) below:</w:t>
      </w:r>
    </w:p>
    <w:p>
      <w:pPr>
        <w:spacing w:after="0" w:line="124"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5540" w:type="dxa"/>
            <w:vAlign w:val="bottom"/>
          </w:tcPr>
          <w:p>
            <w:pPr>
              <w:jc w:val="right"/>
              <w:ind w:right="5250"/>
              <w:spacing w:after="0"/>
              <w:rPr>
                <w:sz w:val="20"/>
                <w:szCs w:val="20"/>
                <w:color w:val="auto"/>
              </w:rPr>
            </w:pPr>
            <w:r>
              <w:rPr>
                <w:rFonts w:ascii="Times New Roman" w:cs="Times New Roman" w:eastAsia="Times New Roman" w:hAnsi="Times New Roman"/>
                <w:sz w:val="18"/>
                <w:szCs w:val="18"/>
                <w:color w:val="auto"/>
                <w:w w:val="89"/>
              </w:rPr>
              <w:t>(a)</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540" w:type="dxa"/>
            <w:vAlign w:val="bottom"/>
            <w:vMerge w:val="restart"/>
          </w:tcPr>
          <w:p>
            <w:pPr>
              <w:jc w:val="right"/>
              <w:ind w:right="2470"/>
              <w:spacing w:after="0"/>
              <w:rPr>
                <w:sz w:val="20"/>
                <w:szCs w:val="20"/>
                <w:color w:val="auto"/>
              </w:rPr>
            </w:pPr>
            <w:r>
              <w:rPr>
                <w:rFonts w:ascii="Times New Roman" w:cs="Times New Roman" w:eastAsia="Times New Roman" w:hAnsi="Times New Roman"/>
                <w:sz w:val="18"/>
                <w:szCs w:val="18"/>
                <w:b w:val="1"/>
                <w:bCs w:val="1"/>
                <w:color w:val="auto"/>
              </w:rPr>
              <w:t>Event</w:t>
            </w:r>
          </w:p>
        </w:tc>
        <w:tc>
          <w:tcPr>
            <w:tcW w:w="2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Non-Royalty Sublicensing</w:t>
            </w:r>
          </w:p>
        </w:tc>
        <w:tc>
          <w:tcPr>
            <w:tcW w:w="0" w:type="dxa"/>
            <w:vAlign w:val="bottom"/>
          </w:tcPr>
          <w:p>
            <w:pPr>
              <w:spacing w:after="0"/>
              <w:rPr>
                <w:sz w:val="1"/>
                <w:szCs w:val="1"/>
                <w:color w:val="auto"/>
              </w:rPr>
            </w:pPr>
          </w:p>
        </w:tc>
      </w:tr>
      <w:tr>
        <w:trPr>
          <w:trHeight w:val="243"/>
        </w:trPr>
        <w:tc>
          <w:tcPr>
            <w:tcW w:w="5540" w:type="dxa"/>
            <w:vAlign w:val="bottom"/>
            <w:tcBorders>
              <w:bottom w:val="single" w:sz="8" w:color="auto"/>
            </w:tcBorders>
            <w:vMerge w:val="continue"/>
          </w:tcPr>
          <w:p>
            <w:pPr>
              <w:spacing w:after="0"/>
              <w:rPr>
                <w:sz w:val="21"/>
                <w:szCs w:val="21"/>
                <w:color w:val="auto"/>
              </w:rPr>
            </w:pPr>
          </w:p>
        </w:tc>
        <w:tc>
          <w:tcPr>
            <w:tcW w:w="28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8EAADB"/>
              <w:right w:val="single" w:sz="8" w:color="8EAADB"/>
            </w:tcBorders>
            <w:shd w:val="clear" w:color="auto" w:fill="D9E2F3"/>
          </w:tcPr>
          <w:p>
            <w:pPr>
              <w:jc w:val="right"/>
              <w:ind w:right="4990"/>
              <w:spacing w:after="0"/>
              <w:rPr>
                <w:sz w:val="20"/>
                <w:szCs w:val="20"/>
                <w:color w:val="auto"/>
              </w:rPr>
            </w:pPr>
            <w:r>
              <w:rPr>
                <w:rFonts w:ascii="Times New Roman" w:cs="Times New Roman" w:eastAsia="Times New Roman" w:hAnsi="Times New Roman"/>
                <w:sz w:val="18"/>
                <w:szCs w:val="18"/>
                <w:b w:val="1"/>
                <w:bCs w:val="1"/>
                <w:color w:val="auto"/>
              </w:rPr>
              <w:t>[***]</w:t>
            </w:r>
          </w:p>
        </w:tc>
        <w:tc>
          <w:tcPr>
            <w:tcW w:w="2880" w:type="dxa"/>
            <w:vAlign w:val="bottom"/>
            <w:tcBorders>
              <w:bottom w:val="single" w:sz="8" w:color="8EAADB"/>
            </w:tcBorders>
            <w:shd w:val="clear" w:color="auto" w:fill="D9E2F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8EAADB"/>
              <w:right w:val="single" w:sz="8" w:color="8EAADB"/>
            </w:tcBorders>
          </w:tcPr>
          <w:p>
            <w:pPr>
              <w:jc w:val="right"/>
              <w:ind w:right="4990"/>
              <w:spacing w:after="0"/>
              <w:rPr>
                <w:sz w:val="20"/>
                <w:szCs w:val="20"/>
                <w:color w:val="auto"/>
              </w:rPr>
            </w:pPr>
            <w:r>
              <w:rPr>
                <w:rFonts w:ascii="Times New Roman" w:cs="Times New Roman" w:eastAsia="Times New Roman" w:hAnsi="Times New Roman"/>
                <w:sz w:val="18"/>
                <w:szCs w:val="18"/>
                <w:b w:val="1"/>
                <w:bCs w:val="1"/>
                <w:color w:val="auto"/>
              </w:rPr>
              <w:t>[***]</w:t>
            </w:r>
          </w:p>
        </w:tc>
        <w:tc>
          <w:tcPr>
            <w:tcW w:w="2880" w:type="dxa"/>
            <w:vAlign w:val="bottom"/>
            <w:tcBorders>
              <w:bottom w:val="single" w:sz="8" w:color="8EAADB"/>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8EAADB"/>
              <w:right w:val="single" w:sz="8" w:color="8EAADB"/>
            </w:tcBorders>
            <w:shd w:val="clear" w:color="auto" w:fill="D9E2F3"/>
          </w:tcPr>
          <w:p>
            <w:pPr>
              <w:jc w:val="right"/>
              <w:ind w:right="4990"/>
              <w:spacing w:after="0"/>
              <w:rPr>
                <w:sz w:val="20"/>
                <w:szCs w:val="20"/>
                <w:color w:val="auto"/>
              </w:rPr>
            </w:pPr>
            <w:r>
              <w:rPr>
                <w:rFonts w:ascii="Times New Roman" w:cs="Times New Roman" w:eastAsia="Times New Roman" w:hAnsi="Times New Roman"/>
                <w:sz w:val="18"/>
                <w:szCs w:val="18"/>
                <w:b w:val="1"/>
                <w:bCs w:val="1"/>
                <w:color w:val="auto"/>
              </w:rPr>
              <w:t>[***]</w:t>
            </w:r>
          </w:p>
        </w:tc>
        <w:tc>
          <w:tcPr>
            <w:tcW w:w="2880" w:type="dxa"/>
            <w:vAlign w:val="bottom"/>
            <w:tcBorders>
              <w:bottom w:val="single" w:sz="8" w:color="8EAADB"/>
            </w:tcBorders>
            <w:shd w:val="clear" w:color="auto" w:fill="D9E2F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300" w:hanging="656"/>
        <w:spacing w:after="0" w:line="220" w:lineRule="auto"/>
        <w:tabs>
          <w:tab w:leader="none" w:pos="106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Sublicensee Fees set forth in Section 3.6(a) shall apply only to Non-Royalty Sublicensing Consideration received in exchange for activities that are not Covered by any patents owned or controlled by Licensee or its Affiliates or Sublicensees. Sublicensee Fees on Non-Royalty Sublicensing Consideration received in exchange for activities that are Covered by patents owned or controlled by Licensee or its Affiliates or Sublicensees (even though also Covered by Patent Rights) shall be reduced by [***] percent ([***]%).</w:t>
      </w:r>
    </w:p>
    <w:p>
      <w:pPr>
        <w:spacing w:after="0" w:line="131" w:lineRule="exact"/>
        <w:rPr>
          <w:rFonts w:ascii="Times New Roman" w:cs="Times New Roman" w:eastAsia="Times New Roman" w:hAnsi="Times New Roman"/>
          <w:sz w:val="18"/>
          <w:szCs w:val="18"/>
          <w:color w:val="auto"/>
        </w:rPr>
      </w:pPr>
    </w:p>
    <w:p>
      <w:pPr>
        <w:ind w:left="1020" w:hanging="376"/>
        <w:spacing w:after="0"/>
        <w:tabs>
          <w:tab w:leader="none" w:pos="10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4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b w:val="1"/>
          <w:bCs w:val="1"/>
          <w:u w:val="single" w:color="auto"/>
          <w:color w:val="auto"/>
        </w:rPr>
        <w:t>License Maintenance Fee</w:t>
      </w:r>
      <w:r>
        <w:rPr>
          <w:rFonts w:ascii="Times New Roman" w:cs="Times New Roman" w:eastAsia="Times New Roman" w:hAnsi="Times New Roman"/>
          <w:sz w:val="18"/>
          <w:szCs w:val="18"/>
          <w:color w:val="auto"/>
        </w:rPr>
        <w:t>. Beginning in the [***] Contract Year and each Contract Year thereafter until the First Commercial Contract</w:t>
      </w:r>
    </w:p>
    <w:p>
      <w:pPr>
        <w:spacing w:after="0" w:line="6" w:lineRule="exact"/>
        <w:rPr>
          <w:sz w:val="20"/>
          <w:szCs w:val="20"/>
          <w:color w:val="auto"/>
        </w:rPr>
      </w:pPr>
    </w:p>
    <w:p>
      <w:pPr>
        <w:jc w:val="both"/>
        <w:ind w:left="640"/>
        <w:spacing w:after="0" w:line="208" w:lineRule="auto"/>
        <w:rPr>
          <w:sz w:val="20"/>
          <w:szCs w:val="20"/>
          <w:color w:val="auto"/>
        </w:rPr>
      </w:pPr>
      <w:r>
        <w:rPr>
          <w:rFonts w:ascii="Times New Roman" w:cs="Times New Roman" w:eastAsia="Times New Roman" w:hAnsi="Times New Roman"/>
          <w:sz w:val="18"/>
          <w:szCs w:val="18"/>
          <w:color w:val="auto"/>
        </w:rPr>
        <w:t>Year, Licensee shall pay to OSIF a non-refundable license maintenance fee of [***] per year. Notwithstanding anything to the contrary herein, Licensee shall no longer pay and OSIF shall no longer receive a license maintenance fee beginning in the First Commercial Contract Year. The license maintenance fee shall be due and payable by Licensee within [***] days after the last day of each Contract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Year in which OSIF is entitled to receive such license maintenance fee pursuant to this Section 3.7.</w:t>
      </w:r>
    </w:p>
    <w:p>
      <w:pPr>
        <w:spacing w:after="0" w:line="12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b w:val="1"/>
          <w:bCs w:val="1"/>
          <w:u w:val="single" w:color="auto"/>
          <w:color w:val="auto"/>
        </w:rPr>
        <w:t>Equity Consideration</w:t>
      </w:r>
      <w:r>
        <w:rPr>
          <w:rFonts w:ascii="Times New Roman" w:cs="Times New Roman" w:eastAsia="Times New Roman" w:hAnsi="Times New Roman"/>
          <w:sz w:val="18"/>
          <w:szCs w:val="18"/>
          <w:color w:val="auto"/>
        </w:rPr>
        <w:t>. On or within [***] days of the Effective Date, Licensee shall issue to Designee, [***] shares of common stock of the</w:t>
      </w:r>
    </w:p>
    <w:p>
      <w:pPr>
        <w:spacing w:after="0" w:line="6" w:lineRule="exact"/>
        <w:rPr>
          <w:sz w:val="20"/>
          <w:szCs w:val="20"/>
          <w:color w:val="auto"/>
        </w:rPr>
      </w:pPr>
    </w:p>
    <w:p>
      <w:pPr>
        <w:jc w:val="both"/>
        <w:ind w:left="640"/>
        <w:spacing w:after="0" w:line="214" w:lineRule="auto"/>
        <w:rPr>
          <w:sz w:val="20"/>
          <w:szCs w:val="20"/>
          <w:color w:val="auto"/>
        </w:rPr>
      </w:pPr>
      <w:r>
        <w:rPr>
          <w:rFonts w:ascii="Times New Roman" w:cs="Times New Roman" w:eastAsia="Times New Roman" w:hAnsi="Times New Roman"/>
          <w:sz w:val="18"/>
          <w:szCs w:val="18"/>
          <w:color w:val="auto"/>
        </w:rPr>
        <w:t>Licensee constituting [***] percent ([***]%) of the ownership of Licensee on a Fully-Diluted basis as of the Effective Date, provided that Designee shall execute a subscription agreement mutually agreeable to the Licensee and OSIF. Certificates duly signed by authorized officers of Licensee evidencing such shares of common stock shall be delivered to Designee and issued in Designee’s name. All shares issued to Designee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8 of 30</w:t>
      </w:r>
    </w:p>
    <w:p>
      <w:pPr>
        <w:sectPr>
          <w:pgSz w:w="11900" w:h="16838" w:orient="portrait"/>
          <w:cols w:equalWidth="0" w:num="1">
            <w:col w:w="10580"/>
          </w:cols>
          <w:pgMar w:left="980" w:top="1404" w:right="339" w:bottom="1440" w:gutter="0" w:footer="0" w:header="0"/>
        </w:sectPr>
      </w:pPr>
    </w:p>
    <w:bookmarkStart w:id="182" w:name="page183"/>
    <w:bookmarkEnd w:id="182"/>
    <w:p>
      <w:pPr>
        <w:ind w:left="1300"/>
        <w:spacing w:after="0"/>
        <w:rPr>
          <w:sz w:val="20"/>
          <w:szCs w:val="20"/>
          <w:color w:val="auto"/>
        </w:rPr>
      </w:pPr>
      <w:r>
        <w:rPr>
          <w:rFonts w:ascii="Times New Roman" w:cs="Times New Roman" w:eastAsia="Times New Roman" w:hAnsi="Times New Roman"/>
          <w:sz w:val="18"/>
          <w:szCs w:val="18"/>
          <w:color w:val="auto"/>
        </w:rPr>
        <w:t>under this Section will be considered fully paid, non-assessable, and have no requirement of contribution of any kind to Licensee.</w:t>
      </w:r>
    </w:p>
    <w:p>
      <w:pPr>
        <w:spacing w:after="0" w:line="158" w:lineRule="exact"/>
        <w:rPr>
          <w:sz w:val="20"/>
          <w:szCs w:val="20"/>
          <w:color w:val="auto"/>
        </w:rPr>
      </w:pPr>
    </w:p>
    <w:p>
      <w:pPr>
        <w:jc w:val="both"/>
        <w:ind w:left="1300"/>
        <w:spacing w:after="0" w:line="216" w:lineRule="auto"/>
        <w:rPr>
          <w:sz w:val="20"/>
          <w:szCs w:val="20"/>
          <w:color w:val="auto"/>
        </w:rPr>
      </w:pPr>
      <w:r>
        <w:rPr>
          <w:rFonts w:ascii="Times New Roman" w:cs="Times New Roman" w:eastAsia="Times New Roman" w:hAnsi="Times New Roman"/>
          <w:sz w:val="18"/>
          <w:szCs w:val="18"/>
          <w:color w:val="auto"/>
        </w:rPr>
        <w:t>At Designee shall be entitled to receive the same participation, co-sale, information and other rights as Licensee’s investors by becoming a party to a subscription agreement, as well as the Investors’ Rights Agreement, Voting Agreement and Right of First Refusal and Co-Sale Agreement to be entered into by Licensee, Licensee’s investors and the other parties thereto on or around the Effective Date</w:t>
      </w:r>
    </w:p>
    <w:p>
      <w:pPr>
        <w:spacing w:after="0" w:line="1" w:lineRule="exact"/>
        <w:rPr>
          <w:sz w:val="20"/>
          <w:szCs w:val="20"/>
          <w:color w:val="auto"/>
        </w:rPr>
      </w:pPr>
    </w:p>
    <w:p>
      <w:pPr>
        <w:jc w:val="both"/>
        <w:ind w:left="1300"/>
        <w:spacing w:after="0" w:line="226" w:lineRule="auto"/>
        <w:rPr>
          <w:sz w:val="20"/>
          <w:szCs w:val="20"/>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b w:val="1"/>
          <w:bCs w:val="1"/>
          <w:color w:val="auto"/>
        </w:rPr>
        <w:t>Stockholder Agreements</w:t>
      </w:r>
      <w:r>
        <w:rPr>
          <w:rFonts w:ascii="Times New Roman" w:cs="Times New Roman" w:eastAsia="Times New Roman" w:hAnsi="Times New Roman"/>
          <w:sz w:val="18"/>
          <w:szCs w:val="18"/>
          <w:color w:val="auto"/>
        </w:rPr>
        <w:t>”). Prior to the Effective Date, Licensee shall have delivered to OSIF a near-final version of the Stockholder Agreements.</w:t>
      </w:r>
    </w:p>
    <w:p>
      <w:pPr>
        <w:spacing w:after="0" w:line="153"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b w:val="1"/>
          <w:bCs w:val="1"/>
          <w:u w:val="single" w:color="auto"/>
          <w:color w:val="auto"/>
        </w:rPr>
        <w:t>Anti-Dilution</w:t>
      </w:r>
      <w:r>
        <w:rPr>
          <w:rFonts w:ascii="Times New Roman" w:cs="Times New Roman" w:eastAsia="Times New Roman" w:hAnsi="Times New Roman"/>
          <w:sz w:val="18"/>
          <w:szCs w:val="18"/>
          <w:color w:val="auto"/>
        </w:rPr>
        <w:t>. As anti-dilution protection, Licensee shall issue to Designee (without cost) additional Equity Securities in the form of</w:t>
      </w:r>
    </w:p>
    <w:p>
      <w:pPr>
        <w:spacing w:after="0" w:line="6" w:lineRule="exact"/>
        <w:rPr>
          <w:sz w:val="20"/>
          <w:szCs w:val="20"/>
          <w:color w:val="auto"/>
        </w:rPr>
      </w:pPr>
    </w:p>
    <w:p>
      <w:pPr>
        <w:jc w:val="both"/>
        <w:ind w:left="1300"/>
        <w:spacing w:after="0" w:line="203" w:lineRule="auto"/>
        <w:rPr>
          <w:sz w:val="20"/>
          <w:szCs w:val="20"/>
          <w:color w:val="auto"/>
        </w:rPr>
      </w:pPr>
      <w:r>
        <w:rPr>
          <w:rFonts w:ascii="Times New Roman" w:cs="Times New Roman" w:eastAsia="Times New Roman" w:hAnsi="Times New Roman"/>
          <w:sz w:val="18"/>
          <w:szCs w:val="18"/>
          <w:color w:val="auto"/>
        </w:rPr>
        <w:t>common stock sufficient for Designee to preserve its [***] percent ([***]%) share of ownership on a Fully - Diluted basis until Licensee has obtained paid in capital (i.e., capital contributed by investors through direct purchase of Equity Securities from Licensee) of at least</w:t>
      </w:r>
    </w:p>
    <w:p>
      <w:pPr>
        <w:spacing w:after="0" w:line="1" w:lineRule="exact"/>
        <w:rPr>
          <w:sz w:val="20"/>
          <w:szCs w:val="20"/>
          <w:color w:val="auto"/>
        </w:rPr>
      </w:pPr>
    </w:p>
    <w:p>
      <w:pPr>
        <w:ind w:left="1300" w:right="20" w:firstLine="4"/>
        <w:spacing w:after="0" w:line="233" w:lineRule="auto"/>
        <w:tabs>
          <w:tab w:leader="none" w:pos="174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 (“</w:t>
      </w:r>
      <w:r>
        <w:rPr>
          <w:rFonts w:ascii="Times New Roman" w:cs="Times New Roman" w:eastAsia="Times New Roman" w:hAnsi="Times New Roman"/>
          <w:sz w:val="18"/>
          <w:szCs w:val="18"/>
          <w:b w:val="1"/>
          <w:bCs w:val="1"/>
          <w:color w:val="auto"/>
        </w:rPr>
        <w:t>Equity Financing Threshold</w:t>
      </w:r>
      <w:r>
        <w:rPr>
          <w:rFonts w:ascii="Times New Roman" w:cs="Times New Roman" w:eastAsia="Times New Roman" w:hAnsi="Times New Roman"/>
          <w:sz w:val="18"/>
          <w:szCs w:val="18"/>
          <w:color w:val="auto"/>
        </w:rPr>
        <w:t>”). OSIF’s Equity Securities shall in no event be subject to revocation, refund or nullification for any reason.</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cash investment in exchange for convertible securities shall not contribute to the Equity Financing Threshold at the time of issuance of</w:t>
      </w:r>
    </w:p>
    <w:p>
      <w:pPr>
        <w:spacing w:after="0" w:line="2" w:lineRule="exact"/>
        <w:rPr>
          <w:sz w:val="20"/>
          <w:szCs w:val="20"/>
          <w:color w:val="auto"/>
        </w:rPr>
      </w:pPr>
    </w:p>
    <w:p>
      <w:pPr>
        <w:jc w:val="both"/>
        <w:ind w:left="1300"/>
        <w:spacing w:after="0" w:line="226" w:lineRule="auto"/>
        <w:rPr>
          <w:sz w:val="20"/>
          <w:szCs w:val="20"/>
          <w:color w:val="auto"/>
        </w:rPr>
      </w:pPr>
      <w:r>
        <w:rPr>
          <w:rFonts w:ascii="Times New Roman" w:cs="Times New Roman" w:eastAsia="Times New Roman" w:hAnsi="Times New Roman"/>
          <w:sz w:val="18"/>
          <w:szCs w:val="18"/>
          <w:color w:val="auto"/>
        </w:rPr>
        <w:t>such convertible securities, but instead shall contribute to the Equity Financing Threshold only at the time that the convertible securities are convertible or exchangeable into Equity Securities.</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clarity, in the event the Licensee receives Equity Financing in a certain transaction, a portion of which (“</w:t>
      </w:r>
      <w:r>
        <w:rPr>
          <w:rFonts w:ascii="Times New Roman" w:cs="Times New Roman" w:eastAsia="Times New Roman" w:hAnsi="Times New Roman"/>
          <w:sz w:val="18"/>
          <w:szCs w:val="18"/>
          <w:b w:val="1"/>
          <w:bCs w:val="1"/>
          <w:color w:val="auto"/>
        </w:rPr>
        <w:t>Applicable Portion</w:t>
      </w:r>
      <w:r>
        <w:rPr>
          <w:rFonts w:ascii="Times New Roman" w:cs="Times New Roman" w:eastAsia="Times New Roman" w:hAnsi="Times New Roman"/>
          <w:sz w:val="18"/>
          <w:szCs w:val="18"/>
          <w:color w:val="auto"/>
        </w:rPr>
        <w:t>”), when</w:t>
      </w:r>
    </w:p>
    <w:p>
      <w:pPr>
        <w:spacing w:after="0" w:line="6" w:lineRule="exact"/>
        <w:rPr>
          <w:sz w:val="20"/>
          <w:szCs w:val="20"/>
          <w:color w:val="auto"/>
        </w:rPr>
      </w:pPr>
    </w:p>
    <w:p>
      <w:pPr>
        <w:jc w:val="both"/>
        <w:ind w:left="1300"/>
        <w:spacing w:after="0" w:line="208" w:lineRule="auto"/>
        <w:rPr>
          <w:sz w:val="20"/>
          <w:szCs w:val="20"/>
          <w:color w:val="auto"/>
        </w:rPr>
      </w:pPr>
      <w:r>
        <w:rPr>
          <w:rFonts w:ascii="Times New Roman" w:cs="Times New Roman" w:eastAsia="Times New Roman" w:hAnsi="Times New Roman"/>
          <w:sz w:val="18"/>
          <w:szCs w:val="18"/>
          <w:color w:val="auto"/>
        </w:rPr>
        <w:t>added to the prior aggregate amount of Equity Financing received by Licensee, brings the total amount of Equity Financing received by the Licensee up to the Equity Financing Threshold and a portion of which, when added to the aggregate amount of Equity Financing received by Licensee (inclusive of the Applicable Portion), brings the total amount of Equity Financing received by the Licensee above</w:t>
      </w:r>
    </w:p>
    <w:p>
      <w:pPr>
        <w:spacing w:after="0" w:line="2" w:lineRule="exact"/>
        <w:rPr>
          <w:sz w:val="20"/>
          <w:szCs w:val="20"/>
          <w:color w:val="auto"/>
        </w:rPr>
      </w:pPr>
    </w:p>
    <w:p>
      <w:pPr>
        <w:jc w:val="both"/>
        <w:ind w:left="1300" w:right="20"/>
        <w:spacing w:after="0" w:line="226" w:lineRule="auto"/>
        <w:rPr>
          <w:sz w:val="20"/>
          <w:szCs w:val="20"/>
          <w:color w:val="auto"/>
        </w:rPr>
      </w:pPr>
      <w:r>
        <w:rPr>
          <w:rFonts w:ascii="Times New Roman" w:cs="Times New Roman" w:eastAsia="Times New Roman" w:hAnsi="Times New Roman"/>
          <w:sz w:val="18"/>
          <w:szCs w:val="18"/>
          <w:color w:val="auto"/>
        </w:rPr>
        <w:t xml:space="preserve">the Equity Financing Threshold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Excess Portion</w:t>
      </w:r>
      <w:r>
        <w:rPr>
          <w:rFonts w:ascii="Times New Roman" w:cs="Times New Roman" w:eastAsia="Times New Roman" w:hAnsi="Times New Roman"/>
          <w:sz w:val="18"/>
          <w:szCs w:val="18"/>
          <w:color w:val="auto"/>
        </w:rPr>
        <w:t>”), the anti-dilution provision in this Section 3.9 shall only apply to the Applicable Portion and not to the Excess Portion.</w:t>
      </w:r>
    </w:p>
    <w:p>
      <w:pPr>
        <w:spacing w:after="0" w:line="153"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8"/>
          <w:szCs w:val="18"/>
          <w:b w:val="1"/>
          <w:bCs w:val="1"/>
          <w:u w:val="single" w:color="auto"/>
          <w:color w:val="auto"/>
        </w:rPr>
        <w:t>Related Party Transactions</w:t>
      </w:r>
      <w:r>
        <w:rPr>
          <w:rFonts w:ascii="Times New Roman" w:cs="Times New Roman" w:eastAsia="Times New Roman" w:hAnsi="Times New Roman"/>
          <w:sz w:val="18"/>
          <w:szCs w:val="18"/>
          <w:color w:val="auto"/>
        </w:rPr>
        <w:t>. Notwithstanding the foregoing, in the event Licensee, prior to achieving the Equity Financing Threshold,</w:t>
      </w:r>
    </w:p>
    <w:p>
      <w:pPr>
        <w:spacing w:after="0" w:line="6" w:lineRule="exact"/>
        <w:rPr>
          <w:sz w:val="20"/>
          <w:szCs w:val="20"/>
          <w:color w:val="auto"/>
        </w:rPr>
      </w:pPr>
    </w:p>
    <w:p>
      <w:pPr>
        <w:jc w:val="both"/>
        <w:ind w:left="1300"/>
        <w:spacing w:after="0" w:line="208" w:lineRule="auto"/>
        <w:rPr>
          <w:sz w:val="20"/>
          <w:szCs w:val="20"/>
          <w:color w:val="auto"/>
        </w:rPr>
      </w:pPr>
      <w:r>
        <w:rPr>
          <w:rFonts w:ascii="Times New Roman" w:cs="Times New Roman" w:eastAsia="Times New Roman" w:hAnsi="Times New Roman"/>
          <w:sz w:val="18"/>
          <w:szCs w:val="18"/>
          <w:color w:val="auto"/>
        </w:rPr>
        <w:t>enters into any agreement that constitutes a Related Party Transaction, Licensee shall cause the party with which it enters the Related Party Transaction (the “</w:t>
      </w:r>
      <w:r>
        <w:rPr>
          <w:rFonts w:ascii="Times New Roman" w:cs="Times New Roman" w:eastAsia="Times New Roman" w:hAnsi="Times New Roman"/>
          <w:sz w:val="18"/>
          <w:szCs w:val="18"/>
          <w:b w:val="1"/>
          <w:bCs w:val="1"/>
          <w:color w:val="auto"/>
        </w:rPr>
        <w:t>Related Party Entity</w:t>
      </w:r>
      <w:r>
        <w:rPr>
          <w:rFonts w:ascii="Times New Roman" w:cs="Times New Roman" w:eastAsia="Times New Roman" w:hAnsi="Times New Roman"/>
          <w:sz w:val="18"/>
          <w:szCs w:val="18"/>
          <w:color w:val="auto"/>
        </w:rPr>
        <w:t>”) to issue to Designee the Applicable Percentage of the fully-diluted equity of the Related Party Entity which, at the option of the Licensor or Designee, may be in voting common stock or the same type and class of equity</w:t>
      </w:r>
    </w:p>
    <w:p>
      <w:pPr>
        <w:spacing w:after="0" w:line="2" w:lineRule="exact"/>
        <w:rPr>
          <w:sz w:val="20"/>
          <w:szCs w:val="20"/>
          <w:color w:val="auto"/>
        </w:rPr>
      </w:pPr>
    </w:p>
    <w:p>
      <w:pPr>
        <w:jc w:val="both"/>
        <w:ind w:left="1300"/>
        <w:spacing w:after="0" w:line="218" w:lineRule="auto"/>
        <w:rPr>
          <w:sz w:val="20"/>
          <w:szCs w:val="20"/>
          <w:color w:val="auto"/>
        </w:rPr>
      </w:pPr>
      <w:r>
        <w:rPr>
          <w:rFonts w:ascii="Times New Roman" w:cs="Times New Roman" w:eastAsia="Times New Roman" w:hAnsi="Times New Roman"/>
          <w:sz w:val="18"/>
          <w:szCs w:val="18"/>
          <w:color w:val="auto"/>
        </w:rPr>
        <w:t>security issued to the related investors (such voting or other securities, the “</w:t>
      </w:r>
      <w:r>
        <w:rPr>
          <w:rFonts w:ascii="Times New Roman" w:cs="Times New Roman" w:eastAsia="Times New Roman" w:hAnsi="Times New Roman"/>
          <w:sz w:val="18"/>
          <w:szCs w:val="18"/>
          <w:b w:val="1"/>
          <w:bCs w:val="1"/>
          <w:color w:val="auto"/>
        </w:rPr>
        <w:t>Investor Equity Securities</w:t>
      </w:r>
      <w:r>
        <w:rPr>
          <w:rFonts w:ascii="Times New Roman" w:cs="Times New Roman" w:eastAsia="Times New Roman" w:hAnsi="Times New Roman"/>
          <w:sz w:val="18"/>
          <w:szCs w:val="18"/>
          <w:color w:val="auto"/>
        </w:rPr>
        <w:t>”) concurrent with the closing of the Related Party Transaction. Licensee will ensure that, as a condition of entering into any Related Party Transaction, the Related Party Entity will provide the same rights to Designee as provided in Sections 3.8 and 3.9 of this Agreement.</w:t>
      </w:r>
    </w:p>
    <w:p>
      <w:pPr>
        <w:spacing w:after="0" w:line="127" w:lineRule="exact"/>
        <w:rPr>
          <w:sz w:val="20"/>
          <w:szCs w:val="20"/>
          <w:color w:val="auto"/>
        </w:rPr>
      </w:pPr>
    </w:p>
    <w:p>
      <w:pPr>
        <w:jc w:val="both"/>
        <w:ind w:left="1300" w:right="20"/>
        <w:spacing w:after="0" w:line="225" w:lineRule="auto"/>
        <w:rPr>
          <w:sz w:val="20"/>
          <w:szCs w:val="20"/>
          <w:color w:val="auto"/>
        </w:rPr>
      </w:pPr>
      <w:r>
        <w:rPr>
          <w:rFonts w:ascii="Times New Roman" w:cs="Times New Roman" w:eastAsia="Times New Roman" w:hAnsi="Times New Roman"/>
          <w:sz w:val="18"/>
          <w:szCs w:val="18"/>
          <w:color w:val="auto"/>
        </w:rPr>
        <w:t>For purposes of this Section, a “</w:t>
      </w:r>
      <w:r>
        <w:rPr>
          <w:rFonts w:ascii="Times New Roman" w:cs="Times New Roman" w:eastAsia="Times New Roman" w:hAnsi="Times New Roman"/>
          <w:sz w:val="18"/>
          <w:szCs w:val="18"/>
          <w:b w:val="1"/>
          <w:bCs w:val="1"/>
          <w:color w:val="auto"/>
        </w:rPr>
        <w:t>Related Party Transaction</w:t>
      </w:r>
      <w:r>
        <w:rPr>
          <w:rFonts w:ascii="Times New Roman" w:cs="Times New Roman" w:eastAsia="Times New Roman" w:hAnsi="Times New Roman"/>
          <w:sz w:val="18"/>
          <w:szCs w:val="18"/>
          <w:color w:val="auto"/>
        </w:rPr>
        <w:t>” means any agreement or arrangement pursuant to which Licensee directly or indirectly through intermediaries authorizes a Related Party to: (a) develop, manufacture, offer for sale, sell , lease, transfer, import</w:t>
      </w:r>
    </w:p>
    <w:p>
      <w:pPr>
        <w:jc w:val="both"/>
        <w:ind w:left="1300" w:right="20"/>
        <w:spacing w:after="0" w:line="226" w:lineRule="auto"/>
        <w:rPr>
          <w:sz w:val="20"/>
          <w:szCs w:val="20"/>
          <w:color w:val="auto"/>
        </w:rPr>
      </w:pPr>
      <w:r>
        <w:rPr>
          <w:rFonts w:ascii="Times New Roman" w:cs="Times New Roman" w:eastAsia="Times New Roman" w:hAnsi="Times New Roman"/>
          <w:sz w:val="18"/>
          <w:szCs w:val="18"/>
          <w:color w:val="auto"/>
        </w:rPr>
        <w:t>and/or otherwise provide a Licensed Product; or (b) practice the Licensed Subject Matter; regardless of whether the agreement or arrangement requires or is captioned as a license or sublicense under the Licensed Subject Matter.</w:t>
      </w:r>
    </w:p>
    <w:p>
      <w:pPr>
        <w:spacing w:after="0" w:line="153" w:lineRule="exact"/>
        <w:rPr>
          <w:sz w:val="20"/>
          <w:szCs w:val="20"/>
          <w:color w:val="auto"/>
        </w:rPr>
      </w:pPr>
    </w:p>
    <w:p>
      <w:pPr>
        <w:jc w:val="both"/>
        <w:ind w:left="1300"/>
        <w:spacing w:after="0" w:line="225" w:lineRule="auto"/>
        <w:rPr>
          <w:sz w:val="20"/>
          <w:szCs w:val="20"/>
          <w:color w:val="auto"/>
        </w:rPr>
      </w:pPr>
      <w:r>
        <w:rPr>
          <w:rFonts w:ascii="Times New Roman" w:cs="Times New Roman" w:eastAsia="Times New Roman" w:hAnsi="Times New Roman"/>
          <w:sz w:val="18"/>
          <w:szCs w:val="18"/>
          <w:color w:val="auto"/>
        </w:rPr>
        <w:t>For purposes of this Section, “</w:t>
      </w:r>
      <w:r>
        <w:rPr>
          <w:rFonts w:ascii="Times New Roman" w:cs="Times New Roman" w:eastAsia="Times New Roman" w:hAnsi="Times New Roman"/>
          <w:sz w:val="18"/>
          <w:szCs w:val="18"/>
          <w:b w:val="1"/>
          <w:bCs w:val="1"/>
          <w:color w:val="auto"/>
        </w:rPr>
        <w:t>Related Party</w:t>
      </w:r>
      <w:r>
        <w:rPr>
          <w:rFonts w:ascii="Times New Roman" w:cs="Times New Roman" w:eastAsia="Times New Roman" w:hAnsi="Times New Roman"/>
          <w:sz w:val="18"/>
          <w:szCs w:val="18"/>
          <w:color w:val="auto"/>
        </w:rPr>
        <w:t>” means any one or more investors, officers, employees or directors of Licensee or any entity in which any such investor, officer, employee or director (or any of their respective Affiliates) has a direct or indirect financial</w:t>
      </w:r>
    </w:p>
    <w:p>
      <w:pPr>
        <w:jc w:val="both"/>
        <w:ind w:left="1300"/>
        <w:spacing w:after="0" w:line="226" w:lineRule="auto"/>
        <w:rPr>
          <w:sz w:val="20"/>
          <w:szCs w:val="20"/>
          <w:color w:val="auto"/>
        </w:rPr>
      </w:pPr>
      <w:r>
        <w:rPr>
          <w:rFonts w:ascii="Times New Roman" w:cs="Times New Roman" w:eastAsia="Times New Roman" w:hAnsi="Times New Roman"/>
          <w:sz w:val="18"/>
          <w:szCs w:val="18"/>
          <w:color w:val="auto"/>
        </w:rPr>
        <w:t>interest of [***] percent ([***]%) or more. Nothing in this Section 3.10 shall be interpreted to diminish the obligations of Licensee as set forth in Section 3 of this Agreement.</w:t>
      </w:r>
    </w:p>
    <w:p>
      <w:pPr>
        <w:spacing w:after="0" w:line="153" w:lineRule="exact"/>
        <w:rPr>
          <w:sz w:val="20"/>
          <w:szCs w:val="20"/>
          <w:color w:val="auto"/>
        </w:rPr>
      </w:pPr>
    </w:p>
    <w:p>
      <w:pPr>
        <w:ind w:left="320" w:hanging="312"/>
        <w:spacing w:after="0"/>
        <w:tabs>
          <w:tab w:leader="none" w:pos="32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Reports and Plans.</w:t>
      </w:r>
    </w:p>
    <w:p>
      <w:pPr>
        <w:spacing w:after="0" w:line="158" w:lineRule="exact"/>
        <w:rPr>
          <w:sz w:val="20"/>
          <w:szCs w:val="20"/>
          <w:color w:val="auto"/>
        </w:rPr>
      </w:pPr>
    </w:p>
    <w:p>
      <w:pPr>
        <w:jc w:val="right"/>
        <w:ind w:left="660"/>
        <w:spacing w:after="0" w:line="22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u w:val="single" w:color="auto"/>
          <w:color w:val="auto"/>
        </w:rPr>
        <w:t>Reports and Plans</w:t>
      </w:r>
      <w:r>
        <w:rPr>
          <w:rFonts w:ascii="Times New Roman" w:cs="Times New Roman" w:eastAsia="Times New Roman" w:hAnsi="Times New Roman"/>
          <w:sz w:val="18"/>
          <w:szCs w:val="18"/>
          <w:color w:val="auto"/>
        </w:rPr>
        <w:t>. Utilizing the report forms in Appendices 2 and 3, incorporated herein by reference, Licensee shall provide to the attention of OSIF’s payment and reporting contact stated in Appendix 4: (a) an annual written progress report by January 31 of each</w:t>
      </w:r>
    </w:p>
    <w:p>
      <w:pPr>
        <w:ind w:left="1300"/>
        <w:spacing w:after="0" w:line="226" w:lineRule="auto"/>
        <w:rPr>
          <w:sz w:val="20"/>
          <w:szCs w:val="20"/>
          <w:color w:val="auto"/>
        </w:rPr>
      </w:pPr>
      <w:r>
        <w:rPr>
          <w:rFonts w:ascii="Times New Roman" w:cs="Times New Roman" w:eastAsia="Times New Roman" w:hAnsi="Times New Roman"/>
          <w:sz w:val="18"/>
          <w:szCs w:val="18"/>
          <w:color w:val="auto"/>
        </w:rPr>
        <w:t>Contract Year; (b) a payment and royalty report each Contract Period by the Payment Deadline; (c) annual funding and employment survey. If no payments are due in any Contract Period, then Licensee shall submit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9 of 30</w:t>
      </w:r>
    </w:p>
    <w:p>
      <w:pPr>
        <w:sectPr>
          <w:pgSz w:w="11900" w:h="16838" w:orient="portrait"/>
          <w:cols w:equalWidth="0" w:num="1">
            <w:col w:w="11240"/>
          </w:cols>
          <w:pgMar w:left="320" w:top="1404" w:right="339" w:bottom="1440" w:gutter="0" w:footer="0" w:header="0"/>
        </w:sectPr>
      </w:pPr>
    </w:p>
    <w:bookmarkStart w:id="183" w:name="page184"/>
    <w:bookmarkEnd w:id="183"/>
    <w:p>
      <w:pPr>
        <w:jc w:val="both"/>
        <w:ind w:left="1292"/>
        <w:spacing w:after="0" w:line="237" w:lineRule="auto"/>
        <w:rPr>
          <w:sz w:val="20"/>
          <w:szCs w:val="20"/>
          <w:color w:val="auto"/>
        </w:rPr>
      </w:pPr>
      <w:r>
        <w:rPr>
          <w:rFonts w:ascii="Times New Roman" w:cs="Times New Roman" w:eastAsia="Times New Roman" w:hAnsi="Times New Roman"/>
          <w:sz w:val="18"/>
          <w:szCs w:val="18"/>
          <w:color w:val="auto"/>
        </w:rPr>
        <w:t>the report so stating. The obligations in this Section 4.1 are in addition to and not in lieu of the other reporting obligations in this Agreement.</w:t>
      </w:r>
    </w:p>
    <w:p>
      <w:pPr>
        <w:spacing w:after="0" w:line="127" w:lineRule="exact"/>
        <w:rPr>
          <w:sz w:val="20"/>
          <w:szCs w:val="20"/>
          <w:color w:val="auto"/>
        </w:rPr>
      </w:pPr>
    </w:p>
    <w:p>
      <w:pPr>
        <w:jc w:val="right"/>
        <w:ind w:left="652"/>
        <w:spacing w:after="0" w:line="22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u w:val="single" w:color="auto"/>
          <w:color w:val="auto"/>
        </w:rPr>
        <w:t>Financial Statements</w:t>
      </w:r>
      <w:r>
        <w:rPr>
          <w:rFonts w:ascii="Times New Roman" w:cs="Times New Roman" w:eastAsia="Times New Roman" w:hAnsi="Times New Roman"/>
          <w:sz w:val="18"/>
          <w:szCs w:val="18"/>
          <w:color w:val="auto"/>
        </w:rPr>
        <w:t>. The capitalization table set forth as Appendix 5 shows all outstanding, committed and reserved Equity Securities and convertible notes of Licensee as of the date hereof on a Fully-Diluted basis. Upon the consummation of any Equity Financing or at</w:t>
      </w:r>
    </w:p>
    <w:p>
      <w:pPr>
        <w:jc w:val="both"/>
        <w:ind w:left="1292"/>
        <w:spacing w:after="0" w:line="220" w:lineRule="auto"/>
        <w:rPr>
          <w:sz w:val="20"/>
          <w:szCs w:val="20"/>
          <w:color w:val="auto"/>
        </w:rPr>
      </w:pPr>
      <w:r>
        <w:rPr>
          <w:rFonts w:ascii="Times New Roman" w:cs="Times New Roman" w:eastAsia="Times New Roman" w:hAnsi="Times New Roman"/>
          <w:sz w:val="17"/>
          <w:szCs w:val="17"/>
          <w:color w:val="auto"/>
        </w:rPr>
        <w:t>OSIF’s request, Licensee shall provide an updated capitalization table along with a certification from the Licensee’s chief financial officer certifying the tables’ completeness and accuracy and identifying any holders of Equity Securities who are employees of OSU. Any information provided to OSIF under this Section 4.2 shall be the Confidential Information of Licensee and subject to the confidentiality</w:t>
      </w:r>
    </w:p>
    <w:p>
      <w:pPr>
        <w:spacing w:after="0" w:line="2"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and non-use obligations and exceptions in Section 9.</w:t>
      </w:r>
    </w:p>
    <w:p>
      <w:pPr>
        <w:spacing w:after="0" w:line="120" w:lineRule="exact"/>
        <w:rPr>
          <w:sz w:val="20"/>
          <w:szCs w:val="20"/>
          <w:color w:val="auto"/>
        </w:rPr>
      </w:pPr>
    </w:p>
    <w:p>
      <w:pPr>
        <w:ind w:left="312" w:hanging="312"/>
        <w:spacing w:after="0"/>
        <w:tabs>
          <w:tab w:leader="none" w:pos="312"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 Records, and Audits.</w:t>
      </w:r>
    </w:p>
    <w:p>
      <w:pPr>
        <w:spacing w:after="0" w:line="158" w:lineRule="exact"/>
        <w:rPr>
          <w:sz w:val="20"/>
          <w:szCs w:val="20"/>
          <w:color w:val="auto"/>
        </w:rPr>
      </w:pPr>
    </w:p>
    <w:p>
      <w:pPr>
        <w:jc w:val="right"/>
        <w:ind w:left="652"/>
        <w:spacing w:after="0" w:line="22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u w:val="single" w:color="auto"/>
          <w:color w:val="auto"/>
        </w:rPr>
        <w:t>Payments</w:t>
      </w:r>
      <w:r>
        <w:rPr>
          <w:rFonts w:ascii="Times New Roman" w:cs="Times New Roman" w:eastAsia="Times New Roman" w:hAnsi="Times New Roman"/>
          <w:sz w:val="18"/>
          <w:szCs w:val="18"/>
          <w:color w:val="auto"/>
        </w:rPr>
        <w:t>. All amounts referred to in this Agreement are expressed in U.S. dollars without deductions for taxes, assessments, fees, or charges of any kind except as permitted in the definition of Net Sales. All payments to OSIF shall be made in U.S. dollars by check or</w:t>
      </w:r>
    </w:p>
    <w:p>
      <w:pPr>
        <w:jc w:val="both"/>
        <w:ind w:left="1292"/>
        <w:spacing w:after="0" w:line="208" w:lineRule="auto"/>
        <w:rPr>
          <w:sz w:val="20"/>
          <w:szCs w:val="20"/>
          <w:color w:val="auto"/>
        </w:rPr>
      </w:pPr>
      <w:r>
        <w:rPr>
          <w:rFonts w:ascii="Times New Roman" w:cs="Times New Roman" w:eastAsia="Times New Roman" w:hAnsi="Times New Roman"/>
          <w:sz w:val="18"/>
          <w:szCs w:val="18"/>
          <w:color w:val="auto"/>
        </w:rPr>
        <w:t>wire transfer (Licensee to pay all wire or other transfer fees) payable to Ohio State Innovation Foundation as stated in Appendix 4. Licensee may not make any tax or other deductions or withholdings unless required by applicable law from payments to OSIF. If such taxes deductions, or withholdings are required by law, Licensee agrees to reasonably cooperate with OSIF in claiming refunds or</w:t>
      </w:r>
    </w:p>
    <w:p>
      <w:pPr>
        <w:spacing w:after="0" w:line="2"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exemptions from such deductions or withholdings as are available under applicable law.</w:t>
      </w:r>
    </w:p>
    <w:p>
      <w:pPr>
        <w:spacing w:after="0" w:line="120" w:lineRule="exact"/>
        <w:rPr>
          <w:sz w:val="20"/>
          <w:szCs w:val="20"/>
          <w:color w:val="auto"/>
        </w:rPr>
      </w:pPr>
    </w:p>
    <w:p>
      <w:pPr>
        <w:ind w:left="652"/>
        <w:spacing w:after="0"/>
        <w:tabs>
          <w:tab w:leader="none" w:pos="1132"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b w:val="1"/>
          <w:bCs w:val="1"/>
          <w:u w:val="single" w:color="auto"/>
          <w:color w:val="auto"/>
        </w:rPr>
        <w:t>Sales Outside the U.S</w:t>
      </w:r>
      <w:r>
        <w:rPr>
          <w:rFonts w:ascii="Times New Roman" w:cs="Times New Roman" w:eastAsia="Times New Roman" w:hAnsi="Times New Roman"/>
          <w:sz w:val="18"/>
          <w:szCs w:val="18"/>
          <w:color w:val="auto"/>
        </w:rPr>
        <w:t>. If any currency conversion shall be required in connection with the calculation of payments hereunder, such</w:t>
      </w:r>
    </w:p>
    <w:p>
      <w:pPr>
        <w:spacing w:after="0" w:line="6" w:lineRule="exact"/>
        <w:rPr>
          <w:sz w:val="20"/>
          <w:szCs w:val="20"/>
          <w:color w:val="auto"/>
        </w:rPr>
      </w:pPr>
    </w:p>
    <w:p>
      <w:pPr>
        <w:jc w:val="both"/>
        <w:ind w:left="1292"/>
        <w:spacing w:after="0" w:line="226" w:lineRule="auto"/>
        <w:rPr>
          <w:sz w:val="20"/>
          <w:szCs w:val="20"/>
          <w:color w:val="auto"/>
        </w:rPr>
      </w:pPr>
      <w:r>
        <w:rPr>
          <w:rFonts w:ascii="Times New Roman" w:cs="Times New Roman" w:eastAsia="Times New Roman" w:hAnsi="Times New Roman"/>
          <w:sz w:val="18"/>
          <w:szCs w:val="18"/>
          <w:color w:val="auto"/>
        </w:rPr>
        <w:t>conversion shall be made using the rate used by Licensee for its financial reporting purposes in accordance with U.S. Generally Accepted Accounting Principles (or foreign equivalent).</w:t>
      </w:r>
    </w:p>
    <w:p>
      <w:pPr>
        <w:spacing w:after="0" w:line="126" w:lineRule="exact"/>
        <w:rPr>
          <w:sz w:val="20"/>
          <w:szCs w:val="20"/>
          <w:color w:val="auto"/>
        </w:rPr>
      </w:pPr>
    </w:p>
    <w:p>
      <w:pPr>
        <w:jc w:val="both"/>
        <w:ind w:left="1052" w:hanging="647"/>
        <w:spacing w:after="0" w:line="227" w:lineRule="auto"/>
        <w:tabs>
          <w:tab w:leader="none" w:pos="1032"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b w:val="1"/>
          <w:bCs w:val="1"/>
          <w:u w:val="single" w:color="auto"/>
          <w:color w:val="auto"/>
        </w:rPr>
        <w:t>Late Payments</w:t>
      </w:r>
      <w:r>
        <w:rPr>
          <w:rFonts w:ascii="Times New Roman" w:cs="Times New Roman" w:eastAsia="Times New Roman" w:hAnsi="Times New Roman"/>
          <w:sz w:val="18"/>
          <w:szCs w:val="18"/>
          <w:color w:val="auto"/>
        </w:rPr>
        <w:t>. Amounts that are not paid when due shall accrue a late charge from the due date until payment is received by OSIF, at a rate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equal to [***]% per month (or the maximum allowed by law, if less). Acceptance of late payments does not negate or waive any other right or remedy to which OSIF may be entitled.</w:t>
      </w:r>
    </w:p>
    <w:p>
      <w:pPr>
        <w:spacing w:after="0" w:line="128" w:lineRule="exact"/>
        <w:rPr>
          <w:sz w:val="20"/>
          <w:szCs w:val="20"/>
          <w:color w:val="auto"/>
        </w:rPr>
      </w:pPr>
    </w:p>
    <w:p>
      <w:pPr>
        <w:jc w:val="both"/>
        <w:ind w:left="1192" w:hanging="647"/>
        <w:spacing w:after="0" w:line="225" w:lineRule="auto"/>
        <w:tabs>
          <w:tab w:leader="none" w:pos="1172"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b w:val="1"/>
          <w:bCs w:val="1"/>
          <w:u w:val="single" w:color="auto"/>
          <w:color w:val="auto"/>
        </w:rPr>
        <w:t>Records</w:t>
      </w:r>
      <w:r>
        <w:rPr>
          <w:rFonts w:ascii="Times New Roman" w:cs="Times New Roman" w:eastAsia="Times New Roman" w:hAnsi="Times New Roman"/>
          <w:sz w:val="18"/>
          <w:szCs w:val="18"/>
          <w:color w:val="auto"/>
        </w:rPr>
        <w:t>. For a period of [***] years after the Contract Period to which the records pertain, Licensee agrees that it, Affiliates and</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Sublicensees shall keep complete and accurate records pertaining to any consideration relating to this Agreement and/or Sublicense</w:t>
      </w:r>
    </w:p>
    <w:p>
      <w:pPr>
        <w:ind w:left="1292"/>
        <w:spacing w:after="0" w:line="226" w:lineRule="auto"/>
        <w:rPr>
          <w:sz w:val="20"/>
          <w:szCs w:val="20"/>
          <w:color w:val="auto"/>
        </w:rPr>
      </w:pPr>
      <w:r>
        <w:rPr>
          <w:rFonts w:ascii="Times New Roman" w:cs="Times New Roman" w:eastAsia="Times New Roman" w:hAnsi="Times New Roman"/>
          <w:sz w:val="18"/>
          <w:szCs w:val="18"/>
          <w:color w:val="auto"/>
        </w:rPr>
        <w:t>Agreements, including Net Sales, Royalty payment calculations, Milestone Fees, Equity Financing and Non-Royalty Sublicensing Consideration, in sufficient detail to enable payments or securities due hereunder to be determined and audited.</w:t>
      </w:r>
    </w:p>
    <w:p>
      <w:pPr>
        <w:spacing w:after="0" w:line="126" w:lineRule="exact"/>
        <w:rPr>
          <w:sz w:val="20"/>
          <w:szCs w:val="20"/>
          <w:color w:val="auto"/>
        </w:rPr>
      </w:pPr>
    </w:p>
    <w:p>
      <w:pPr>
        <w:jc w:val="both"/>
        <w:ind w:left="1152" w:hanging="647"/>
        <w:spacing w:after="0" w:line="214" w:lineRule="auto"/>
        <w:tabs>
          <w:tab w:leader="none" w:pos="1132"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b w:val="1"/>
          <w:bCs w:val="1"/>
          <w:u w:val="single" w:color="auto"/>
          <w:color w:val="auto"/>
        </w:rPr>
        <w:t>Auditing</w:t>
      </w:r>
      <w:r>
        <w:rPr>
          <w:rFonts w:ascii="Times New Roman" w:cs="Times New Roman" w:eastAsia="Times New Roman" w:hAnsi="Times New Roman"/>
          <w:sz w:val="18"/>
          <w:szCs w:val="18"/>
          <w:color w:val="auto"/>
        </w:rPr>
        <w:t>. OSIF or its representatives, through an independent certified public accountant reasonably acceptable to Licensee, shall be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permitted, at OSIF’s expense, to periodically examine and/or audit the records required by Section 5.4 (“</w:t>
      </w:r>
      <w:r>
        <w:rPr>
          <w:rFonts w:ascii="Times New Roman" w:cs="Times New Roman" w:eastAsia="Times New Roman" w:hAnsi="Times New Roman"/>
          <w:sz w:val="18"/>
          <w:szCs w:val="18"/>
          <w:b w:val="1"/>
          <w:bCs w:val="1"/>
          <w:color w:val="auto"/>
        </w:rPr>
        <w:t>Examination</w:t>
      </w:r>
      <w:r>
        <w:rPr>
          <w:rFonts w:ascii="Times New Roman" w:cs="Times New Roman" w:eastAsia="Times New Roman" w:hAnsi="Times New Roman"/>
          <w:sz w:val="18"/>
          <w:szCs w:val="18"/>
          <w:color w:val="auto"/>
        </w:rPr>
        <w:t>”) during regular business hours, at Licensee’s or its Affiliates’ place of business, on at least [***] days advance notice, to verify any payment, securities or report relating to this Agreement and/or any Sublicense Agreement. For each Sublicensee, Licensee shall obtain comparable Examination</w:t>
      </w:r>
    </w:p>
    <w:p>
      <w:pPr>
        <w:spacing w:after="0" w:line="1" w:lineRule="exact"/>
        <w:rPr>
          <w:sz w:val="20"/>
          <w:szCs w:val="20"/>
          <w:color w:val="auto"/>
        </w:rPr>
      </w:pPr>
    </w:p>
    <w:p>
      <w:pPr>
        <w:jc w:val="both"/>
        <w:ind w:left="1292"/>
        <w:spacing w:after="0" w:line="208" w:lineRule="auto"/>
        <w:rPr>
          <w:sz w:val="20"/>
          <w:szCs w:val="20"/>
          <w:color w:val="auto"/>
        </w:rPr>
      </w:pPr>
      <w:r>
        <w:rPr>
          <w:rFonts w:ascii="Times New Roman" w:cs="Times New Roman" w:eastAsia="Times New Roman" w:hAnsi="Times New Roman"/>
          <w:sz w:val="18"/>
          <w:szCs w:val="18"/>
          <w:color w:val="auto"/>
        </w:rPr>
        <w:t>rights for itself. If Licensee conducts an Examination of Sublicensee’s records, Licensee shall furnish to OSIF a copy of the findings from such Examination, subject to confidentiality obligations. No more than one Examination of Licensee or its Affiliates shall be conducted under this Section 5.5 in any Contract Year. If any amounts due OSIF have been underpaid as of the date of the Examination, then</w:t>
      </w:r>
    </w:p>
    <w:p>
      <w:pPr>
        <w:spacing w:after="0" w:line="2" w:lineRule="exact"/>
        <w:rPr>
          <w:sz w:val="20"/>
          <w:szCs w:val="20"/>
          <w:color w:val="auto"/>
        </w:rPr>
      </w:pPr>
    </w:p>
    <w:p>
      <w:pPr>
        <w:jc w:val="both"/>
        <w:ind w:left="1292"/>
        <w:spacing w:after="0" w:line="208" w:lineRule="auto"/>
        <w:rPr>
          <w:sz w:val="20"/>
          <w:szCs w:val="20"/>
          <w:color w:val="auto"/>
        </w:rPr>
      </w:pPr>
      <w:r>
        <w:rPr>
          <w:rFonts w:ascii="Times New Roman" w:cs="Times New Roman" w:eastAsia="Times New Roman" w:hAnsi="Times New Roman"/>
          <w:sz w:val="18"/>
          <w:szCs w:val="18"/>
          <w:color w:val="auto"/>
        </w:rPr>
        <w:t>Licensee shall immediately pay OSIF the amount of such uncontested underpayment plus accrued interest due in accordance with Section 5.3. If there is an uncontested overpayment for such periods, then OSIF shall provide to Licensee a credit against future payments (such credit equal to the full amount of that overpayment), or, if Licensee is not obligated to make any future payments, then OSIF shall pay to</w:t>
      </w:r>
    </w:p>
    <w:p>
      <w:pPr>
        <w:spacing w:after="0" w:line="2" w:lineRule="exact"/>
        <w:rPr>
          <w:sz w:val="20"/>
          <w:szCs w:val="20"/>
          <w:color w:val="auto"/>
        </w:rPr>
      </w:pPr>
    </w:p>
    <w:p>
      <w:pPr>
        <w:jc w:val="both"/>
        <w:ind w:left="1292"/>
        <w:spacing w:after="0" w:line="208" w:lineRule="auto"/>
        <w:rPr>
          <w:sz w:val="20"/>
          <w:szCs w:val="20"/>
          <w:color w:val="auto"/>
        </w:rPr>
      </w:pPr>
      <w:r>
        <w:rPr>
          <w:rFonts w:ascii="Times New Roman" w:cs="Times New Roman" w:eastAsia="Times New Roman" w:hAnsi="Times New Roman"/>
          <w:sz w:val="18"/>
          <w:szCs w:val="18"/>
          <w:color w:val="auto"/>
        </w:rPr>
        <w:t>Licensee the full amount of that overpayment. If the amount of any uncontested underpayment is equal to or greater than [***] percent ([***]%) of the total amount due for the records so examined, Licensee shall also reimburse OSIF the costs of such Examination and any collection actions taken. Such Examinations may, at OSIF’s sole discretion, consist of a self-audit conducted by Licensee or its Affiliates</w:t>
      </w:r>
    </w:p>
    <w:p>
      <w:pPr>
        <w:spacing w:after="0" w:line="2"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at their respective expense and certified in writing by an authorized officer of Licensee and/or its Affiliate.</w:t>
      </w:r>
    </w:p>
    <w:p>
      <w:pPr>
        <w:spacing w:after="0" w:line="120" w:lineRule="exact"/>
        <w:rPr>
          <w:sz w:val="20"/>
          <w:szCs w:val="20"/>
          <w:color w:val="auto"/>
        </w:rPr>
      </w:pPr>
    </w:p>
    <w:p>
      <w:pPr>
        <w:ind w:left="312" w:hanging="312"/>
        <w:spacing w:after="0"/>
        <w:tabs>
          <w:tab w:leader="none" w:pos="312"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Intellectual Property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0232"/>
        <w:spacing w:after="0"/>
        <w:rPr>
          <w:sz w:val="20"/>
          <w:szCs w:val="20"/>
          <w:color w:val="auto"/>
        </w:rPr>
      </w:pPr>
      <w:r>
        <w:rPr>
          <w:rFonts w:ascii="Times New Roman" w:cs="Times New Roman" w:eastAsia="Times New Roman" w:hAnsi="Times New Roman"/>
          <w:sz w:val="18"/>
          <w:szCs w:val="18"/>
          <w:color w:val="auto"/>
        </w:rPr>
        <w:t>Page 10 of 30</w:t>
      </w:r>
    </w:p>
    <w:p>
      <w:pPr>
        <w:sectPr>
          <w:pgSz w:w="11900" w:h="16838" w:orient="portrait"/>
          <w:cols w:equalWidth="0" w:num="1">
            <w:col w:w="11232"/>
          </w:cols>
          <w:pgMar w:left="328" w:top="1404" w:right="339" w:bottom="1440" w:gutter="0" w:footer="0" w:header="0"/>
        </w:sectPr>
      </w:pPr>
    </w:p>
    <w:bookmarkStart w:id="184" w:name="page185"/>
    <w:bookmarkEnd w:id="184"/>
    <w:p>
      <w:pPr>
        <w:jc w:val="right"/>
        <w:ind w:left="660"/>
        <w:spacing w:after="0" w:line="22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u w:val="single" w:color="auto"/>
          <w:color w:val="auto"/>
        </w:rPr>
        <w:t>Ongoing Patent Expenses</w:t>
      </w:r>
      <w:r>
        <w:rPr>
          <w:rFonts w:ascii="Times New Roman" w:cs="Times New Roman" w:eastAsia="Times New Roman" w:hAnsi="Times New Roman"/>
          <w:sz w:val="18"/>
          <w:szCs w:val="18"/>
          <w:color w:val="auto"/>
        </w:rPr>
        <w:t>. Licensee shall pay all [***] costs and expenses associated with prosecution or maintenance of the Patent Rights within [***] days after Licensee’s receipt of OSIF’s invoice therefor. Without limitation, failure to strictly comply with Section 6.1 shall</w:t>
      </w:r>
    </w:p>
    <w:p>
      <w:pPr>
        <w:ind w:left="1300"/>
        <w:spacing w:after="0"/>
        <w:rPr>
          <w:sz w:val="20"/>
          <w:szCs w:val="20"/>
          <w:color w:val="auto"/>
        </w:rPr>
      </w:pPr>
      <w:r>
        <w:rPr>
          <w:rFonts w:ascii="Times New Roman" w:cs="Times New Roman" w:eastAsia="Times New Roman" w:hAnsi="Times New Roman"/>
          <w:sz w:val="18"/>
          <w:szCs w:val="18"/>
          <w:color w:val="auto"/>
        </w:rPr>
        <w:t>be considered a payment default under Section 8.3(a).</w:t>
      </w:r>
    </w:p>
    <w:p>
      <w:pPr>
        <w:spacing w:after="0" w:line="12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b w:val="1"/>
          <w:bCs w:val="1"/>
          <w:u w:val="single" w:color="auto"/>
          <w:color w:val="auto"/>
        </w:rPr>
        <w:t>Responsibility &amp; Coordination</w:t>
      </w:r>
      <w:r>
        <w:rPr>
          <w:rFonts w:ascii="Times New Roman" w:cs="Times New Roman" w:eastAsia="Times New Roman" w:hAnsi="Times New Roman"/>
          <w:sz w:val="18"/>
          <w:szCs w:val="18"/>
          <w:color w:val="auto"/>
        </w:rPr>
        <w:t>. In its discretion, OSIF shall control the preparation, prosecution, defense and maintenance of the Patent</w:t>
      </w:r>
    </w:p>
    <w:p>
      <w:pPr>
        <w:spacing w:after="0" w:line="6" w:lineRule="exact"/>
        <w:rPr>
          <w:sz w:val="20"/>
          <w:szCs w:val="20"/>
          <w:color w:val="auto"/>
        </w:rPr>
      </w:pPr>
    </w:p>
    <w:p>
      <w:pPr>
        <w:jc w:val="both"/>
        <w:ind w:left="1300"/>
        <w:spacing w:after="0" w:line="208" w:lineRule="auto"/>
        <w:rPr>
          <w:sz w:val="20"/>
          <w:szCs w:val="20"/>
          <w:color w:val="auto"/>
        </w:rPr>
      </w:pPr>
      <w:r>
        <w:rPr>
          <w:rFonts w:ascii="Times New Roman" w:cs="Times New Roman" w:eastAsia="Times New Roman" w:hAnsi="Times New Roman"/>
          <w:sz w:val="18"/>
          <w:szCs w:val="18"/>
          <w:color w:val="auto"/>
        </w:rPr>
        <w:t>Rights using counsel of its choosing. So long as Licensee is not in default of Section 6.1, OSIF shall instruct such patent counsel to provide copies of all material documents it receives from or submits to patent offices regarding the Patent Rights in the Field of Use and Territory, keep Licensee fully informed of all steps with regard to the preparation, filing, prosecution, and maintenance of the Patent</w:t>
      </w:r>
    </w:p>
    <w:p>
      <w:pPr>
        <w:spacing w:after="0" w:line="2" w:lineRule="exact"/>
        <w:rPr>
          <w:sz w:val="20"/>
          <w:szCs w:val="20"/>
          <w:color w:val="auto"/>
        </w:rPr>
      </w:pPr>
    </w:p>
    <w:p>
      <w:pPr>
        <w:jc w:val="both"/>
        <w:ind w:left="1300"/>
        <w:spacing w:after="0" w:line="208" w:lineRule="auto"/>
        <w:rPr>
          <w:sz w:val="20"/>
          <w:szCs w:val="20"/>
          <w:color w:val="auto"/>
        </w:rPr>
      </w:pPr>
      <w:r>
        <w:rPr>
          <w:rFonts w:ascii="Times New Roman" w:cs="Times New Roman" w:eastAsia="Times New Roman" w:hAnsi="Times New Roman"/>
          <w:sz w:val="18"/>
          <w:szCs w:val="18"/>
          <w:color w:val="auto"/>
        </w:rPr>
        <w:t>Rights, and provide Licensee drafts of any filings or responses to be made to patent office’s sufficiently in advance of submitting such filings or responses so as to allow for a reasonable opportunity for Licensee to review and comment thereon, and OSIF shall reasonably consider Licensee’s comments in good faith, with respect to such drafts and with respect to strategies for filing and prosecuting the Patent</w:t>
      </w:r>
    </w:p>
    <w:p>
      <w:pPr>
        <w:spacing w:after="0" w:line="2" w:lineRule="exact"/>
        <w:rPr>
          <w:sz w:val="20"/>
          <w:szCs w:val="20"/>
          <w:color w:val="auto"/>
        </w:rPr>
      </w:pPr>
    </w:p>
    <w:p>
      <w:pPr>
        <w:jc w:val="both"/>
        <w:ind w:left="1300"/>
        <w:spacing w:after="0" w:line="208" w:lineRule="auto"/>
        <w:rPr>
          <w:sz w:val="20"/>
          <w:szCs w:val="20"/>
          <w:color w:val="auto"/>
        </w:rPr>
      </w:pPr>
      <w:r>
        <w:rPr>
          <w:rFonts w:ascii="Times New Roman" w:cs="Times New Roman" w:eastAsia="Times New Roman" w:hAnsi="Times New Roman"/>
          <w:sz w:val="18"/>
          <w:szCs w:val="18"/>
          <w:color w:val="auto"/>
        </w:rPr>
        <w:t>Rights, when timely provided. OSIF shall pay under large entity designation unless the Licensee and each of its Sublicensees are entitled to claim small entity designation with the USPTO and Licensee has provided OSIF written notice thereof. Licensee shall promptly notify OSIF upon loss of entitlement to small entity designation and, without limitation, pay all costs and expenses associated therewith. OSIF</w:t>
      </w:r>
    </w:p>
    <w:p>
      <w:pPr>
        <w:spacing w:after="0" w:line="2" w:lineRule="exact"/>
        <w:rPr>
          <w:sz w:val="20"/>
          <w:szCs w:val="20"/>
          <w:color w:val="auto"/>
        </w:rPr>
      </w:pPr>
    </w:p>
    <w:p>
      <w:pPr>
        <w:jc w:val="both"/>
        <w:ind w:left="1300"/>
        <w:spacing w:after="0" w:line="208" w:lineRule="auto"/>
        <w:rPr>
          <w:sz w:val="20"/>
          <w:szCs w:val="20"/>
          <w:color w:val="auto"/>
        </w:rPr>
      </w:pPr>
      <w:r>
        <w:rPr>
          <w:rFonts w:ascii="Times New Roman" w:cs="Times New Roman" w:eastAsia="Times New Roman" w:hAnsi="Times New Roman"/>
          <w:sz w:val="18"/>
          <w:szCs w:val="18"/>
          <w:color w:val="auto"/>
        </w:rPr>
        <w:t>shall promptly inform Licensee of any adversarial patent office proceeding or sue sponte filing, including a request for, or filing or declaration of, any interference, opposition, or reexamination relating to the Patent Rights and OSIF shall consider in good faith all comments, requests, and suggestions provided by Licensee. In the event that OSIF decides not to prepare, file, prosecute, or maintain the</w:t>
      </w:r>
    </w:p>
    <w:p>
      <w:pPr>
        <w:spacing w:after="0" w:line="2" w:lineRule="exact"/>
        <w:rPr>
          <w:sz w:val="20"/>
          <w:szCs w:val="20"/>
          <w:color w:val="auto"/>
        </w:rPr>
      </w:pPr>
    </w:p>
    <w:p>
      <w:pPr>
        <w:jc w:val="both"/>
        <w:ind w:left="1300"/>
        <w:spacing w:after="0" w:line="208" w:lineRule="auto"/>
        <w:rPr>
          <w:sz w:val="20"/>
          <w:szCs w:val="20"/>
          <w:color w:val="auto"/>
        </w:rPr>
      </w:pPr>
      <w:r>
        <w:rPr>
          <w:rFonts w:ascii="Times New Roman" w:cs="Times New Roman" w:eastAsia="Times New Roman" w:hAnsi="Times New Roman"/>
          <w:sz w:val="18"/>
          <w:szCs w:val="18"/>
          <w:color w:val="auto"/>
        </w:rPr>
        <w:t>Patent Rights during the Term, (a) OSIF shall provide reasonable prior written notice to Licensee of such intention (which notice shall, in any event, be given no later than [***] days prior to the next deadline for any action that may be taken with respect to such Patent Rights), (b) Licensee shall thereupon have the option, in its sole discretion, to assume the control and direction of the preparation, filing,</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prosecution, and maintenance of such Patent Rights at its sole cost and expense.</w:t>
      </w:r>
    </w:p>
    <w:p>
      <w:pPr>
        <w:spacing w:after="0" w:line="120"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b w:val="1"/>
          <w:bCs w:val="1"/>
          <w:u w:val="single" w:color="auto"/>
          <w:color w:val="auto"/>
        </w:rPr>
        <w:t>Foreign Filings</w:t>
      </w:r>
      <w:r>
        <w:rPr>
          <w:rFonts w:ascii="Times New Roman" w:cs="Times New Roman" w:eastAsia="Times New Roman" w:hAnsi="Times New Roman"/>
          <w:sz w:val="18"/>
          <w:szCs w:val="18"/>
          <w:color w:val="auto"/>
        </w:rPr>
        <w:t>. In addition to the U.S., the Patent Rights shall, subject to applicable bar dates and Licensee’s compliance with Section 6.1,</w:t>
      </w:r>
    </w:p>
    <w:p>
      <w:pPr>
        <w:spacing w:after="0" w:line="6" w:lineRule="exact"/>
        <w:rPr>
          <w:sz w:val="20"/>
          <w:szCs w:val="20"/>
          <w:color w:val="auto"/>
        </w:rPr>
      </w:pPr>
    </w:p>
    <w:p>
      <w:pPr>
        <w:jc w:val="both"/>
        <w:ind w:left="1300"/>
        <w:spacing w:after="0" w:line="208" w:lineRule="auto"/>
        <w:rPr>
          <w:sz w:val="20"/>
          <w:szCs w:val="20"/>
          <w:color w:val="auto"/>
        </w:rPr>
      </w:pPr>
      <w:r>
        <w:rPr>
          <w:rFonts w:ascii="Times New Roman" w:cs="Times New Roman" w:eastAsia="Times New Roman" w:hAnsi="Times New Roman"/>
          <w:sz w:val="18"/>
          <w:szCs w:val="18"/>
          <w:color w:val="auto"/>
        </w:rPr>
        <w:t>be pursued in such foreign countries as Licensee so designates in writing to OSIF in sufficient time to reasonably enable the preparation of such additional filings (in no event less than [***] days prior to any deadline), and in those foreign countries in which OSIF has filed applications prior to the Effective Date. If Licensee does not choose to pursue patent rights in a particular foreign country and OSIF</w:t>
      </w:r>
    </w:p>
    <w:p>
      <w:pPr>
        <w:spacing w:after="0" w:line="2" w:lineRule="exact"/>
        <w:rPr>
          <w:sz w:val="20"/>
          <w:szCs w:val="20"/>
          <w:color w:val="auto"/>
        </w:rPr>
      </w:pPr>
    </w:p>
    <w:p>
      <w:pPr>
        <w:jc w:val="both"/>
        <w:ind w:left="1300"/>
        <w:spacing w:after="0" w:line="226" w:lineRule="auto"/>
        <w:rPr>
          <w:sz w:val="20"/>
          <w:szCs w:val="20"/>
          <w:color w:val="auto"/>
        </w:rPr>
      </w:pPr>
      <w:r>
        <w:rPr>
          <w:rFonts w:ascii="Times New Roman" w:cs="Times New Roman" w:eastAsia="Times New Roman" w:hAnsi="Times New Roman"/>
          <w:sz w:val="18"/>
          <w:szCs w:val="18"/>
          <w:color w:val="auto"/>
        </w:rPr>
        <w:t>chooses to do so, Licensee shall so notify OSIF, and thereafter said patent application or patent shall no longer be included in the Licensed Subject Matter and Licensee shall have no further rights thereto.</w:t>
      </w:r>
    </w:p>
    <w:p>
      <w:pPr>
        <w:spacing w:after="0" w:line="126" w:lineRule="exact"/>
        <w:rPr>
          <w:sz w:val="20"/>
          <w:szCs w:val="20"/>
          <w:color w:val="auto"/>
        </w:rPr>
      </w:pPr>
    </w:p>
    <w:p>
      <w:pPr>
        <w:jc w:val="both"/>
        <w:ind w:left="1060" w:hanging="647"/>
        <w:spacing w:after="0" w:line="217" w:lineRule="auto"/>
        <w:tabs>
          <w:tab w:leader="none" w:pos="10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b w:val="1"/>
          <w:bCs w:val="1"/>
          <w:u w:val="single" w:color="auto"/>
          <w:color w:val="auto"/>
        </w:rPr>
        <w:t>Withdrawal from Paving Patent Costs</w:t>
      </w:r>
      <w:r>
        <w:rPr>
          <w:rFonts w:ascii="Times New Roman" w:cs="Times New Roman" w:eastAsia="Times New Roman" w:hAnsi="Times New Roman"/>
          <w:sz w:val="18"/>
          <w:szCs w:val="18"/>
          <w:color w:val="auto"/>
        </w:rPr>
        <w:t>. If at any time Licensee wishes to cease paying for any costs for a particular Patent Right, including</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for patent prosecution in a particular jurisdiction, Licensee must give OSIF at least [***] days prior written notice and Licensee shall continue to be obligated under Section 6.1 for costs and expenses incurred during said notice period. Thereafter, said patent application or</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patent shall no longer be included in the Licensed Subject Matter and Licensee shall have no further rights thereto.</w:t>
      </w:r>
    </w:p>
    <w:p>
      <w:pPr>
        <w:spacing w:after="0" w:line="120" w:lineRule="exact"/>
        <w:rPr>
          <w:sz w:val="20"/>
          <w:szCs w:val="20"/>
          <w:color w:val="auto"/>
        </w:rPr>
      </w:pPr>
    </w:p>
    <w:p>
      <w:pPr>
        <w:jc w:val="both"/>
        <w:ind w:left="1060" w:hanging="647"/>
        <w:spacing w:after="0" w:line="225" w:lineRule="auto"/>
        <w:tabs>
          <w:tab w:leader="none" w:pos="10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b w:val="1"/>
          <w:bCs w:val="1"/>
          <w:u w:val="single" w:color="auto"/>
          <w:color w:val="auto"/>
        </w:rPr>
        <w:t>Challenge</w:t>
      </w:r>
      <w:r>
        <w:rPr>
          <w:rFonts w:ascii="Times New Roman" w:cs="Times New Roman" w:eastAsia="Times New Roman" w:hAnsi="Times New Roman"/>
          <w:sz w:val="18"/>
          <w:szCs w:val="18"/>
          <w:color w:val="auto"/>
        </w:rPr>
        <w:t>. In the event Licensee, its Affiliate and/or any Sublicensee intends to challenge the validity or enforce ability of any of the Patent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Rights, whether through a declaratory judgment action, opposition, post-grant proceeding or otherwise, then Licensee shall: (a) give</w:t>
      </w:r>
    </w:p>
    <w:p>
      <w:pPr>
        <w:jc w:val="both"/>
        <w:ind w:left="1300"/>
        <w:spacing w:after="0" w:line="208" w:lineRule="auto"/>
        <w:rPr>
          <w:sz w:val="20"/>
          <w:szCs w:val="20"/>
          <w:color w:val="auto"/>
        </w:rPr>
      </w:pPr>
      <w:r>
        <w:rPr>
          <w:rFonts w:ascii="Times New Roman" w:cs="Times New Roman" w:eastAsia="Times New Roman" w:hAnsi="Times New Roman"/>
          <w:sz w:val="18"/>
          <w:szCs w:val="18"/>
          <w:color w:val="auto"/>
        </w:rPr>
        <w:t>OSIF [***] days prior written notice; (b) continue to make all payments due hereunder directly to OSIF; and (c) have no right to pay into escrow or other account any amounts due OSIF. For purposes of clarity, no payment made to OSIF is refundable or may be offset, including any amounts paid under this Agreement prior to or during the period of the challenge, even if the challenge is successful or it is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otherwise determined that the Patent Rights are invalid or unenforceable.</w:t>
      </w:r>
    </w:p>
    <w:p>
      <w:pPr>
        <w:spacing w:after="0" w:line="120" w:lineRule="exact"/>
        <w:rPr>
          <w:sz w:val="20"/>
          <w:szCs w:val="20"/>
          <w:color w:val="auto"/>
        </w:rPr>
      </w:pPr>
    </w:p>
    <w:p>
      <w:pPr>
        <w:ind w:left="320" w:hanging="312"/>
        <w:spacing w:after="0"/>
        <w:tabs>
          <w:tab w:leader="none" w:pos="32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Infringement and Litigation.</w:t>
      </w:r>
    </w:p>
    <w:p>
      <w:pPr>
        <w:spacing w:after="0" w:line="158" w:lineRule="exact"/>
        <w:rPr>
          <w:sz w:val="20"/>
          <w:szCs w:val="20"/>
          <w:color w:val="auto"/>
        </w:rPr>
      </w:pPr>
    </w:p>
    <w:p>
      <w:pPr>
        <w:jc w:val="right"/>
        <w:ind w:left="660"/>
        <w:spacing w:after="0" w:line="225"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u w:val="single" w:color="auto"/>
          <w:color w:val="auto"/>
        </w:rPr>
        <w:t>Licensee’s Enforcement Rights</w:t>
      </w:r>
      <w:r>
        <w:rPr>
          <w:rFonts w:ascii="Times New Roman" w:cs="Times New Roman" w:eastAsia="Times New Roman" w:hAnsi="Times New Roman"/>
          <w:sz w:val="18"/>
          <w:szCs w:val="18"/>
          <w:color w:val="auto"/>
        </w:rPr>
        <w:t>. In the event that OSIF or Licensee believes there is infringement of any Patent Rights under this Agreement, including actual or alleged infringement under 35 USC §271(e)(2) that is or would be infringing activity involving the using,</w:t>
      </w:r>
    </w:p>
    <w:p>
      <w:pPr>
        <w:jc w:val="both"/>
        <w:ind w:left="1300"/>
        <w:spacing w:after="0" w:line="218" w:lineRule="auto"/>
        <w:rPr>
          <w:sz w:val="20"/>
          <w:szCs w:val="20"/>
          <w:color w:val="auto"/>
        </w:rPr>
      </w:pPr>
      <w:r>
        <w:rPr>
          <w:rFonts w:ascii="Times New Roman" w:cs="Times New Roman" w:eastAsia="Times New Roman" w:hAnsi="Times New Roman"/>
          <w:sz w:val="18"/>
          <w:szCs w:val="18"/>
          <w:color w:val="auto"/>
        </w:rPr>
        <w:t>making, importing, offering for sale or selling of articles that the Party reasonably believes infringes any of the Patent Rights conferred under this Agreement, or becomes aware of a filed or threatened action by a party relating to the infringement, validity, or enforceability of the Patent Rights, the Party shall notify the other Party promptly, including all information available to such Party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11 of 30</w:t>
      </w:r>
    </w:p>
    <w:p>
      <w:pPr>
        <w:sectPr>
          <w:pgSz w:w="11900" w:h="16838" w:orient="portrait"/>
          <w:cols w:equalWidth="0" w:num="1">
            <w:col w:w="11240"/>
          </w:cols>
          <w:pgMar w:left="320" w:top="1400" w:right="339" w:bottom="1440" w:gutter="0" w:footer="0" w:header="0"/>
        </w:sectPr>
      </w:pPr>
    </w:p>
    <w:bookmarkStart w:id="185" w:name="page186"/>
    <w:bookmarkEnd w:id="185"/>
    <w:p>
      <w:pPr>
        <w:jc w:val="both"/>
        <w:ind w:left="1292"/>
        <w:spacing w:after="0" w:line="222" w:lineRule="auto"/>
        <w:rPr>
          <w:sz w:val="20"/>
          <w:szCs w:val="20"/>
          <w:color w:val="auto"/>
        </w:rPr>
      </w:pPr>
      <w:r>
        <w:rPr>
          <w:rFonts w:ascii="Times New Roman" w:cs="Times New Roman" w:eastAsia="Times New Roman" w:hAnsi="Times New Roman"/>
          <w:sz w:val="18"/>
          <w:szCs w:val="18"/>
          <w:color w:val="auto"/>
        </w:rPr>
        <w:t>to such alleged infringement or action. Licensee shall have the first right, in its discretion, to commence abatement of the infringement in the Field of Use and in the Territory, within a period of [***] months from notice of the infringement, provided OSIF is kept fully</w:t>
      </w:r>
    </w:p>
    <w:p>
      <w:pPr>
        <w:spacing w:after="0" w:line="2" w:lineRule="exact"/>
        <w:rPr>
          <w:sz w:val="20"/>
          <w:szCs w:val="20"/>
          <w:color w:val="auto"/>
        </w:rPr>
      </w:pPr>
    </w:p>
    <w:p>
      <w:pPr>
        <w:jc w:val="both"/>
        <w:ind w:left="1292"/>
        <w:spacing w:after="0" w:line="208" w:lineRule="auto"/>
        <w:rPr>
          <w:sz w:val="20"/>
          <w:szCs w:val="20"/>
          <w:color w:val="auto"/>
        </w:rPr>
      </w:pPr>
      <w:r>
        <w:rPr>
          <w:rFonts w:ascii="Times New Roman" w:cs="Times New Roman" w:eastAsia="Times New Roman" w:hAnsi="Times New Roman"/>
          <w:sz w:val="18"/>
          <w:szCs w:val="18"/>
          <w:color w:val="auto"/>
        </w:rPr>
        <w:t>informed and given the opportunity to advise and comment thereon. Licensee shall exercise reasonable efforts to take into account all reasonable comments timely offered from or on behalf of OSIF. Licensee shall be responsible for payment of costs associated with such abatement, including those costs and expenses incurred by OSIF in providing cooperation or joining an enforcement action as a party as</w:t>
      </w:r>
    </w:p>
    <w:p>
      <w:pPr>
        <w:spacing w:after="0" w:line="2" w:lineRule="exact"/>
        <w:rPr>
          <w:sz w:val="20"/>
          <w:szCs w:val="20"/>
          <w:color w:val="auto"/>
        </w:rPr>
      </w:pPr>
    </w:p>
    <w:p>
      <w:pPr>
        <w:jc w:val="both"/>
        <w:ind w:left="1292"/>
        <w:spacing w:after="0" w:line="208" w:lineRule="auto"/>
        <w:rPr>
          <w:sz w:val="20"/>
          <w:szCs w:val="20"/>
          <w:color w:val="auto"/>
        </w:rPr>
      </w:pPr>
      <w:r>
        <w:rPr>
          <w:rFonts w:ascii="Times New Roman" w:cs="Times New Roman" w:eastAsia="Times New Roman" w:hAnsi="Times New Roman"/>
          <w:sz w:val="18"/>
          <w:szCs w:val="18"/>
          <w:color w:val="auto"/>
        </w:rPr>
        <w:t>provided in Section 7.3. In the event that Licensee exercises the rights conferred in this Section 7.1 and recovers any damages or other sums in such, action, suit or proceeding or in settlement thereof, such damages or other sums recovered shall first be applied to all reasonable out- of-pocket costs and expenses incurred by each of the Parties in connection therewith, including attorneys’ fees. If such</w:t>
      </w:r>
    </w:p>
    <w:p>
      <w:pPr>
        <w:spacing w:after="0" w:line="2" w:lineRule="exact"/>
        <w:rPr>
          <w:sz w:val="20"/>
          <w:szCs w:val="20"/>
          <w:color w:val="auto"/>
        </w:rPr>
      </w:pPr>
    </w:p>
    <w:p>
      <w:pPr>
        <w:jc w:val="both"/>
        <w:ind w:left="1292"/>
        <w:spacing w:after="0" w:line="218" w:lineRule="auto"/>
        <w:rPr>
          <w:sz w:val="20"/>
          <w:szCs w:val="20"/>
          <w:color w:val="auto"/>
        </w:rPr>
      </w:pPr>
      <w:r>
        <w:rPr>
          <w:rFonts w:ascii="Times New Roman" w:cs="Times New Roman" w:eastAsia="Times New Roman" w:hAnsi="Times New Roman"/>
          <w:sz w:val="18"/>
          <w:szCs w:val="18"/>
          <w:color w:val="auto"/>
        </w:rPr>
        <w:t>recovery is insufficient to cover all such costs and expenses of both Parties, it shall be shared in proportion to the total of such costs and expenses incurred by each Party. If after such reimbursement any funds shall remain from such damages or other sums recovered, [***] percent ([***]%) of such funds shall be retained by Licensee and [***] percent ([***]%) shall be provided to OSIF.</w:t>
      </w:r>
    </w:p>
    <w:p>
      <w:pPr>
        <w:spacing w:after="0" w:line="127" w:lineRule="exact"/>
        <w:rPr>
          <w:sz w:val="20"/>
          <w:szCs w:val="20"/>
          <w:color w:val="auto"/>
        </w:rPr>
      </w:pPr>
    </w:p>
    <w:p>
      <w:pPr>
        <w:jc w:val="right"/>
        <w:ind w:left="652"/>
        <w:spacing w:after="0" w:line="225"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u w:val="single" w:color="auto"/>
          <w:color w:val="auto"/>
        </w:rPr>
        <w:t>OSIF’s Enforcement Rights</w:t>
      </w:r>
      <w:r>
        <w:rPr>
          <w:rFonts w:ascii="Times New Roman" w:cs="Times New Roman" w:eastAsia="Times New Roman" w:hAnsi="Times New Roman"/>
          <w:sz w:val="18"/>
          <w:szCs w:val="18"/>
          <w:color w:val="auto"/>
        </w:rPr>
        <w:t>. After the [***] month period described in Section 7.1, or earlier if Licensee provides written notice to OSIF that Licensee does not intend to initiate abatement, then OSIF shall have the right, at its sole discretion, to abate the infringement or</w:t>
      </w:r>
    </w:p>
    <w:p>
      <w:pPr>
        <w:jc w:val="both"/>
        <w:ind w:left="1292"/>
        <w:spacing w:after="0" w:line="208" w:lineRule="auto"/>
        <w:rPr>
          <w:sz w:val="20"/>
          <w:szCs w:val="20"/>
          <w:color w:val="auto"/>
        </w:rPr>
      </w:pPr>
      <w:r>
        <w:rPr>
          <w:rFonts w:ascii="Times New Roman" w:cs="Times New Roman" w:eastAsia="Times New Roman" w:hAnsi="Times New Roman"/>
          <w:sz w:val="18"/>
          <w:szCs w:val="18"/>
          <w:color w:val="auto"/>
        </w:rPr>
        <w:t>potential infringement, provided Licensee is kept fully informed and given the opportunity to advise and comment thereon. OSIF shall exercise reasonable efforts to take into account all reasonable comments timely offered from or on behalf of Licensee. OSIF shall be responsible for payment of all costs and expenses associated with such abatement, including those costs and expenses incurred by</w:t>
      </w:r>
    </w:p>
    <w:p>
      <w:pPr>
        <w:spacing w:after="0" w:line="2" w:lineRule="exact"/>
        <w:rPr>
          <w:sz w:val="20"/>
          <w:szCs w:val="20"/>
          <w:color w:val="auto"/>
        </w:rPr>
      </w:pPr>
    </w:p>
    <w:p>
      <w:pPr>
        <w:jc w:val="both"/>
        <w:ind w:left="1292"/>
        <w:spacing w:after="0" w:line="208" w:lineRule="auto"/>
        <w:rPr>
          <w:sz w:val="20"/>
          <w:szCs w:val="20"/>
          <w:color w:val="auto"/>
        </w:rPr>
      </w:pPr>
      <w:r>
        <w:rPr>
          <w:rFonts w:ascii="Times New Roman" w:cs="Times New Roman" w:eastAsia="Times New Roman" w:hAnsi="Times New Roman"/>
          <w:sz w:val="18"/>
          <w:szCs w:val="18"/>
          <w:color w:val="auto"/>
        </w:rPr>
        <w:t>Licensee in providing cooperation or joining an enforcement action as a party as provided in Section 7.3. In the event that OSIF exercises the rights conferred in this Section 7.2 and recovers any damages or other sums in such action, suit or proceeding or in settlement thereof, such damages or other sums recovered shall first be applied to all reasonable out-of-pocket costs and expenses incurred by the Parties in</w:t>
      </w:r>
    </w:p>
    <w:p>
      <w:pPr>
        <w:spacing w:after="0" w:line="2" w:lineRule="exact"/>
        <w:rPr>
          <w:sz w:val="20"/>
          <w:szCs w:val="20"/>
          <w:color w:val="auto"/>
        </w:rPr>
      </w:pPr>
    </w:p>
    <w:p>
      <w:pPr>
        <w:jc w:val="both"/>
        <w:ind w:left="1292"/>
        <w:spacing w:after="0" w:line="208" w:lineRule="auto"/>
        <w:rPr>
          <w:sz w:val="20"/>
          <w:szCs w:val="20"/>
          <w:color w:val="auto"/>
        </w:rPr>
      </w:pPr>
      <w:r>
        <w:rPr>
          <w:rFonts w:ascii="Times New Roman" w:cs="Times New Roman" w:eastAsia="Times New Roman" w:hAnsi="Times New Roman"/>
          <w:sz w:val="18"/>
          <w:szCs w:val="18"/>
          <w:color w:val="auto"/>
        </w:rPr>
        <w:t>connection therewith, including attorneys’ fees. If such recovery is insufficient to cover all such costs and expenses of both Parties, it shall be shared in proportion to the total of such costs and expenses incurred by each Party. If after such reimbursement any funds shall remain from such damages or other sums recovered, [***] ([***]%) of such funds shall be retained by OSIF and [***] percent ([***]%)</w:t>
      </w:r>
    </w:p>
    <w:p>
      <w:pPr>
        <w:spacing w:after="0" w:line="2"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shall be provided to Licensee.</w:t>
      </w:r>
    </w:p>
    <w:p>
      <w:pPr>
        <w:spacing w:after="0" w:line="120" w:lineRule="exact"/>
        <w:rPr>
          <w:sz w:val="20"/>
          <w:szCs w:val="20"/>
          <w:color w:val="auto"/>
        </w:rPr>
      </w:pPr>
    </w:p>
    <w:p>
      <w:pPr>
        <w:ind w:left="652"/>
        <w:spacing w:after="0"/>
        <w:tabs>
          <w:tab w:leader="none" w:pos="1072"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b w:val="1"/>
          <w:bCs w:val="1"/>
          <w:u w:val="single" w:color="auto"/>
          <w:color w:val="auto"/>
        </w:rPr>
        <w:t>Cooperation between OSIF and Licensee</w:t>
      </w:r>
      <w:r>
        <w:rPr>
          <w:rFonts w:ascii="Times New Roman" w:cs="Times New Roman" w:eastAsia="Times New Roman" w:hAnsi="Times New Roman"/>
          <w:sz w:val="18"/>
          <w:szCs w:val="18"/>
          <w:color w:val="auto"/>
        </w:rPr>
        <w:t>. In any infringement suit or dispute regarding the Patent Rights, the Parties agree to cooperate</w:t>
      </w:r>
    </w:p>
    <w:p>
      <w:pPr>
        <w:spacing w:after="0" w:line="6" w:lineRule="exact"/>
        <w:rPr>
          <w:sz w:val="20"/>
          <w:szCs w:val="20"/>
          <w:color w:val="auto"/>
        </w:rPr>
      </w:pPr>
    </w:p>
    <w:p>
      <w:pPr>
        <w:jc w:val="both"/>
        <w:ind w:left="1292"/>
        <w:spacing w:after="0" w:line="218" w:lineRule="auto"/>
        <w:rPr>
          <w:sz w:val="20"/>
          <w:szCs w:val="20"/>
          <w:color w:val="auto"/>
        </w:rPr>
      </w:pPr>
      <w:r>
        <w:rPr>
          <w:rFonts w:ascii="Times New Roman" w:cs="Times New Roman" w:eastAsia="Times New Roman" w:hAnsi="Times New Roman"/>
          <w:sz w:val="18"/>
          <w:szCs w:val="18"/>
          <w:color w:val="auto"/>
        </w:rPr>
        <w:t>fully with each other in a reasonable manner. OSIF hereby agrees to be joined as a plaintiff to any enforcement action or proceeding to the extent required by law for Licensee to enforce the Patent Rights, provided costs and expenses are being reimbursed as allocated herein.</w:t>
      </w:r>
    </w:p>
    <w:p>
      <w:pPr>
        <w:spacing w:after="0" w:line="127" w:lineRule="exact"/>
        <w:rPr>
          <w:sz w:val="20"/>
          <w:szCs w:val="20"/>
          <w:color w:val="auto"/>
        </w:rPr>
      </w:pPr>
    </w:p>
    <w:p>
      <w:pPr>
        <w:ind w:left="312" w:hanging="312"/>
        <w:spacing w:after="0"/>
        <w:tabs>
          <w:tab w:leader="none" w:pos="312"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 and Termination.</w:t>
      </w:r>
    </w:p>
    <w:p>
      <w:pPr>
        <w:spacing w:after="0" w:line="158" w:lineRule="exact"/>
        <w:rPr>
          <w:sz w:val="20"/>
          <w:szCs w:val="20"/>
          <w:color w:val="auto"/>
        </w:rPr>
      </w:pPr>
    </w:p>
    <w:p>
      <w:pPr>
        <w:ind w:left="1052" w:hanging="647"/>
        <w:spacing w:after="0" w:line="239" w:lineRule="auto"/>
        <w:tabs>
          <w:tab w:leader="none" w:pos="1032"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Unless earlier terminated as provided herein, the term of this Agreement shall commence on the Effective Date and continue until the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longer of: (a) the last to expire of the Patent Rights; or (b) Licensee’s obligation to pay Royalties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652"/>
        <w:spacing w:after="0"/>
        <w:tabs>
          <w:tab w:leader="none" w:pos="1052"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b w:val="1"/>
          <w:bCs w:val="1"/>
          <w:u w:val="single" w:color="auto"/>
          <w:color w:val="auto"/>
        </w:rPr>
        <w:t>Termination by Licensee</w:t>
      </w:r>
      <w:r>
        <w:rPr>
          <w:rFonts w:ascii="Times New Roman" w:cs="Times New Roman" w:eastAsia="Times New Roman" w:hAnsi="Times New Roman"/>
          <w:sz w:val="18"/>
          <w:szCs w:val="18"/>
          <w:color w:val="auto"/>
        </w:rPr>
        <w:t>. Licensee, at its option, may terminate this Agreement by providing OSIF written notice of termination, and such</w:t>
      </w:r>
    </w:p>
    <w:p>
      <w:pPr>
        <w:spacing w:after="0" w:line="6" w:lineRule="exact"/>
        <w:rPr>
          <w:sz w:val="20"/>
          <w:szCs w:val="20"/>
          <w:color w:val="auto"/>
        </w:rPr>
      </w:pPr>
    </w:p>
    <w:p>
      <w:pPr>
        <w:ind w:left="1292"/>
        <w:spacing w:after="0" w:line="226" w:lineRule="auto"/>
        <w:rPr>
          <w:sz w:val="20"/>
          <w:szCs w:val="20"/>
          <w:color w:val="auto"/>
        </w:rPr>
      </w:pPr>
      <w:r>
        <w:rPr>
          <w:rFonts w:ascii="Times New Roman" w:cs="Times New Roman" w:eastAsia="Times New Roman" w:hAnsi="Times New Roman"/>
          <w:sz w:val="18"/>
          <w:szCs w:val="18"/>
          <w:color w:val="auto"/>
        </w:rPr>
        <w:t>termination shall become effective [***] days after receipt of such notice by OSIF or, if OSIF is in material breach, termination shall become effective [***] days after receipt of Licensee’s notice of termination.</w:t>
      </w:r>
    </w:p>
    <w:p>
      <w:pPr>
        <w:spacing w:after="0" w:line="126" w:lineRule="exact"/>
        <w:rPr>
          <w:sz w:val="20"/>
          <w:szCs w:val="20"/>
          <w:color w:val="auto"/>
        </w:rPr>
      </w:pPr>
    </w:p>
    <w:p>
      <w:pPr>
        <w:ind w:left="1072" w:hanging="647"/>
        <w:spacing w:after="0" w:line="239" w:lineRule="auto"/>
        <w:tabs>
          <w:tab w:leader="none" w:pos="1052"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b w:val="1"/>
          <w:bCs w:val="1"/>
          <w:u w:val="single" w:color="auto"/>
          <w:color w:val="auto"/>
        </w:rPr>
        <w:t>Termination by OSIF</w:t>
      </w:r>
      <w:r>
        <w:rPr>
          <w:rFonts w:ascii="Times New Roman" w:cs="Times New Roman" w:eastAsia="Times New Roman" w:hAnsi="Times New Roman"/>
          <w:sz w:val="18"/>
          <w:szCs w:val="18"/>
          <w:color w:val="auto"/>
        </w:rPr>
        <w:t>. OSIF, at its option, may immediately terminate this Agreement, in whole or in part, upon delivery of written notice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to Licensee of OSIF’s decision to terminate, if any of the following occur:</w:t>
      </w:r>
    </w:p>
    <w:p>
      <w:pPr>
        <w:spacing w:after="0" w:line="132" w:lineRule="exact"/>
        <w:rPr>
          <w:sz w:val="20"/>
          <w:szCs w:val="20"/>
          <w:color w:val="auto"/>
        </w:rPr>
      </w:pPr>
    </w:p>
    <w:p>
      <w:pPr>
        <w:ind w:left="1952" w:hanging="656"/>
        <w:spacing w:after="0" w:line="226" w:lineRule="auto"/>
        <w:tabs>
          <w:tab w:leader="none" w:pos="173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Licensee has failed to make any payment when due under this Agreement, and does not make the required payment within [***] days after delivery of written notice thereof from OSIF, provided that if there is a reasonable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dispute regarding such payment obligation, such period shall run from the resolution of such dispute to the extent payment is required;</w:t>
      </w:r>
    </w:p>
    <w:p>
      <w:pPr>
        <w:spacing w:after="0" w:line="130" w:lineRule="exact"/>
        <w:rPr>
          <w:rFonts w:ascii="Times New Roman" w:cs="Times New Roman" w:eastAsia="Times New Roman" w:hAnsi="Times New Roman"/>
          <w:sz w:val="18"/>
          <w:szCs w:val="18"/>
          <w:color w:val="auto"/>
        </w:rPr>
      </w:pPr>
    </w:p>
    <w:p>
      <w:pPr>
        <w:ind w:left="1952" w:hanging="656"/>
        <w:spacing w:after="0" w:line="237" w:lineRule="auto"/>
        <w:tabs>
          <w:tab w:leader="none" w:pos="173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is in material breach of any non-payment provision of this Agreement (except for breaches under Section 2.5), and does not cure such breach within [***] days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232"/>
        <w:spacing w:after="0"/>
        <w:rPr>
          <w:sz w:val="20"/>
          <w:szCs w:val="20"/>
          <w:color w:val="auto"/>
        </w:rPr>
      </w:pPr>
      <w:r>
        <w:rPr>
          <w:rFonts w:ascii="Times New Roman" w:cs="Times New Roman" w:eastAsia="Times New Roman" w:hAnsi="Times New Roman"/>
          <w:sz w:val="18"/>
          <w:szCs w:val="18"/>
          <w:color w:val="auto"/>
        </w:rPr>
        <w:t>Page 12 of 30</w:t>
      </w:r>
    </w:p>
    <w:p>
      <w:pPr>
        <w:sectPr>
          <w:pgSz w:w="11900" w:h="16838" w:orient="portrait"/>
          <w:cols w:equalWidth="0" w:num="1">
            <w:col w:w="11232"/>
          </w:cols>
          <w:pgMar w:left="328" w:top="1404" w:right="339" w:bottom="1440" w:gutter="0" w:footer="0" w:header="0"/>
        </w:sectPr>
      </w:pPr>
    </w:p>
    <w:bookmarkStart w:id="186" w:name="page187"/>
    <w:bookmarkEnd w:id="186"/>
    <w:p>
      <w:pPr>
        <w:ind w:left="1300"/>
        <w:spacing w:after="0" w:line="222" w:lineRule="auto"/>
        <w:rPr>
          <w:sz w:val="20"/>
          <w:szCs w:val="20"/>
          <w:color w:val="auto"/>
        </w:rPr>
      </w:pPr>
      <w:r>
        <w:rPr>
          <w:rFonts w:ascii="Times New Roman" w:cs="Times New Roman" w:eastAsia="Times New Roman" w:hAnsi="Times New Roman"/>
          <w:sz w:val="18"/>
          <w:szCs w:val="18"/>
          <w:color w:val="auto"/>
        </w:rPr>
        <w:t>delivery of written notice from OSIF. Any such termination of this Agreement under this Section 8.3(b) shall become effective at the end of the applicable cure period, unless Licensee has cured any such breach or default prior to the expiration of such cure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period; [***]; or</w:t>
      </w:r>
    </w:p>
    <w:p>
      <w:pPr>
        <w:spacing w:after="0" w:line="124" w:lineRule="exact"/>
        <w:rPr>
          <w:sz w:val="20"/>
          <w:szCs w:val="20"/>
          <w:color w:val="auto"/>
        </w:rPr>
      </w:pPr>
    </w:p>
    <w:p>
      <w:pPr>
        <w:ind w:left="1300" w:hanging="656"/>
        <w:spacing w:after="0" w:line="231" w:lineRule="auto"/>
        <w:tabs>
          <w:tab w:leader="none" w:pos="102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prohibited by applicable law, Licensee or its Affiliate or Sublicensee initiates any proceeding or action to challenge the validity or enforce ability of one or more of the Licensed Subject Matter, or assists a third party in pursuing such a proceeding or action, subject to subsection (d) below;</w:t>
      </w:r>
    </w:p>
    <w:p>
      <w:pPr>
        <w:spacing w:after="0" w:line="131" w:lineRule="exact"/>
        <w:rPr>
          <w:rFonts w:ascii="Times New Roman" w:cs="Times New Roman" w:eastAsia="Times New Roman" w:hAnsi="Times New Roman"/>
          <w:sz w:val="18"/>
          <w:szCs w:val="18"/>
          <w:color w:val="auto"/>
        </w:rPr>
      </w:pPr>
    </w:p>
    <w:p>
      <w:pPr>
        <w:ind w:left="1300" w:hanging="656"/>
        <w:spacing w:after="0" w:line="226"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proceeding or action by a Sublicensee, as described in subsection (c), above, only if Licensee or its Affiliate does not resolve such challenge such that either the proceeding is ended or the applicable sublicense is terminated within [***] days of receiving notice of such proceeding or action.</w:t>
      </w:r>
    </w:p>
    <w:p>
      <w:pPr>
        <w:spacing w:after="0" w:line="127" w:lineRule="exact"/>
        <w:rPr>
          <w:sz w:val="20"/>
          <w:szCs w:val="20"/>
          <w:color w:val="auto"/>
        </w:rPr>
      </w:pPr>
    </w:p>
    <w:p>
      <w:pPr>
        <w:jc w:val="right"/>
        <w:spacing w:after="0" w:line="225"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u w:val="single" w:color="auto"/>
          <w:color w:val="auto"/>
        </w:rPr>
        <w:t>Bankruptcy</w:t>
      </w:r>
      <w:r>
        <w:rPr>
          <w:rFonts w:ascii="Times New Roman" w:cs="Times New Roman" w:eastAsia="Times New Roman" w:hAnsi="Times New Roman"/>
          <w:sz w:val="18"/>
          <w:szCs w:val="18"/>
          <w:color w:val="auto"/>
        </w:rPr>
        <w:t>. Either Party shall have the right to terminate this Agreement upon notice to the other Party, in the event that a proceeding in bankruptcy or insolvency is filed by or against the Party receiving notice and not withdrawn, removed or vacated within [***] days of</w:t>
      </w:r>
    </w:p>
    <w:p>
      <w:pPr>
        <w:jc w:val="both"/>
        <w:ind w:left="640"/>
        <w:spacing w:after="0" w:line="208" w:lineRule="auto"/>
        <w:rPr>
          <w:sz w:val="20"/>
          <w:szCs w:val="20"/>
          <w:color w:val="auto"/>
        </w:rPr>
      </w:pPr>
      <w:r>
        <w:rPr>
          <w:rFonts w:ascii="Times New Roman" w:cs="Times New Roman" w:eastAsia="Times New Roman" w:hAnsi="Times New Roman"/>
          <w:sz w:val="18"/>
          <w:szCs w:val="18"/>
          <w:color w:val="auto"/>
        </w:rPr>
        <w:t>such filing, or there is adjudication by a court of competent jurisdiction that said Party is bankrupt or insolvent. All rights and licenses granted under or pursuant to this Agreement by either Party are, and shall otherwise be deemed to be, for purposes of Section 365(n) of the United States Bankruptcy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licenses of rights to “intellectual property” as defined under Section 101</w:t>
      </w:r>
    </w:p>
    <w:p>
      <w:pPr>
        <w:spacing w:after="0" w:line="2" w:lineRule="exact"/>
        <w:rPr>
          <w:sz w:val="20"/>
          <w:szCs w:val="20"/>
          <w:color w:val="auto"/>
        </w:rPr>
      </w:pPr>
    </w:p>
    <w:p>
      <w:pPr>
        <w:jc w:val="both"/>
        <w:ind w:left="640"/>
        <w:spacing w:after="0" w:line="208" w:lineRule="auto"/>
        <w:rPr>
          <w:sz w:val="20"/>
          <w:szCs w:val="20"/>
          <w:color w:val="auto"/>
        </w:rPr>
      </w:pPr>
      <w:r>
        <w:rPr>
          <w:rFonts w:ascii="Times New Roman" w:cs="Times New Roman" w:eastAsia="Times New Roman" w:hAnsi="Times New Roman"/>
          <w:sz w:val="18"/>
          <w:szCs w:val="18"/>
          <w:color w:val="auto"/>
        </w:rPr>
        <w:t>of the Bankruptcy Code. The Parties agree that the Parties, as licensees of such rights under this Agreement, shall retain and may fully exercise all of their rights and elections under the Bankruptcy Code. The Parties further agree that, in the event of the commencement of a bankruptcy proceeding by or against either Party under the Bankruptcy Code, the Party hereto that is not subject to such proceeding</w:t>
      </w:r>
    </w:p>
    <w:p>
      <w:pPr>
        <w:spacing w:after="0" w:line="2" w:lineRule="exact"/>
        <w:rPr>
          <w:sz w:val="20"/>
          <w:szCs w:val="20"/>
          <w:color w:val="auto"/>
        </w:rPr>
      </w:pPr>
    </w:p>
    <w:p>
      <w:pPr>
        <w:jc w:val="both"/>
        <w:ind w:left="640"/>
        <w:spacing w:after="0" w:line="208" w:lineRule="auto"/>
        <w:rPr>
          <w:sz w:val="20"/>
          <w:szCs w:val="20"/>
          <w:color w:val="auto"/>
        </w:rPr>
      </w:pPr>
      <w:r>
        <w:rPr>
          <w:rFonts w:ascii="Times New Roman" w:cs="Times New Roman" w:eastAsia="Times New Roman" w:hAnsi="Times New Roman"/>
          <w:sz w:val="18"/>
          <w:szCs w:val="18"/>
          <w:color w:val="auto"/>
        </w:rPr>
        <w:t>shall be entitled to a complete duplicate of (or complete access to, as appropriate) any such intellectual property and all embodiments of such intellectual property, which, if not already in the non-subject Party’s possession, shall be promptly delivered to it (A) following any such commencement of a bankruptcy proceeding upon the non-subject Party’s written request therefor, unless the Party subject to such</w:t>
      </w:r>
    </w:p>
    <w:p>
      <w:pPr>
        <w:spacing w:after="0" w:line="2" w:lineRule="exact"/>
        <w:rPr>
          <w:sz w:val="20"/>
          <w:szCs w:val="20"/>
          <w:color w:val="auto"/>
        </w:rPr>
      </w:pPr>
    </w:p>
    <w:p>
      <w:pPr>
        <w:jc w:val="both"/>
        <w:ind w:left="640"/>
        <w:spacing w:after="0" w:line="218" w:lineRule="auto"/>
        <w:rPr>
          <w:sz w:val="20"/>
          <w:szCs w:val="20"/>
          <w:color w:val="auto"/>
        </w:rPr>
      </w:pPr>
      <w:r>
        <w:rPr>
          <w:rFonts w:ascii="Times New Roman" w:cs="Times New Roman" w:eastAsia="Times New Roman" w:hAnsi="Times New Roman"/>
          <w:sz w:val="18"/>
          <w:szCs w:val="18"/>
          <w:color w:val="auto"/>
        </w:rPr>
        <w:t>proceeding elects to continue to perform all of its obligations under this Agreement, or (B) if not delivered under the immediately preceding clause (A), upon written request therefor by the non-subject Party following the rejection of this Agreement by or on behalf of the Party subject to such proceeding.</w:t>
      </w:r>
    </w:p>
    <w:p>
      <w:pPr>
        <w:spacing w:after="0" w:line="12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7"/>
          <w:szCs w:val="17"/>
          <w:b w:val="1"/>
          <w:bCs w:val="1"/>
          <w:u w:val="single" w:color="auto"/>
          <w:color w:val="auto"/>
        </w:rPr>
        <w:t>Other Conditions of Termination</w:t>
      </w:r>
      <w:r>
        <w:rPr>
          <w:rFonts w:ascii="Times New Roman" w:cs="Times New Roman" w:eastAsia="Times New Roman" w:hAnsi="Times New Roman"/>
          <w:sz w:val="17"/>
          <w:szCs w:val="17"/>
          <w:color w:val="auto"/>
        </w:rPr>
        <w:t>. This Agreement shall terminate:</w:t>
      </w:r>
    </w:p>
    <w:p>
      <w:pPr>
        <w:spacing w:after="0" w:line="162" w:lineRule="exact"/>
        <w:rPr>
          <w:sz w:val="20"/>
          <w:szCs w:val="20"/>
          <w:color w:val="auto"/>
        </w:rPr>
      </w:pPr>
    </w:p>
    <w:p>
      <w:pPr>
        <w:ind w:left="1300" w:hanging="656"/>
        <w:spacing w:after="0" w:line="220" w:lineRule="auto"/>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unless prohibited by applicable law, without the necessity of any action being taken by OSIF or Licensee if: (i) Licensee files a bankruptcy action or becomes bankrupt or insolvent; (ii) Licensee’s Board of Directors elects to liquidate its assets or dissolve its business; (iii) Licensee ceases its business operations; (iv) Licensee makes an assignment for the benefit of creditors; or (v) if the business or assets of Licensee are otherwise placed in the hands of a receiver, assignee or trustee, whether by voluntary act of Licensee or otherwise; or</w:t>
      </w:r>
    </w:p>
    <w:p>
      <w:pPr>
        <w:spacing w:after="0" w:line="117" w:lineRule="exact"/>
        <w:rPr>
          <w:rFonts w:ascii="Times New Roman" w:cs="Times New Roman" w:eastAsia="Times New Roman" w:hAnsi="Times New Roman"/>
          <w:sz w:val="18"/>
          <w:szCs w:val="18"/>
          <w:color w:val="auto"/>
        </w:rPr>
      </w:pPr>
    </w:p>
    <w:p>
      <w:pPr>
        <w:ind w:left="1020" w:hanging="376"/>
        <w:spacing w:after="0"/>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by mutual written agreement between Licensee and OSIF.</w:t>
      </w:r>
    </w:p>
    <w:p>
      <w:pPr>
        <w:spacing w:after="0" w:line="15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7"/>
          <w:szCs w:val="17"/>
          <w:b w:val="1"/>
          <w:bCs w:val="1"/>
          <w:u w:val="single" w:color="auto"/>
          <w:color w:val="auto"/>
        </w:rPr>
        <w:t>Effect of Termination</w:t>
      </w:r>
      <w:r>
        <w:rPr>
          <w:rFonts w:ascii="Times New Roman" w:cs="Times New Roman" w:eastAsia="Times New Roman" w:hAnsi="Times New Roman"/>
          <w:sz w:val="17"/>
          <w:szCs w:val="17"/>
          <w:color w:val="auto"/>
        </w:rPr>
        <w:t>. If this Agreement:</w:t>
      </w:r>
    </w:p>
    <w:p>
      <w:pPr>
        <w:spacing w:after="0" w:line="162" w:lineRule="exact"/>
        <w:rPr>
          <w:sz w:val="20"/>
          <w:szCs w:val="20"/>
          <w:color w:val="auto"/>
        </w:rPr>
      </w:pPr>
    </w:p>
    <w:p>
      <w:pPr>
        <w:ind w:left="1300" w:hanging="656"/>
        <w:spacing w:after="0" w:line="224" w:lineRule="auto"/>
        <w:tabs>
          <w:tab w:leader="none" w:pos="10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terminated, then all Sublicense Agreements in compliance with this Agreement where the Sublicensee is in compliance as of the date of such termination with such Sublicense Agreement shall remain in effect and shall be assigned to OSIF, except that OSIF shall not be bound by terms or conditions set forth in any Sublicense Agreement that extend beyond the duties and obligations of OSIF set forth in this Agreement;</w:t>
      </w:r>
    </w:p>
    <w:p>
      <w:pPr>
        <w:spacing w:after="0" w:line="118" w:lineRule="exact"/>
        <w:rPr>
          <w:rFonts w:ascii="Times New Roman" w:cs="Times New Roman" w:eastAsia="Times New Roman" w:hAnsi="Times New Roman"/>
          <w:sz w:val="18"/>
          <w:szCs w:val="18"/>
          <w:color w:val="auto"/>
        </w:rPr>
      </w:pPr>
    </w:p>
    <w:p>
      <w:pPr>
        <w:ind w:left="1300" w:hanging="656"/>
        <w:spacing w:after="0" w:line="217" w:lineRule="auto"/>
        <w:tabs>
          <w:tab w:leader="none" w:pos="109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terminated, then except as provided in Section 8.6(a), all rights granted under this Agreement immediately revert to OSIF, and Licensee and any Sublicensee that is not in compliance with this Agreement and its Sublicense Agreement, shall cease to practice the Licensed Subject Matter, including making, having made, distributing, having distributed, using, providing, selling, offering to sell, leasing, loaning and importing any Licensed Products after the effective date of termination, except that Licensee shall have the right to continue to sell Licensed Products manufactured prior to the effective date of such termination until the earlier of: (i) [***] days after the effective date of termination, or (ii) the exhaustion of Licensee’s inventory of Licensed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580"/>
        <w:spacing w:after="0"/>
        <w:rPr>
          <w:sz w:val="20"/>
          <w:szCs w:val="20"/>
          <w:color w:val="auto"/>
        </w:rPr>
      </w:pPr>
      <w:r>
        <w:rPr>
          <w:rFonts w:ascii="Times New Roman" w:cs="Times New Roman" w:eastAsia="Times New Roman" w:hAnsi="Times New Roman"/>
          <w:sz w:val="18"/>
          <w:szCs w:val="18"/>
          <w:color w:val="auto"/>
        </w:rPr>
        <w:t>Page 13 of 30</w:t>
      </w:r>
    </w:p>
    <w:p>
      <w:pPr>
        <w:sectPr>
          <w:pgSz w:w="11900" w:h="16838" w:orient="portrait"/>
          <w:cols w:equalWidth="0" w:num="1">
            <w:col w:w="10580"/>
          </w:cols>
          <w:pgMar w:left="980" w:top="1404" w:right="339" w:bottom="1440" w:gutter="0" w:footer="0" w:header="0"/>
        </w:sectPr>
      </w:pPr>
    </w:p>
    <w:bookmarkStart w:id="187" w:name="page188"/>
    <w:bookmarkEnd w:id="187"/>
    <w:p>
      <w:pPr>
        <w:ind w:left="1960" w:hanging="656"/>
        <w:spacing w:after="0" w:line="231" w:lineRule="auto"/>
        <w:tabs>
          <w:tab w:leader="none" w:pos="1789"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Expires, OSIF hereby grants Licensee a perpetual, irrevocable, royalty-free, fully paid-up right and license, with the ability to sublicense, under the Licensed Subject Matter, to make, have made, use, sell, offer to sell, have sold, import, export and otherwise exploit products and services in the Field of Use in the Territory;</w:t>
      </w:r>
    </w:p>
    <w:p>
      <w:pPr>
        <w:spacing w:after="0" w:line="117" w:lineRule="exact"/>
        <w:rPr>
          <w:rFonts w:ascii="Times New Roman" w:cs="Times New Roman" w:eastAsia="Times New Roman" w:hAnsi="Times New Roman"/>
          <w:sz w:val="18"/>
          <w:szCs w:val="18"/>
          <w:color w:val="auto"/>
        </w:rPr>
      </w:pPr>
    </w:p>
    <w:p>
      <w:pPr>
        <w:ind w:left="1960" w:hanging="656"/>
        <w:spacing w:after="0" w:line="250" w:lineRule="auto"/>
        <w:tabs>
          <w:tab w:leader="none" w:pos="1713"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terminated or expires, then subject to Section 8.6(a) and 8.6(c), within [***] days thereof, each Party shall promptly comply with Section 9.4 with respect to the other Party’s Confidential Information;</w:t>
      </w:r>
    </w:p>
    <w:p>
      <w:pPr>
        <w:spacing w:after="0" w:line="108" w:lineRule="exact"/>
        <w:rPr>
          <w:rFonts w:ascii="Times New Roman" w:cs="Times New Roman" w:eastAsia="Times New Roman" w:hAnsi="Times New Roman"/>
          <w:sz w:val="18"/>
          <w:szCs w:val="18"/>
          <w:color w:val="auto"/>
        </w:rPr>
      </w:pPr>
    </w:p>
    <w:p>
      <w:pPr>
        <w:ind w:left="1960" w:hanging="656"/>
        <w:spacing w:after="0" w:line="224" w:lineRule="auto"/>
        <w:tabs>
          <w:tab w:leader="none" w:pos="1737"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terminated or expires, then Licensee immediately shall tender payment of all accrued payments due to OSIF as of the effective date of termination or expiration, including payment of all unreimbursed costs and expenses incurred under Section 6 prior to the effective date of termination or expiration upon receipt of invoice therefor, and render a final report covering the subject matter described in Section 4.1; in each case regardless of whether otherwise due hereunder;</w:t>
      </w:r>
    </w:p>
    <w:p>
      <w:pPr>
        <w:spacing w:after="0" w:line="131" w:lineRule="exact"/>
        <w:rPr>
          <w:rFonts w:ascii="Times New Roman" w:cs="Times New Roman" w:eastAsia="Times New Roman" w:hAnsi="Times New Roman"/>
          <w:sz w:val="18"/>
          <w:szCs w:val="18"/>
          <w:color w:val="auto"/>
        </w:rPr>
      </w:pPr>
    </w:p>
    <w:p>
      <w:pPr>
        <w:ind w:left="1960" w:hanging="656"/>
        <w:spacing w:after="0" w:line="237" w:lineRule="auto"/>
        <w:tabs>
          <w:tab w:leader="none" w:pos="1706"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terminated or expires, then nothing in this Agreement shall be construed to release either Party from any right or obligation that matured prior to the effective date of termination or expiration; and</w:t>
      </w:r>
    </w:p>
    <w:p>
      <w:pPr>
        <w:spacing w:after="0" w:line="131" w:lineRule="exact"/>
        <w:rPr>
          <w:rFonts w:ascii="Times New Roman" w:cs="Times New Roman" w:eastAsia="Times New Roman" w:hAnsi="Times New Roman"/>
          <w:sz w:val="18"/>
          <w:szCs w:val="18"/>
          <w:color w:val="auto"/>
        </w:rPr>
      </w:pPr>
    </w:p>
    <w:p>
      <w:pPr>
        <w:ind w:left="1960" w:hanging="656"/>
        <w:spacing w:after="0" w:line="215" w:lineRule="auto"/>
        <w:tabs>
          <w:tab w:leader="none" w:pos="18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terminated or expires, then this provision Section 8.6(g) and the provisions of Sections 1 (Definitions), 2.3 (Confirmatory License), 8 (Term and Termination), 9 (Confidentiality), 11.4 (Limit of Liability), 13 (Indemnification Obligation), 13.2 (Insurance Requirements), 15 (Assignment), 17 (Use of Name), 18 (Notices), and 19 (General Provisions) shall survive any termination or expiration of this Agreement until their purposes are fulfilled. In addition, the provisions of Sections 3 (Compensation), 4.1 (Reports and Plans), 5 (Payment, Records and Audits), 6 (Intellectual Property Management) and Section 11 (Representations and Disclaimers) shall survive with respect to all activities and payment obligations accruing prior to the termination or expiration of this Agreement. In addition the termination or expiration of this Agreement has no effect on the equity issued to OSIF or Designee.</w:t>
      </w:r>
    </w:p>
    <w:p>
      <w:pPr>
        <w:spacing w:after="0" w:line="13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w:t>
      </w:r>
    </w:p>
    <w:p>
      <w:pPr>
        <w:spacing w:after="0" w:line="158" w:lineRule="exact"/>
        <w:rPr>
          <w:sz w:val="20"/>
          <w:szCs w:val="20"/>
          <w:color w:val="auto"/>
        </w:rPr>
      </w:pPr>
    </w:p>
    <w:p>
      <w:pPr>
        <w:jc w:val="both"/>
        <w:ind w:left="1240" w:hanging="647"/>
        <w:spacing w:after="0" w:line="227" w:lineRule="auto"/>
        <w:tabs>
          <w:tab w:leader="none" w:pos="12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b w:val="1"/>
          <w:bCs w:val="1"/>
          <w:u w:val="single" w:color="auto"/>
          <w:color w:val="auto"/>
        </w:rPr>
        <w:t>Treatment of Confidential Information</w:t>
      </w:r>
      <w:r>
        <w:rPr>
          <w:rFonts w:ascii="Times New Roman" w:cs="Times New Roman" w:eastAsia="Times New Roman" w:hAnsi="Times New Roman"/>
          <w:sz w:val="18"/>
          <w:szCs w:val="18"/>
          <w:color w:val="auto"/>
        </w:rPr>
        <w:t>. Recipient shall use reasonable care to safeguard the confidentiality of the Confidential</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Information and shall not provide any Confidential Information to third parties or use Confidential Information other than for the exercise of its rights or performance of obligations hereunder or as permitted below without Discloser’s prior written consent.</w:t>
      </w:r>
    </w:p>
    <w:p>
      <w:pPr>
        <w:spacing w:after="0" w:line="128"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b w:val="1"/>
          <w:bCs w:val="1"/>
          <w:u w:val="single" w:color="auto"/>
          <w:color w:val="auto"/>
        </w:rPr>
        <w:t>Right to Disclose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960" w:hanging="656"/>
        <w:spacing w:after="0" w:line="220" w:lineRule="auto"/>
        <w:tabs>
          <w:tab w:leader="none" w:pos="174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consents to OSIF disclosing Confidential Information to OSU, and OSIF and OSU counsel, auditors, service providers, contractors, and agents, to the extent it is reasonably necessary to fulfill its obligations or exercise its rights under’ this Agreement, on the condition OSIF has confidentiality obligations and non-use restrictions at least as stringent as those on OSIF hereunder with OSU and/or such third parties.</w:t>
      </w:r>
    </w:p>
    <w:p>
      <w:pPr>
        <w:spacing w:after="0" w:line="132" w:lineRule="exact"/>
        <w:rPr>
          <w:rFonts w:ascii="Times New Roman" w:cs="Times New Roman" w:eastAsia="Times New Roman" w:hAnsi="Times New Roman"/>
          <w:sz w:val="18"/>
          <w:szCs w:val="18"/>
          <w:color w:val="auto"/>
        </w:rPr>
      </w:pPr>
    </w:p>
    <w:p>
      <w:pPr>
        <w:ind w:left="1960" w:hanging="656"/>
        <w:spacing w:after="0" w:line="220" w:lineRule="auto"/>
        <w:tabs>
          <w:tab w:leader="none" w:pos="173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it is reasonably necessary to fulfill its obligations or exercise its rights under this Agreement, Licensee may disclose Confidential Information on the condition that the party to whom it provides the Confidential Information has agreed to terms and conditions of confidentiality and non-use at least as stringent as those on Licensee herein. In no event shall Licensee or anyone receiving Confidential Information from Licensee use Confidential Information of OSIF or OSU in a manner detrimental to OSIF, OSU or their respective rights.</w:t>
      </w:r>
    </w:p>
    <w:p>
      <w:pPr>
        <w:spacing w:after="0" w:line="131" w:lineRule="exact"/>
        <w:rPr>
          <w:rFonts w:ascii="Times New Roman" w:cs="Times New Roman" w:eastAsia="Times New Roman" w:hAnsi="Times New Roman"/>
          <w:sz w:val="18"/>
          <w:szCs w:val="18"/>
          <w:color w:val="auto"/>
        </w:rPr>
      </w:pPr>
    </w:p>
    <w:p>
      <w:pPr>
        <w:ind w:left="1960" w:hanging="656"/>
        <w:spacing w:after="0" w:line="231" w:lineRule="auto"/>
        <w:tabs>
          <w:tab w:leader="none" w:pos="169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Recipient is required by law, regulation, or court order to disclose any of the Confidential Information, then it may do so provided it had promptly notified Discloser and had reasonably assisted Discloser, if needed, for Discloser to try to obtain a protective order or other remedy of Discloser’s election and expense.</w:t>
      </w:r>
    </w:p>
    <w:p>
      <w:pPr>
        <w:spacing w:after="0" w:line="117" w:lineRule="exact"/>
        <w:rPr>
          <w:rFonts w:ascii="Times New Roman" w:cs="Times New Roman" w:eastAsia="Times New Roman" w:hAnsi="Times New Roman"/>
          <w:sz w:val="18"/>
          <w:szCs w:val="18"/>
          <w:color w:val="auto"/>
        </w:rPr>
      </w:pPr>
    </w:p>
    <w:p>
      <w:pPr>
        <w:ind w:left="1960" w:hanging="656"/>
        <w:spacing w:after="0" w:line="250" w:lineRule="auto"/>
        <w:tabs>
          <w:tab w:leader="none" w:pos="182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neither Party is obligated to maintain the existence of this Agreement (or the fact Licensee holds a license under the Patent Rights) as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14 of 30</w:t>
      </w:r>
    </w:p>
    <w:p>
      <w:pPr>
        <w:sectPr>
          <w:pgSz w:w="11900" w:h="16838" w:orient="portrait"/>
          <w:cols w:equalWidth="0" w:num="1">
            <w:col w:w="11240"/>
          </w:cols>
          <w:pgMar w:left="320" w:top="1404" w:right="339" w:bottom="1440" w:gutter="0" w:footer="0" w:header="0"/>
        </w:sectPr>
      </w:pPr>
    </w:p>
    <w:bookmarkStart w:id="188" w:name="page189"/>
    <w:bookmarkEnd w:id="188"/>
    <w:p>
      <w:pPr>
        <w:ind w:left="1132" w:hanging="647"/>
        <w:spacing w:after="0" w:line="239" w:lineRule="auto"/>
        <w:tabs>
          <w:tab w:leader="none" w:pos="1112"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b w:val="1"/>
          <w:bCs w:val="1"/>
          <w:u w:val="single" w:color="auto"/>
          <w:color w:val="auto"/>
        </w:rPr>
        <w:t>Further Exclusions to Obligations of Confidentiality</w:t>
      </w:r>
      <w:r>
        <w:rPr>
          <w:rFonts w:ascii="Times New Roman" w:cs="Times New Roman" w:eastAsia="Times New Roman" w:hAnsi="Times New Roman"/>
          <w:sz w:val="18"/>
          <w:szCs w:val="18"/>
          <w:color w:val="auto"/>
        </w:rPr>
        <w:t>. When Recipient is OSIF, Recipient is under no obligation for any Confidential</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Information which is provided by Discloser to anyone other than OSIF.</w:t>
      </w:r>
    </w:p>
    <w:p>
      <w:pPr>
        <w:spacing w:after="0" w:line="128" w:lineRule="exact"/>
        <w:rPr>
          <w:sz w:val="20"/>
          <w:szCs w:val="20"/>
          <w:color w:val="auto"/>
        </w:rPr>
      </w:pPr>
    </w:p>
    <w:p>
      <w:pPr>
        <w:jc w:val="right"/>
        <w:ind w:left="652"/>
        <w:spacing w:after="0" w:line="225"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b w:val="1"/>
          <w:bCs w:val="1"/>
          <w:u w:val="single" w:color="auto"/>
          <w:color w:val="auto"/>
        </w:rPr>
        <w:t>Surviving Obligations</w:t>
      </w:r>
      <w:r>
        <w:rPr>
          <w:rFonts w:ascii="Times New Roman" w:cs="Times New Roman" w:eastAsia="Times New Roman" w:hAnsi="Times New Roman"/>
          <w:sz w:val="18"/>
          <w:szCs w:val="18"/>
          <w:color w:val="auto"/>
        </w:rPr>
        <w:t>. All Confidential Information of the other party shall be returned or destruction certified at the end of the Term, at Discloser’s election, provided that Recipient shall be permitted to retain one copy of the Confidential Information in its legal function in</w:t>
      </w:r>
    </w:p>
    <w:p>
      <w:pPr>
        <w:jc w:val="both"/>
        <w:ind w:left="1292"/>
        <w:spacing w:after="0" w:line="218" w:lineRule="auto"/>
        <w:rPr>
          <w:sz w:val="20"/>
          <w:szCs w:val="20"/>
          <w:color w:val="auto"/>
        </w:rPr>
      </w:pPr>
      <w:r>
        <w:rPr>
          <w:rFonts w:ascii="Times New Roman" w:cs="Times New Roman" w:eastAsia="Times New Roman" w:hAnsi="Times New Roman"/>
          <w:sz w:val="18"/>
          <w:szCs w:val="18"/>
          <w:color w:val="auto"/>
        </w:rPr>
        <w:t>order to verify its compliance hereunder and electronic records maintained for archival purposes need not be destroyed. The Parties’ confidentiality and non-use obligations under this Agreement shall survive the expiration or termination of this Agreement, and shall continue for a period of [***] years thereafter.</w:t>
      </w:r>
    </w:p>
    <w:p>
      <w:pPr>
        <w:spacing w:after="0" w:line="127" w:lineRule="exact"/>
        <w:rPr>
          <w:sz w:val="20"/>
          <w:szCs w:val="20"/>
          <w:color w:val="auto"/>
        </w:rPr>
      </w:pPr>
    </w:p>
    <w:p>
      <w:pPr>
        <w:jc w:val="right"/>
        <w:ind w:left="652"/>
        <w:spacing w:after="0" w:line="225"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b w:val="1"/>
          <w:bCs w:val="1"/>
          <w:u w:val="single" w:color="auto"/>
          <w:color w:val="auto"/>
        </w:rPr>
        <w:t>Trade Secrets</w:t>
      </w:r>
      <w:r>
        <w:rPr>
          <w:rFonts w:ascii="Times New Roman" w:cs="Times New Roman" w:eastAsia="Times New Roman" w:hAnsi="Times New Roman"/>
          <w:sz w:val="18"/>
          <w:szCs w:val="18"/>
          <w:color w:val="auto"/>
        </w:rPr>
        <w:t>. Each party shall ensure it complies with and gives the requisite notice of immunity set forth in Section 1833(b) of Title 18 of the United States Code in any agreement, including any updates, it enters into with any employee, consultant or contractor of such party</w:t>
      </w:r>
    </w:p>
    <w:p>
      <w:pPr>
        <w:ind w:left="1292"/>
        <w:spacing w:after="0"/>
        <w:rPr>
          <w:sz w:val="20"/>
          <w:szCs w:val="20"/>
          <w:color w:val="auto"/>
        </w:rPr>
      </w:pPr>
      <w:r>
        <w:rPr>
          <w:rFonts w:ascii="Times New Roman" w:cs="Times New Roman" w:eastAsia="Times New Roman" w:hAnsi="Times New Roman"/>
          <w:sz w:val="18"/>
          <w:szCs w:val="18"/>
          <w:color w:val="auto"/>
        </w:rPr>
        <w:t>having access to Confidential Information of the other party.</w:t>
      </w:r>
    </w:p>
    <w:p>
      <w:pPr>
        <w:spacing w:after="0" w:line="120" w:lineRule="exact"/>
        <w:rPr>
          <w:sz w:val="20"/>
          <w:szCs w:val="20"/>
          <w:color w:val="auto"/>
        </w:rPr>
      </w:pPr>
    </w:p>
    <w:p>
      <w:pPr>
        <w:ind w:left="652"/>
        <w:spacing w:after="0"/>
        <w:tabs>
          <w:tab w:leader="none" w:pos="1092"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b w:val="1"/>
          <w:bCs w:val="1"/>
          <w:u w:val="single" w:color="auto"/>
          <w:color w:val="auto"/>
        </w:rPr>
        <w:t>Injunctive Relief</w:t>
      </w:r>
      <w:r>
        <w:rPr>
          <w:rFonts w:ascii="Times New Roman" w:cs="Times New Roman" w:eastAsia="Times New Roman" w:hAnsi="Times New Roman"/>
          <w:sz w:val="18"/>
          <w:szCs w:val="18"/>
          <w:color w:val="auto"/>
        </w:rPr>
        <w:t>. In addition to and not in lieu of any other rights or remedies but subject to Section 19.6, Discloser may seek specific</w:t>
      </w:r>
    </w:p>
    <w:p>
      <w:pPr>
        <w:spacing w:after="0" w:line="6" w:lineRule="exact"/>
        <w:rPr>
          <w:sz w:val="20"/>
          <w:szCs w:val="20"/>
          <w:color w:val="auto"/>
        </w:rPr>
      </w:pPr>
    </w:p>
    <w:p>
      <w:pPr>
        <w:ind w:left="1292"/>
        <w:spacing w:after="0" w:line="226" w:lineRule="auto"/>
        <w:rPr>
          <w:sz w:val="20"/>
          <w:szCs w:val="20"/>
          <w:color w:val="auto"/>
        </w:rPr>
      </w:pPr>
      <w:r>
        <w:rPr>
          <w:rFonts w:ascii="Times New Roman" w:cs="Times New Roman" w:eastAsia="Times New Roman" w:hAnsi="Times New Roman"/>
          <w:sz w:val="18"/>
          <w:szCs w:val="18"/>
          <w:color w:val="auto"/>
        </w:rPr>
        <w:t>performance, injunctive and other equitable relief as a remedy for any breach or threatened breach of this Section 9 without showing actual monetary damages in connection therewith.</w:t>
      </w:r>
    </w:p>
    <w:p>
      <w:pPr>
        <w:spacing w:after="0" w:line="126" w:lineRule="exact"/>
        <w:rPr>
          <w:sz w:val="20"/>
          <w:szCs w:val="20"/>
          <w:color w:val="auto"/>
        </w:rPr>
      </w:pPr>
    </w:p>
    <w:p>
      <w:pPr>
        <w:ind w:left="652"/>
        <w:spacing w:after="0"/>
        <w:tabs>
          <w:tab w:leader="none" w:pos="1032"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7"/>
          <w:szCs w:val="17"/>
          <w:b w:val="1"/>
          <w:bCs w:val="1"/>
          <w:u w:val="single" w:color="auto"/>
          <w:color w:val="auto"/>
        </w:rPr>
        <w:t>Publication</w:t>
      </w:r>
      <w:r>
        <w:rPr>
          <w:rFonts w:ascii="Times New Roman" w:cs="Times New Roman" w:eastAsia="Times New Roman" w:hAnsi="Times New Roman"/>
          <w:sz w:val="17"/>
          <w:szCs w:val="17"/>
          <w:color w:val="auto"/>
        </w:rPr>
        <w:t>.</w:t>
      </w:r>
    </w:p>
    <w:p>
      <w:pPr>
        <w:spacing w:after="0" w:line="148" w:lineRule="exact"/>
        <w:rPr>
          <w:sz w:val="20"/>
          <w:szCs w:val="20"/>
          <w:color w:val="auto"/>
        </w:rPr>
      </w:pPr>
    </w:p>
    <w:p>
      <w:pPr>
        <w:ind w:left="1952" w:hanging="656"/>
        <w:spacing w:after="0" w:line="220" w:lineRule="auto"/>
        <w:tabs>
          <w:tab w:leader="none" w:pos="1733"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9.7(b) below, each Party reserves the right to publicly disclose the results of any research related to the Patent Rights, Technology Rights, or Related Works (the “</w:t>
      </w:r>
      <w:r>
        <w:rPr>
          <w:rFonts w:ascii="Times New Roman" w:cs="Times New Roman" w:eastAsia="Times New Roman" w:hAnsi="Times New Roman"/>
          <w:sz w:val="18"/>
          <w:szCs w:val="18"/>
          <w:b w:val="1"/>
          <w:bCs w:val="1"/>
          <w:color w:val="auto"/>
        </w:rPr>
        <w:t>Research</w:t>
      </w:r>
      <w:r>
        <w:rPr>
          <w:rFonts w:ascii="Times New Roman" w:cs="Times New Roman" w:eastAsia="Times New Roman" w:hAnsi="Times New Roman"/>
          <w:sz w:val="18"/>
          <w:szCs w:val="18"/>
          <w:color w:val="auto"/>
        </w:rPr>
        <w:t>”). In connection with a publication, the Parties agree to abide by the policies of journals in which the publications will appear on such matters as the public release or availability of data or biological materials relating to the publication. Authorship of results of the Research will be determined in accordance with academic standards and custom. Proper acknowledgment will be made for the contributions of each Party to the results of the Research being published.</w:t>
      </w:r>
    </w:p>
    <w:p>
      <w:pPr>
        <w:spacing w:after="0" w:line="130" w:lineRule="exact"/>
        <w:rPr>
          <w:rFonts w:ascii="Times New Roman" w:cs="Times New Roman" w:eastAsia="Times New Roman" w:hAnsi="Times New Roman"/>
          <w:sz w:val="18"/>
          <w:szCs w:val="18"/>
          <w:color w:val="auto"/>
        </w:rPr>
      </w:pPr>
    </w:p>
    <w:p>
      <w:pPr>
        <w:ind w:left="1952" w:hanging="656"/>
        <w:spacing w:after="0" w:line="213" w:lineRule="auto"/>
        <w:tabs>
          <w:tab w:leader="none" w:pos="174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proposed public disclosure of Research, OSIF will provide a copy of the proposed written or oral publication (including manuscripts, abstracts and oral presentations) to Licensee at least [***] days prior to submission for publication in order to allow Licensee an opportunity to protect its Confidential Information or inventions that may be disclosed by the proposed public disclosure. OSIF shall cause OSU to comply with such disclosure requirement, and with all other terms of this Section 9.7. If Licensee determines that its Confidential Information or an invention would likely be disclosed by the proposed public disclosure, it shall so advise OSIF and/or OSU within such [***] day period, whereupon (a) OSIF and/or OSU shall delete all references to such Confidential Information and (b) OSIF and/or OSU shall postpone the proposed publication or presentation for up to an additional [***] days to afford Licensee, or if applicable, OSIF, the opportunity to prepare and file one or more patent applications with respect thereto. In addition, OSIF and/or OSU will not publish Confidential Information received from Licensee without Licensee’s prior written consent.</w:t>
      </w:r>
    </w:p>
    <w:p>
      <w:pPr>
        <w:spacing w:after="0" w:line="130" w:lineRule="exact"/>
        <w:rPr>
          <w:rFonts w:ascii="Times New Roman" w:cs="Times New Roman" w:eastAsia="Times New Roman" w:hAnsi="Times New Roman"/>
          <w:sz w:val="18"/>
          <w:szCs w:val="18"/>
          <w:color w:val="auto"/>
        </w:rPr>
      </w:pPr>
    </w:p>
    <w:p>
      <w:pPr>
        <w:ind w:left="652" w:hanging="652"/>
        <w:spacing w:after="0" w:line="214" w:lineRule="auto"/>
        <w:tabs>
          <w:tab w:leader="none" w:pos="476"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Export Compliance</w:t>
      </w:r>
      <w:r>
        <w:rPr>
          <w:rFonts w:ascii="Times New Roman" w:cs="Times New Roman" w:eastAsia="Times New Roman" w:hAnsi="Times New Roman"/>
          <w:sz w:val="18"/>
          <w:szCs w:val="18"/>
          <w:color w:val="auto"/>
        </w:rPr>
        <w:t>. Without limiting Section 11.4(c), Licensee shall observe all applicable United States and foreign laws and regulations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research, development, manufacture, marketing and transfer of Licensed Products and related technical data, including, without limitation, the International Traffic in Arms Regulations (ITAR) and the Export Administration Regulation and hereby represents and covenants that Licensee: (a) is neither a national of, nor controlled by a national of, any country to which the United States prohibits the export or re-export of goods, services, or technology; (b) is not a person specifically designated as ineligible to export from the United States or deal in U.S. origin goods, services, or technologies; (c) shall not export or re-export, directly or indirectly, any goods, services, or technology to any country or person (including juridical persons) to which the United States prohibits the export of goods, technology or services; and (d) in the event that a United States government license or authorization is required for an export or re-export of goods, services, or technology (including technical information acquired from OSIF under this Agreement and/or any products created by using such technical information or any part thereof), shall obtain any necessary United States government license or other authorization prior to undertaking the export or re-export. Without limitation, Licensee shall require a provision in Sublicense Agreement, substantially similar to this Section 10, requiring that Sublicensees comply with all then- current applicable export laws and regulations and other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0232"/>
        <w:spacing w:after="0"/>
        <w:rPr>
          <w:sz w:val="20"/>
          <w:szCs w:val="20"/>
          <w:color w:val="auto"/>
        </w:rPr>
      </w:pPr>
      <w:r>
        <w:rPr>
          <w:rFonts w:ascii="Times New Roman" w:cs="Times New Roman" w:eastAsia="Times New Roman" w:hAnsi="Times New Roman"/>
          <w:sz w:val="18"/>
          <w:szCs w:val="18"/>
          <w:color w:val="auto"/>
        </w:rPr>
        <w:t>Page 15 of 30</w:t>
      </w:r>
    </w:p>
    <w:p>
      <w:pPr>
        <w:sectPr>
          <w:pgSz w:w="11900" w:h="16838" w:orient="portrait"/>
          <w:cols w:equalWidth="0" w:num="1">
            <w:col w:w="11232"/>
          </w:cols>
          <w:pgMar w:left="328" w:top="1400" w:right="339" w:bottom="1440" w:gutter="0" w:footer="0" w:header="0"/>
        </w:sectPr>
      </w:pPr>
    </w:p>
    <w:bookmarkStart w:id="189" w:name="page190"/>
    <w:bookmarkEnd w:id="189"/>
    <w:p>
      <w:pPr>
        <w:ind w:left="392" w:hanging="392"/>
        <w:spacing w:after="0"/>
        <w:tabs>
          <w:tab w:leader="none" w:pos="392"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Disclaimers.</w:t>
      </w:r>
    </w:p>
    <w:p>
      <w:pPr>
        <w:spacing w:after="0" w:line="158" w:lineRule="exact"/>
        <w:rPr>
          <w:sz w:val="20"/>
          <w:szCs w:val="20"/>
          <w:color w:val="auto"/>
        </w:rPr>
      </w:pPr>
    </w:p>
    <w:p>
      <w:pPr>
        <w:ind w:left="652"/>
        <w:spacing w:after="0"/>
        <w:tabs>
          <w:tab w:leader="none" w:pos="1112"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b w:val="1"/>
          <w:bCs w:val="1"/>
          <w:u w:val="single" w:color="auto"/>
          <w:color w:val="auto"/>
        </w:rPr>
        <w:t>Mutual Representations and Warranties</w:t>
      </w:r>
      <w:r>
        <w:rPr>
          <w:rFonts w:ascii="Times New Roman" w:cs="Times New Roman" w:eastAsia="Times New Roman" w:hAnsi="Times New Roman"/>
          <w:sz w:val="17"/>
          <w:szCs w:val="17"/>
          <w:color w:val="auto"/>
        </w:rPr>
        <w:t>. Each of OSIF and Licensee represents and warrants as follows:</w:t>
      </w:r>
    </w:p>
    <w:p>
      <w:pPr>
        <w:spacing w:after="0" w:line="148" w:lineRule="exact"/>
        <w:rPr>
          <w:sz w:val="20"/>
          <w:szCs w:val="20"/>
          <w:color w:val="auto"/>
        </w:rPr>
      </w:pPr>
    </w:p>
    <w:p>
      <w:pPr>
        <w:ind w:left="1952" w:hanging="656"/>
        <w:spacing w:after="0" w:line="250" w:lineRule="auto"/>
        <w:tabs>
          <w:tab w:leader="none" w:pos="17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when executed and delivered, will constitute valid and legally binding obligations of such Party, enforceable in accordance with its terms, subject to applicable law.</w:t>
      </w:r>
    </w:p>
    <w:p>
      <w:pPr>
        <w:spacing w:after="0" w:line="108" w:lineRule="exact"/>
        <w:rPr>
          <w:rFonts w:ascii="Times New Roman" w:cs="Times New Roman" w:eastAsia="Times New Roman" w:hAnsi="Times New Roman"/>
          <w:sz w:val="18"/>
          <w:szCs w:val="18"/>
          <w:color w:val="auto"/>
        </w:rPr>
      </w:pPr>
    </w:p>
    <w:p>
      <w:pPr>
        <w:ind w:left="1692" w:hanging="396"/>
        <w:spacing w:after="0"/>
        <w:tabs>
          <w:tab w:leader="none" w:pos="169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this Agreement will not constitute a breach of any other agreement to which it is party.</w:t>
      </w:r>
    </w:p>
    <w:p>
      <w:pPr>
        <w:spacing w:after="0" w:line="154" w:lineRule="exact"/>
        <w:rPr>
          <w:sz w:val="20"/>
          <w:szCs w:val="20"/>
          <w:color w:val="auto"/>
        </w:rPr>
      </w:pPr>
    </w:p>
    <w:p>
      <w:pPr>
        <w:jc w:val="right"/>
        <w:ind w:left="652"/>
        <w:spacing w:after="0" w:line="225"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b w:val="1"/>
          <w:bCs w:val="1"/>
          <w:u w:val="single" w:color="auto"/>
          <w:color w:val="auto"/>
        </w:rPr>
        <w:t>OSIF Representations and Covenants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Except for the rights, if any, of the Government resulting from a funding agreement or the Bayh-Dole Act, OSIF represents, warrants and covenants to Licensee that: (a) OSIF is, and during the Term shall remain, the owner of the</w:t>
      </w:r>
    </w:p>
    <w:p>
      <w:pPr>
        <w:jc w:val="both"/>
        <w:ind w:left="1292"/>
        <w:spacing w:after="0" w:line="208" w:lineRule="auto"/>
        <w:rPr>
          <w:sz w:val="20"/>
          <w:szCs w:val="20"/>
          <w:color w:val="auto"/>
        </w:rPr>
      </w:pPr>
      <w:r>
        <w:rPr>
          <w:rFonts w:ascii="Times New Roman" w:cs="Times New Roman" w:eastAsia="Times New Roman" w:hAnsi="Times New Roman"/>
          <w:sz w:val="18"/>
          <w:szCs w:val="18"/>
          <w:color w:val="auto"/>
        </w:rPr>
        <w:t>entire right, title, and interest in and to Patent Rights; (b) OSIF has, and during the Term shall continue to have, the right to grant the license(s) hereunder; (c) OSIF has not granted and shall not grant licenses or other rights under the Patent Rights that are in conflict with the terms and conditions in this Agreement; (d) OSIF has obtained, or caused its Affiliates, as applicable, to obtain, assignments from the</w:t>
      </w:r>
    </w:p>
    <w:p>
      <w:pPr>
        <w:spacing w:after="0" w:line="2"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inventors of all inventorship rights to the Patent Rights.</w:t>
      </w:r>
    </w:p>
    <w:p>
      <w:pPr>
        <w:spacing w:after="0" w:line="120" w:lineRule="exact"/>
        <w:rPr>
          <w:sz w:val="20"/>
          <w:szCs w:val="20"/>
          <w:color w:val="auto"/>
        </w:rPr>
      </w:pPr>
    </w:p>
    <w:p>
      <w:pPr>
        <w:ind w:left="652"/>
        <w:spacing w:after="0"/>
        <w:tabs>
          <w:tab w:leader="none" w:pos="1112"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b w:val="1"/>
          <w:bCs w:val="1"/>
          <w:u w:val="single" w:color="auto"/>
          <w:color w:val="auto"/>
        </w:rPr>
        <w:t>Disclaimers</w:t>
      </w:r>
      <w:r>
        <w:rPr>
          <w:rFonts w:ascii="Times New Roman" w:cs="Times New Roman" w:eastAsia="Times New Roman" w:hAnsi="Times New Roman"/>
          <w:sz w:val="17"/>
          <w:szCs w:val="17"/>
          <w:color w:val="auto"/>
        </w:rPr>
        <w:t>. EXCEPT AS SPECIFICALLY SET FORTH IN SECTION 11, EACH PARTY UNDERSTANDS AND AGREES THAT THE</w:t>
      </w:r>
    </w:p>
    <w:p>
      <w:pPr>
        <w:spacing w:after="0" w:line="6" w:lineRule="exact"/>
        <w:rPr>
          <w:sz w:val="20"/>
          <w:szCs w:val="20"/>
          <w:color w:val="auto"/>
        </w:rPr>
      </w:pPr>
    </w:p>
    <w:p>
      <w:pPr>
        <w:jc w:val="both"/>
        <w:ind w:left="1292"/>
        <w:spacing w:after="0" w:line="220" w:lineRule="auto"/>
        <w:rPr>
          <w:sz w:val="20"/>
          <w:szCs w:val="20"/>
          <w:color w:val="auto"/>
        </w:rPr>
      </w:pPr>
      <w:r>
        <w:rPr>
          <w:rFonts w:ascii="Times New Roman" w:cs="Times New Roman" w:eastAsia="Times New Roman" w:hAnsi="Times New Roman"/>
          <w:sz w:val="17"/>
          <w:szCs w:val="17"/>
          <w:color w:val="auto"/>
        </w:rPr>
        <w:t>OTHER PARTY MAKES NO OTHER REPRESENTATIONS OR WARRANTIES AND LICENSEE AND OSIF, ON BEHALF OF ITSELF AND OSU, EXPRESSLY DISCLAIM ALL OTHER REPRESENTATIONS AND WARRANTIES, WHETHER STATUTORY, IMPLIED OR OTHERWISE, INCLUDING AS TO THE LICENSED PRODUCTS, THE OPERABILITY OR FITNESS FOR ANY</w:t>
      </w:r>
    </w:p>
    <w:p>
      <w:pPr>
        <w:spacing w:after="0" w:line="2" w:lineRule="exact"/>
        <w:rPr>
          <w:sz w:val="20"/>
          <w:szCs w:val="20"/>
          <w:color w:val="auto"/>
        </w:rPr>
      </w:pPr>
    </w:p>
    <w:p>
      <w:pPr>
        <w:jc w:val="both"/>
        <w:ind w:left="1292"/>
        <w:spacing w:after="0" w:line="208" w:lineRule="auto"/>
        <w:rPr>
          <w:sz w:val="20"/>
          <w:szCs w:val="20"/>
          <w:color w:val="auto"/>
        </w:rPr>
      </w:pPr>
      <w:r>
        <w:rPr>
          <w:rFonts w:ascii="Times New Roman" w:cs="Times New Roman" w:eastAsia="Times New Roman" w:hAnsi="Times New Roman"/>
          <w:sz w:val="18"/>
          <w:szCs w:val="18"/>
          <w:color w:val="auto"/>
        </w:rPr>
        <w:t>USE OR PARTICULAR PURPOSE, MERCHANTABILITY, SAFETY, EFFICACY, APPROVABILITY BY REGULATORY AUTHORITIES, TIME AND COST OF DEVELOPMENT, PATENTABILITY, NONINFRINGEMENT, BREADTH OF PATENT RIGHTS, WHETHER ANY CLAIM WILL ISSUE OR IS VALID, AND AS TO WHETHER THERE ARE ANY PATENTS NOW</w:t>
      </w:r>
    </w:p>
    <w:p>
      <w:pPr>
        <w:spacing w:after="0" w:line="2" w:lineRule="exact"/>
        <w:rPr>
          <w:sz w:val="20"/>
          <w:szCs w:val="20"/>
          <w:color w:val="auto"/>
        </w:rPr>
      </w:pPr>
    </w:p>
    <w:p>
      <w:pPr>
        <w:jc w:val="both"/>
        <w:ind w:left="1292" w:right="20"/>
        <w:spacing w:after="0" w:line="226" w:lineRule="auto"/>
        <w:rPr>
          <w:sz w:val="20"/>
          <w:szCs w:val="20"/>
          <w:color w:val="auto"/>
        </w:rPr>
      </w:pPr>
      <w:r>
        <w:rPr>
          <w:rFonts w:ascii="Times New Roman" w:cs="Times New Roman" w:eastAsia="Times New Roman" w:hAnsi="Times New Roman"/>
          <w:sz w:val="18"/>
          <w:szCs w:val="18"/>
          <w:color w:val="auto"/>
        </w:rPr>
        <w:t>HELD, OR WHICH MAY BECOME HELD, BY ANY ENTITY THAT MIGHT BE REQUIRED FOR THE PRACTICE OF LICENSED SUBJECT MATTER.</w:t>
      </w:r>
    </w:p>
    <w:p>
      <w:pPr>
        <w:spacing w:after="0" w:line="126" w:lineRule="exact"/>
        <w:rPr>
          <w:sz w:val="20"/>
          <w:szCs w:val="20"/>
          <w:color w:val="auto"/>
        </w:rPr>
      </w:pPr>
    </w:p>
    <w:p>
      <w:pPr>
        <w:jc w:val="both"/>
        <w:ind w:left="1252" w:hanging="647"/>
        <w:spacing w:after="0" w:line="217" w:lineRule="auto"/>
        <w:tabs>
          <w:tab w:leader="none" w:pos="1232"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b w:val="1"/>
          <w:bCs w:val="1"/>
          <w:u w:val="single" w:color="auto"/>
          <w:color w:val="auto"/>
        </w:rPr>
        <w:t>Licensee Representation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Licensee represents and warrants that: (a) Licensee has: (i) not been induced in any way by OSIF or its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employees to enter into this Agreement; (ii) been given an opportunity to conduct sufficient due diligence with respect to all items and issues pertaining to this Agreement; (iii) adequate knowledge and expertise to conduct the due diligence; and (iv) accepted all risks</w:t>
      </w:r>
    </w:p>
    <w:p>
      <w:pPr>
        <w:spacing w:after="0" w:line="3" w:lineRule="exact"/>
        <w:rPr>
          <w:sz w:val="20"/>
          <w:szCs w:val="20"/>
          <w:color w:val="auto"/>
        </w:rPr>
      </w:pPr>
    </w:p>
    <w:p>
      <w:pPr>
        <w:jc w:val="both"/>
        <w:ind w:left="1292"/>
        <w:spacing w:after="0" w:line="208" w:lineRule="auto"/>
        <w:rPr>
          <w:sz w:val="20"/>
          <w:szCs w:val="20"/>
          <w:color w:val="auto"/>
        </w:rPr>
      </w:pPr>
      <w:r>
        <w:rPr>
          <w:rFonts w:ascii="Times New Roman" w:cs="Times New Roman" w:eastAsia="Times New Roman" w:hAnsi="Times New Roman"/>
          <w:sz w:val="18"/>
          <w:szCs w:val="18"/>
          <w:color w:val="auto"/>
        </w:rPr>
        <w:t>inherent herein; (b) it is a duly organized and validly existing entity in good standing under the laws of its jurisdiction of organization, and has all necessary corporate or other appropriate power and authority to execute, deliver and perform its obligations hereunder; (c) it shall comply with all applicable international, national, or local laws and regulations in its performance under this Agreement, including</w:t>
      </w:r>
    </w:p>
    <w:p>
      <w:pPr>
        <w:ind w:left="1292"/>
        <w:spacing w:after="0" w:line="205" w:lineRule="auto"/>
        <w:rPr>
          <w:sz w:val="20"/>
          <w:szCs w:val="20"/>
          <w:color w:val="auto"/>
        </w:rPr>
      </w:pPr>
      <w:r>
        <w:rPr>
          <w:rFonts w:ascii="Times New Roman" w:cs="Times New Roman" w:eastAsia="Times New Roman" w:hAnsi="Times New Roman"/>
          <w:sz w:val="18"/>
          <w:szCs w:val="18"/>
          <w:color w:val="auto"/>
        </w:rPr>
        <w:t>export control laws; (d) it shall diligently pursue the development, manufacture, and sale of Licensed Products throughout the Term; and</w:t>
      </w:r>
    </w:p>
    <w:p>
      <w:pPr>
        <w:spacing w:after="0" w:line="1" w:lineRule="exact"/>
        <w:rPr>
          <w:sz w:val="20"/>
          <w:szCs w:val="20"/>
          <w:color w:val="auto"/>
        </w:rPr>
      </w:pPr>
    </w:p>
    <w:p>
      <w:pPr>
        <w:ind w:left="1532" w:hanging="236"/>
        <w:spacing w:after="0"/>
        <w:tabs>
          <w:tab w:leader="none" w:pos="153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continue to maintain throughout the Term and beyond insurance coverage as set forth in Section 14.</w:t>
      </w:r>
    </w:p>
    <w:p>
      <w:pPr>
        <w:spacing w:after="0" w:line="120" w:lineRule="exact"/>
        <w:rPr>
          <w:rFonts w:ascii="Times New Roman" w:cs="Times New Roman" w:eastAsia="Times New Roman" w:hAnsi="Times New Roman"/>
          <w:sz w:val="18"/>
          <w:szCs w:val="18"/>
          <w:color w:val="auto"/>
        </w:rPr>
      </w:pPr>
    </w:p>
    <w:p>
      <w:pPr>
        <w:ind w:left="652" w:hanging="652"/>
        <w:spacing w:after="0" w:line="215" w:lineRule="auto"/>
        <w:tabs>
          <w:tab w:leader="none" w:pos="557"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 of Liability</w:t>
      </w:r>
      <w:r>
        <w:rPr>
          <w:rFonts w:ascii="Times New Roman" w:cs="Times New Roman" w:eastAsia="Times New Roman" w:hAnsi="Times New Roman"/>
          <w:sz w:val="18"/>
          <w:szCs w:val="18"/>
          <w:color w:val="auto"/>
        </w:rPr>
        <w:t>. IN NO EVENT SHALL OSIF, OSU OR THEIR RESPECTIVE AFFILIATES, OR THEIR RESPECTIVE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EMPLOYEES, STUDENTS, TRUSTEES, AGENTS OR INDEPENDENT CONTRACTORS IN THEIR CAPACITY FOR OSIF OR OSU OR SUCH AFFILIATE, BE LIABLE FOR ANY INDIRECT, SPECIAL, CONSEQUENTIAL, INCIDENTAL, EXEMPLARY, OR PUNITIVE DAMAGES (INCLUDING DAMAGES FOR LOSS OF PROFITS OR REVENUE) ARISING OUT OF OR IN CONNECTION WITH THIS AGREEMENT OR LICENSED SUBJECT MATTER, REGARDLESS OF WHETHER ANY SUCH PARTY KNOWS OR SHOULD KNOW OF THE POSSIBILITY OF SUCH DAMAGES. OTHER THAN FOR LIABILITIES AGAINST LICENSEE FOR WHICH IT PROVIDES INDEMNIFICATION (SECTION 13) OR FOR MISUSE, MISAPPROPRIATION OR INFRINGEMENT OF OSIF’S INTELLECTUAL PROPERTY RIGHTS, LICENSEE SHALL NOT BE LIABLE TO OSIF OR OSU FOR ANY INDIRECT, SPECIAL, CONSEQUENTIAL, INCIDENTAL, EXEMPLARY OR PUNITIVE DAMAGES (INCLUDING, WITHOUT LIMITATION, DAMAGES FOR LOSS OF PROFITS OR REVENUE) ARISING OUT OF OR IN CONNECTION WITH THIS AGREEMENT, REGARDLESS OF WHETHER LICENSEE KNOWS OR SHOULD HAVE KNOWN OF THE POSSIBILITY OF SUCH DAMAGES.</w:t>
      </w:r>
    </w:p>
    <w:p>
      <w:pPr>
        <w:spacing w:after="0" w:line="120" w:lineRule="exact"/>
        <w:rPr>
          <w:rFonts w:ascii="Times New Roman" w:cs="Times New Roman" w:eastAsia="Times New Roman" w:hAnsi="Times New Roman"/>
          <w:sz w:val="18"/>
          <w:szCs w:val="18"/>
          <w:b w:val="1"/>
          <w:bCs w:val="1"/>
          <w:color w:val="auto"/>
        </w:rPr>
      </w:pPr>
    </w:p>
    <w:p>
      <w:pPr>
        <w:ind w:left="412" w:hanging="412"/>
        <w:spacing w:after="0"/>
        <w:tabs>
          <w:tab w:leader="none" w:pos="412"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0232"/>
        <w:spacing w:after="0"/>
        <w:rPr>
          <w:sz w:val="20"/>
          <w:szCs w:val="20"/>
          <w:color w:val="auto"/>
        </w:rPr>
      </w:pPr>
      <w:r>
        <w:rPr>
          <w:rFonts w:ascii="Times New Roman" w:cs="Times New Roman" w:eastAsia="Times New Roman" w:hAnsi="Times New Roman"/>
          <w:sz w:val="18"/>
          <w:szCs w:val="18"/>
          <w:color w:val="auto"/>
        </w:rPr>
        <w:t>Page 16 of 30</w:t>
      </w:r>
    </w:p>
    <w:p>
      <w:pPr>
        <w:sectPr>
          <w:pgSz w:w="11900" w:h="16838" w:orient="portrait"/>
          <w:cols w:equalWidth="0" w:num="1">
            <w:col w:w="11232"/>
          </w:cols>
          <w:pgMar w:left="328" w:top="1400" w:right="339" w:bottom="1440" w:gutter="0" w:footer="0" w:header="0"/>
        </w:sectPr>
      </w:pPr>
    </w:p>
    <w:bookmarkStart w:id="190" w:name="page191"/>
    <w:bookmarkEnd w:id="190"/>
    <w:p>
      <w:pPr>
        <w:jc w:val="right"/>
        <w:ind w:left="660"/>
        <w:spacing w:after="0" w:line="222" w:lineRule="auto"/>
        <w:rPr>
          <w:sz w:val="20"/>
          <w:szCs w:val="20"/>
          <w:color w:val="auto"/>
        </w:rPr>
      </w:pPr>
      <w:r>
        <w:rPr>
          <w:rFonts w:ascii="Times New Roman" w:cs="Times New Roman" w:eastAsia="Times New Roman" w:hAnsi="Times New Roman"/>
          <w:sz w:val="18"/>
          <w:szCs w:val="18"/>
          <w:color w:val="auto"/>
        </w:rPr>
        <w:t>13.1   Licensee agrees to hold harmless, defend and indemnify OSIF, OSU, their respective Affiliates, and their respective officers, directors, employees, students, inventors, trustees, agents, and independent contractors (“</w:t>
      </w:r>
      <w:r>
        <w:rPr>
          <w:rFonts w:ascii="Times New Roman" w:cs="Times New Roman" w:eastAsia="Times New Roman" w:hAnsi="Times New Roman"/>
          <w:sz w:val="18"/>
          <w:szCs w:val="18"/>
          <w:b w:val="1"/>
          <w:bCs w:val="1"/>
          <w:color w:val="auto"/>
        </w:rPr>
        <w:t>Indemnified Parties</w:t>
      </w:r>
      <w:r>
        <w:rPr>
          <w:rFonts w:ascii="Times New Roman" w:cs="Times New Roman" w:eastAsia="Times New Roman" w:hAnsi="Times New Roman"/>
          <w:sz w:val="18"/>
          <w:szCs w:val="18"/>
          <w:color w:val="auto"/>
        </w:rPr>
        <w:t>”) from and against any liabilities,</w:t>
      </w:r>
    </w:p>
    <w:p>
      <w:pPr>
        <w:spacing w:after="0" w:line="2" w:lineRule="exact"/>
        <w:rPr>
          <w:sz w:val="20"/>
          <w:szCs w:val="20"/>
          <w:color w:val="auto"/>
        </w:rPr>
      </w:pPr>
    </w:p>
    <w:p>
      <w:pPr>
        <w:jc w:val="both"/>
        <w:ind w:left="1300"/>
        <w:spacing w:after="0" w:line="208" w:lineRule="auto"/>
        <w:rPr>
          <w:sz w:val="20"/>
          <w:szCs w:val="20"/>
          <w:color w:val="auto"/>
        </w:rPr>
      </w:pPr>
      <w:r>
        <w:rPr>
          <w:rFonts w:ascii="Times New Roman" w:cs="Times New Roman" w:eastAsia="Times New Roman" w:hAnsi="Times New Roman"/>
          <w:sz w:val="18"/>
          <w:szCs w:val="18"/>
          <w:color w:val="auto"/>
        </w:rPr>
        <w:t>damages, causes of action, suits, judgments, liens, penalties, fines, losses, costs and expenses, including reasonable attorneys’ fees and other expenses of litigation, resulting from claims or demands brought by third parties (collectively “</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against an Indemnified Party on account of any injury or death of persons, damage to property, or any other damage or loss arising out of or in connection with</w:t>
      </w:r>
    </w:p>
    <w:p>
      <w:pPr>
        <w:spacing w:after="0" w:line="2" w:lineRule="exact"/>
        <w:rPr>
          <w:sz w:val="20"/>
          <w:szCs w:val="20"/>
          <w:color w:val="auto"/>
        </w:rPr>
      </w:pPr>
    </w:p>
    <w:p>
      <w:pPr>
        <w:jc w:val="both"/>
        <w:ind w:left="1300" w:right="20"/>
        <w:spacing w:after="0" w:line="218" w:lineRule="auto"/>
        <w:rPr>
          <w:sz w:val="20"/>
          <w:szCs w:val="20"/>
          <w:color w:val="auto"/>
        </w:rPr>
      </w:pPr>
      <w:r>
        <w:rPr>
          <w:rFonts w:ascii="Times New Roman" w:cs="Times New Roman" w:eastAsia="Times New Roman" w:hAnsi="Times New Roman"/>
          <w:sz w:val="18"/>
          <w:szCs w:val="18"/>
          <w:color w:val="auto"/>
        </w:rPr>
        <w:t>this Agreement, and/or the exercise or practice of the rights granted hereunder by or under authority of Licensee and/or Sublicensee, or third party person or entity having a Licensed Product; provided, however, Licensee shall have no responsibility or obligation under this Section to the extent of Liabilities caused solely by the gross negligence or willful misconduct by OSIF.</w:t>
      </w:r>
    </w:p>
    <w:p>
      <w:pPr>
        <w:spacing w:after="0" w:line="127" w:lineRule="exact"/>
        <w:rPr>
          <w:sz w:val="20"/>
          <w:szCs w:val="20"/>
          <w:color w:val="auto"/>
        </w:rPr>
      </w:pPr>
    </w:p>
    <w:p>
      <w:pPr>
        <w:jc w:val="right"/>
        <w:ind w:left="660"/>
        <w:spacing w:after="0" w:line="225"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b w:val="1"/>
          <w:bCs w:val="1"/>
          <w:u w:val="single" w:color="auto"/>
          <w:color w:val="auto"/>
        </w:rPr>
        <w:t>Procedure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indemnities set forth in this Section 13 are subject to the condition that the Indemnified Party seeking the indemnity shall forthwith notify Licensee on being notified or otherwise made aware of a liability, claim, suit, action or expense and that Licensee shall</w:t>
      </w:r>
    </w:p>
    <w:p>
      <w:pPr>
        <w:jc w:val="both"/>
        <w:ind w:left="1300"/>
        <w:spacing w:after="0" w:line="220" w:lineRule="auto"/>
        <w:rPr>
          <w:sz w:val="20"/>
          <w:szCs w:val="20"/>
          <w:color w:val="auto"/>
        </w:rPr>
      </w:pPr>
      <w:r>
        <w:rPr>
          <w:rFonts w:ascii="Times New Roman" w:cs="Times New Roman" w:eastAsia="Times New Roman" w:hAnsi="Times New Roman"/>
          <w:sz w:val="17"/>
          <w:szCs w:val="17"/>
          <w:color w:val="auto"/>
        </w:rPr>
        <w:t>use attorneys reasonably acceptable to the Indemnified Party to defend and control any proceedings with the Indemnified Party being permitted to participate at its own expense); provided that Licensee may not settle the liability, claim, suit, action or expense, or otherwise admit fault of the Indemnified Party or consent to any judgment, without the written consent of the Indemnified Party (such consent not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 be unreasonably withheld).</w:t>
      </w:r>
    </w:p>
    <w:p>
      <w:pPr>
        <w:spacing w:after="0" w:line="120" w:lineRule="exact"/>
        <w:rPr>
          <w:sz w:val="20"/>
          <w:szCs w:val="20"/>
          <w:color w:val="auto"/>
        </w:rPr>
      </w:pPr>
    </w:p>
    <w:p>
      <w:pPr>
        <w:ind w:left="660" w:hanging="652"/>
        <w:spacing w:after="0" w:line="216" w:lineRule="auto"/>
        <w:tabs>
          <w:tab w:leader="none" w:pos="457"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Insurance Requirements</w:t>
      </w:r>
      <w:r>
        <w:rPr>
          <w:rFonts w:ascii="Times New Roman" w:cs="Times New Roman" w:eastAsia="Times New Roman" w:hAnsi="Times New Roman"/>
          <w:sz w:val="18"/>
          <w:szCs w:val="18"/>
          <w:color w:val="auto"/>
        </w:rPr>
        <w:t>. Prior to any Licensed Product being used in humans or animals for veterinary applications, including for the purpose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obtaining regulatory approval, or offered for sale by Licensee or Sublicensee, and for a period of [***] years after this Agreement expires or is terminated, Licensee shall, at its sole cost and expense, procure and maintain commercial general liability insurance in commercially reasonable and appropriate amounts for the Licensed Product to ensure its obligations under this Agreement. Licensee shall use commercially reasonable efforts to have OSIF, OSU and their respective Affiliates, officers, directors and employees named as additional insureds. Such commercial general Liability insurance shall provide, without limitation: (a) product liability coverage; and (b) broad form contractual liability coverage for Licensee’s indemnification under this Agreement. Upon request by OSIF, Licensee shall provide OSIF with written evidence of such insurance. Additionally, Licensee shall provide OSIF with advance written notice of at least [***] days prior to Licensee cancelling, not renewing, or materially changing such insurance.</w:t>
      </w:r>
    </w:p>
    <w:p>
      <w:pPr>
        <w:spacing w:after="0" w:line="132" w:lineRule="exact"/>
        <w:rPr>
          <w:rFonts w:ascii="Times New Roman" w:cs="Times New Roman" w:eastAsia="Times New Roman" w:hAnsi="Times New Roman"/>
          <w:sz w:val="18"/>
          <w:szCs w:val="18"/>
          <w:b w:val="1"/>
          <w:bCs w:val="1"/>
          <w:color w:val="auto"/>
        </w:rPr>
      </w:pPr>
    </w:p>
    <w:p>
      <w:pPr>
        <w:ind w:left="660" w:hanging="652"/>
        <w:spacing w:after="0" w:line="218" w:lineRule="auto"/>
        <w:tabs>
          <w:tab w:leader="none" w:pos="417"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This Agreement is not assignable or otherwise transferable, provided, however, that notwithstanding the foregoing Licensee may assign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transfer this Agreement and some or all of its rights and obligations hereunder (a) to an Affiliate, or (b) to an acquirer or successor to all or substantially all of Licensee’s business or assets relating to any Licensed Product, whether by sale, merger, operation of law or otherwise. For any permitted assignment or transfer to be effective, the assignee must assume in writing all of Licensee’s interests, rights, duties, liabilities and obligations under this Agreement and agree to comply with all terms and conditions of this Agreement as if assignee were an original Party to this Agreement. OSIF shall be provided a copy of such writing promptly following its execution. OSIF may assign its rights under Section 3.8, and will provide advance written notice thereof to Licensee.</w:t>
      </w:r>
    </w:p>
    <w:p>
      <w:pPr>
        <w:spacing w:after="0" w:line="114" w:lineRule="exact"/>
        <w:rPr>
          <w:rFonts w:ascii="Times New Roman" w:cs="Times New Roman" w:eastAsia="Times New Roman" w:hAnsi="Times New Roman"/>
          <w:sz w:val="18"/>
          <w:szCs w:val="18"/>
          <w:b w:val="1"/>
          <w:bCs w:val="1"/>
          <w:color w:val="auto"/>
        </w:rPr>
      </w:pPr>
    </w:p>
    <w:p>
      <w:pPr>
        <w:ind w:left="660" w:hanging="652"/>
        <w:spacing w:after="0" w:line="239" w:lineRule="auto"/>
        <w:tabs>
          <w:tab w:leader="none" w:pos="444"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Patent Markings</w:t>
      </w:r>
      <w:r>
        <w:rPr>
          <w:rFonts w:ascii="Times New Roman" w:cs="Times New Roman" w:eastAsia="Times New Roman" w:hAnsi="Times New Roman"/>
          <w:sz w:val="18"/>
          <w:szCs w:val="18"/>
          <w:color w:val="auto"/>
        </w:rPr>
        <w:t>. Licensee agrees that all Licensed Products shall be marked as permitted in accordance with each country’s patent marking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Title 35, U.S. Code, in the United States.</w:t>
      </w:r>
    </w:p>
    <w:p>
      <w:pPr>
        <w:spacing w:after="0" w:line="127" w:lineRule="exact"/>
        <w:rPr>
          <w:rFonts w:ascii="Times New Roman" w:cs="Times New Roman" w:eastAsia="Times New Roman" w:hAnsi="Times New Roman"/>
          <w:sz w:val="18"/>
          <w:szCs w:val="18"/>
          <w:b w:val="1"/>
          <w:bCs w:val="1"/>
          <w:color w:val="auto"/>
        </w:rPr>
      </w:pPr>
    </w:p>
    <w:p>
      <w:pPr>
        <w:ind w:left="660" w:hanging="652"/>
        <w:spacing w:after="0" w:line="232" w:lineRule="auto"/>
        <w:tabs>
          <w:tab w:leader="none" w:pos="444"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Use of Name</w:t>
      </w:r>
      <w:r>
        <w:rPr>
          <w:rFonts w:ascii="Times New Roman" w:cs="Times New Roman" w:eastAsia="Times New Roman" w:hAnsi="Times New Roman"/>
          <w:sz w:val="18"/>
          <w:szCs w:val="18"/>
          <w:color w:val="auto"/>
        </w:rPr>
        <w:t>. Licensee shall not use the name, trademarks or other marks of OSIF or OSU without the advance written consent of OSIF and OSU.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OSIF and OSU may use Licensee’s name for annual reports, brochures, website and internal reports with Licensee’s prior consent, such consent not to be unreasonably withheld. Licensee may use OSIF’s name for business and financial presentations without their prior consent.</w:t>
      </w:r>
    </w:p>
    <w:p>
      <w:pPr>
        <w:spacing w:after="0" w:line="115" w:lineRule="exact"/>
        <w:rPr>
          <w:rFonts w:ascii="Times New Roman" w:cs="Times New Roman" w:eastAsia="Times New Roman" w:hAnsi="Times New Roman"/>
          <w:sz w:val="18"/>
          <w:szCs w:val="18"/>
          <w:b w:val="1"/>
          <w:bCs w:val="1"/>
          <w:color w:val="auto"/>
        </w:rPr>
      </w:pPr>
    </w:p>
    <w:p>
      <w:pPr>
        <w:ind w:left="660" w:hanging="652"/>
        <w:spacing w:after="0" w:line="225" w:lineRule="auto"/>
        <w:tabs>
          <w:tab w:leader="none" w:pos="457"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notice or other communication of the Parties required or permitted to be given or made under this Agreement shall be in writing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effective on the date received when sent in a manner that provides confirmation or acknowledgement of delivery and received at the applicable address set forth in Appendix 4, incorporated herein by reference. Notices required under this Agreement may be delivered via E-mail provided such notice is confirmed in writing as indicated. Late payment notices are sufficiently delivered via E-mail only.</w:t>
      </w:r>
    </w:p>
    <w:p>
      <w:pPr>
        <w:spacing w:after="0" w:line="128" w:lineRule="exact"/>
        <w:rPr>
          <w:rFonts w:ascii="Times New Roman" w:cs="Times New Roman" w:eastAsia="Times New Roman" w:hAnsi="Times New Roman"/>
          <w:sz w:val="18"/>
          <w:szCs w:val="18"/>
          <w:b w:val="1"/>
          <w:bCs w:val="1"/>
          <w:color w:val="auto"/>
        </w:rPr>
      </w:pPr>
    </w:p>
    <w:p>
      <w:pPr>
        <w:ind w:left="420" w:hanging="412"/>
        <w:spacing w:after="0"/>
        <w:tabs>
          <w:tab w:leader="none" w:pos="4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158" w:lineRule="exact"/>
        <w:rPr>
          <w:sz w:val="20"/>
          <w:szCs w:val="20"/>
          <w:color w:val="auto"/>
        </w:rPr>
      </w:pPr>
    </w:p>
    <w:p>
      <w:pPr>
        <w:ind w:left="1160" w:hanging="647"/>
        <w:spacing w:after="0" w:line="239" w:lineRule="auto"/>
        <w:tabs>
          <w:tab w:leader="none" w:pos="114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This Agreement is binding upon the Parties hereto, their respective executors, administrators, heirs, assigns and successors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in interest and inures to the benefit of the Parties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17 of 30</w:t>
      </w:r>
    </w:p>
    <w:p>
      <w:pPr>
        <w:sectPr>
          <w:pgSz w:w="11900" w:h="16838" w:orient="portrait"/>
          <w:cols w:equalWidth="0" w:num="1">
            <w:col w:w="11240"/>
          </w:cols>
          <w:pgMar w:left="320" w:top="1404" w:right="339" w:bottom="1440" w:gutter="0" w:footer="0" w:header="0"/>
        </w:sectPr>
      </w:pPr>
    </w:p>
    <w:bookmarkStart w:id="191" w:name="page192"/>
    <w:bookmarkEnd w:id="191"/>
    <w:p>
      <w:pPr>
        <w:ind w:left="640"/>
        <w:spacing w:after="0" w:line="237" w:lineRule="auto"/>
        <w:rPr>
          <w:sz w:val="20"/>
          <w:szCs w:val="20"/>
          <w:color w:val="auto"/>
        </w:rPr>
      </w:pPr>
      <w:r>
        <w:rPr>
          <w:rFonts w:ascii="Times New Roman" w:cs="Times New Roman" w:eastAsia="Times New Roman" w:hAnsi="Times New Roman"/>
          <w:sz w:val="18"/>
          <w:szCs w:val="18"/>
          <w:color w:val="auto"/>
        </w:rPr>
        <w:t>their permitted successors and assigns. OSIF shall ensure that OSU complies with any obligations on OSU set forth herein. Conveyances made in contravention with the terms of this Agreement shall be null and void.</w:t>
      </w:r>
    </w:p>
    <w:p>
      <w:pPr>
        <w:spacing w:after="0" w:line="127" w:lineRule="exact"/>
        <w:rPr>
          <w:sz w:val="20"/>
          <w:szCs w:val="20"/>
          <w:color w:val="auto"/>
        </w:rPr>
      </w:pPr>
    </w:p>
    <w:p>
      <w:pPr>
        <w:jc w:val="both"/>
        <w:ind w:left="540" w:hanging="647"/>
        <w:spacing w:after="0" w:line="225" w:lineRule="auto"/>
        <w:tabs>
          <w:tab w:leader="none" w:pos="520" w:val="left"/>
        </w:tabs>
        <w:rPr>
          <w:sz w:val="20"/>
          <w:szCs w:val="20"/>
          <w:color w:val="auto"/>
        </w:rPr>
      </w:pPr>
      <w:r>
        <w:rPr>
          <w:rFonts w:ascii="Times New Roman" w:cs="Times New Roman" w:eastAsia="Times New Roman" w:hAnsi="Times New Roman"/>
          <w:sz w:val="18"/>
          <w:szCs w:val="18"/>
          <w:color w:val="auto"/>
        </w:rPr>
        <w:t>19.2</w:t>
      </w:r>
      <w:r>
        <w:rPr>
          <w:sz w:val="20"/>
          <w:szCs w:val="20"/>
          <w:color w:val="auto"/>
        </w:rPr>
        <w:tab/>
      </w:r>
      <w:r>
        <w:rPr>
          <w:rFonts w:ascii="Times New Roman" w:cs="Times New Roman" w:eastAsia="Times New Roman" w:hAnsi="Times New Roman"/>
          <w:sz w:val="18"/>
          <w:szCs w:val="18"/>
          <w:b w:val="1"/>
          <w:bCs w:val="1"/>
          <w:u w:val="single" w:color="auto"/>
          <w:color w:val="auto"/>
        </w:rPr>
        <w:t>Construction of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Both Parties agree that any ambiguity in this Agreement shall not be construed more favorably toward one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Party than the other Party, regardless of which Party primarily drafted this Agreement. Headings are for the convenience of the Parties</w:t>
      </w:r>
    </w:p>
    <w:p>
      <w:pPr>
        <w:ind w:left="640"/>
        <w:spacing w:after="0"/>
        <w:rPr>
          <w:sz w:val="20"/>
          <w:szCs w:val="20"/>
          <w:color w:val="auto"/>
        </w:rPr>
      </w:pPr>
      <w:r>
        <w:rPr>
          <w:rFonts w:ascii="Times New Roman" w:cs="Times New Roman" w:eastAsia="Times New Roman" w:hAnsi="Times New Roman"/>
          <w:sz w:val="18"/>
          <w:szCs w:val="18"/>
          <w:color w:val="auto"/>
        </w:rPr>
        <w:t>and do not impart independent meaning to this Agreement.</w:t>
      </w:r>
    </w:p>
    <w:p>
      <w:pPr>
        <w:spacing w:after="0" w:line="12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19.3</w:t>
      </w:r>
      <w:r>
        <w:rPr>
          <w:sz w:val="20"/>
          <w:szCs w:val="20"/>
          <w:color w:val="auto"/>
        </w:rPr>
        <w:tab/>
      </w:r>
      <w:r>
        <w:rPr>
          <w:rFonts w:ascii="Times New Roman" w:cs="Times New Roman" w:eastAsia="Times New Roman" w:hAnsi="Times New Roman"/>
          <w:sz w:val="18"/>
          <w:szCs w:val="18"/>
          <w:b w:val="1"/>
          <w:bCs w:val="1"/>
          <w:u w:val="single" w:color="auto"/>
          <w:color w:val="auto"/>
        </w:rPr>
        <w:t>Counterparts and Signatures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This Agreement may be executed in multiple counterparts, each of which shall be deemed an original, but</w:t>
      </w:r>
    </w:p>
    <w:p>
      <w:pPr>
        <w:spacing w:after="0" w:line="6" w:lineRule="exact"/>
        <w:rPr>
          <w:sz w:val="20"/>
          <w:szCs w:val="20"/>
          <w:color w:val="auto"/>
        </w:rPr>
      </w:pPr>
    </w:p>
    <w:p>
      <w:pPr>
        <w:ind w:left="640"/>
        <w:spacing w:after="0" w:line="226" w:lineRule="auto"/>
        <w:rPr>
          <w:sz w:val="20"/>
          <w:szCs w:val="20"/>
          <w:color w:val="auto"/>
        </w:rPr>
      </w:pPr>
      <w:r>
        <w:rPr>
          <w:rFonts w:ascii="Times New Roman" w:cs="Times New Roman" w:eastAsia="Times New Roman" w:hAnsi="Times New Roman"/>
          <w:sz w:val="18"/>
          <w:szCs w:val="18"/>
          <w:color w:val="auto"/>
        </w:rPr>
        <w:t>all of which taken together shall constitute one and the same instrument. A Party may evidence its execution and delivery of this Agreement by transmission of a signed copy of this Agreement via facsimile or email.</w:t>
      </w:r>
    </w:p>
    <w:p>
      <w:pPr>
        <w:spacing w:after="0" w:line="126" w:lineRule="exact"/>
        <w:rPr>
          <w:sz w:val="20"/>
          <w:szCs w:val="20"/>
          <w:color w:val="auto"/>
        </w:rPr>
      </w:pPr>
    </w:p>
    <w:p>
      <w:pPr>
        <w:jc w:val="both"/>
        <w:ind w:left="520" w:hanging="647"/>
        <w:spacing w:after="0" w:line="239" w:lineRule="auto"/>
        <w:tabs>
          <w:tab w:leader="none" w:pos="500" w:val="left"/>
        </w:tabs>
        <w:rPr>
          <w:sz w:val="20"/>
          <w:szCs w:val="20"/>
          <w:color w:val="auto"/>
        </w:rPr>
      </w:pPr>
      <w:r>
        <w:rPr>
          <w:rFonts w:ascii="Times New Roman" w:cs="Times New Roman" w:eastAsia="Times New Roman" w:hAnsi="Times New Roman"/>
          <w:sz w:val="18"/>
          <w:szCs w:val="18"/>
          <w:color w:val="auto"/>
        </w:rPr>
        <w:t>19.4</w:t>
      </w:r>
      <w:r>
        <w:rPr>
          <w:sz w:val="20"/>
          <w:szCs w:val="20"/>
          <w:color w:val="auto"/>
        </w:rPr>
        <w:tab/>
      </w:r>
      <w:r>
        <w:rPr>
          <w:rFonts w:ascii="Times New Roman" w:cs="Times New Roman" w:eastAsia="Times New Roman" w:hAnsi="Times New Roman"/>
          <w:sz w:val="18"/>
          <w:szCs w:val="18"/>
          <w:b w:val="1"/>
          <w:bCs w:val="1"/>
          <w:u w:val="single" w:color="auto"/>
          <w:color w:val="auto"/>
        </w:rPr>
        <w:t>Registration of Licenses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Licensee agrees to register and give required notice concerning this Agreement, at its expense, in each country</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where an obligation exists under law to so register or give notice and shall reasonably consider OSIF’s comments regarding redaction.</w:t>
      </w:r>
    </w:p>
    <w:p>
      <w:pPr>
        <w:spacing w:after="0" w:line="128" w:lineRule="exact"/>
        <w:rPr>
          <w:sz w:val="20"/>
          <w:szCs w:val="20"/>
          <w:color w:val="auto"/>
        </w:rPr>
      </w:pPr>
    </w:p>
    <w:p>
      <w:pPr>
        <w:jc w:val="both"/>
        <w:ind w:left="500" w:hanging="647"/>
        <w:spacing w:after="0" w:line="217" w:lineRule="auto"/>
        <w:tabs>
          <w:tab w:leader="none" w:pos="480" w:val="left"/>
        </w:tabs>
        <w:rPr>
          <w:sz w:val="20"/>
          <w:szCs w:val="20"/>
          <w:color w:val="auto"/>
        </w:rPr>
      </w:pPr>
      <w:r>
        <w:rPr>
          <w:rFonts w:ascii="Times New Roman" w:cs="Times New Roman" w:eastAsia="Times New Roman" w:hAnsi="Times New Roman"/>
          <w:sz w:val="18"/>
          <w:szCs w:val="18"/>
          <w:color w:val="auto"/>
        </w:rPr>
        <w:t>19.5</w:t>
      </w:r>
      <w:r>
        <w:rPr>
          <w:sz w:val="20"/>
          <w:szCs w:val="20"/>
          <w:color w:val="auto"/>
        </w:rPr>
        <w:tab/>
      </w:r>
      <w:r>
        <w:rPr>
          <w:rFonts w:ascii="Times New Roman" w:cs="Times New Roman" w:eastAsia="Times New Roman" w:hAnsi="Times New Roman"/>
          <w:sz w:val="18"/>
          <w:szCs w:val="18"/>
          <w:b w:val="1"/>
          <w:bCs w:val="1"/>
          <w:u w:val="single" w:color="auto"/>
          <w:color w:val="auto"/>
        </w:rPr>
        <w:t>Force Majeure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If the performance of this Agreement or any obligations hereunder is prevented, restricted or interfered with by reason of</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earthquake, fire, flood or other casualty or due to strikes, riot, storms, explosions, acts of God, war, terrorism, changes in governmental regulation, embargo, shortage of transportation facilities, or a similar occurrence or condition beyond the reasonable control of the</w:t>
      </w:r>
    </w:p>
    <w:p>
      <w:pPr>
        <w:spacing w:after="0" w:line="3" w:lineRule="exact"/>
        <w:rPr>
          <w:sz w:val="20"/>
          <w:szCs w:val="20"/>
          <w:color w:val="auto"/>
        </w:rPr>
      </w:pPr>
    </w:p>
    <w:p>
      <w:pPr>
        <w:ind w:left="640"/>
        <w:spacing w:after="0" w:line="226" w:lineRule="auto"/>
        <w:rPr>
          <w:sz w:val="20"/>
          <w:szCs w:val="20"/>
          <w:color w:val="auto"/>
        </w:rPr>
      </w:pPr>
      <w:r>
        <w:rPr>
          <w:rFonts w:ascii="Times New Roman" w:cs="Times New Roman" w:eastAsia="Times New Roman" w:hAnsi="Times New Roman"/>
          <w:sz w:val="18"/>
          <w:szCs w:val="18"/>
          <w:color w:val="auto"/>
        </w:rPr>
        <w:t>Parties, the Party so affected shall, upon giving prompt notice to the other Parties, be excused from such performance during such prevention, restriction or interference, and any failure or delay resulting therefrom shall not be considered a breach of this Agreement.</w:t>
      </w:r>
    </w:p>
    <w:p>
      <w:pPr>
        <w:spacing w:after="0" w:line="126" w:lineRule="exact"/>
        <w:rPr>
          <w:sz w:val="20"/>
          <w:szCs w:val="20"/>
          <w:color w:val="auto"/>
        </w:rPr>
      </w:pPr>
    </w:p>
    <w:p>
      <w:pPr>
        <w:jc w:val="both"/>
        <w:ind w:left="500" w:hanging="647"/>
        <w:spacing w:after="0" w:line="217" w:lineRule="auto"/>
        <w:tabs>
          <w:tab w:leader="none" w:pos="480" w:val="left"/>
        </w:tabs>
        <w:rPr>
          <w:sz w:val="20"/>
          <w:szCs w:val="20"/>
          <w:color w:val="auto"/>
        </w:rPr>
      </w:pPr>
      <w:r>
        <w:rPr>
          <w:rFonts w:ascii="Times New Roman" w:cs="Times New Roman" w:eastAsia="Times New Roman" w:hAnsi="Times New Roman"/>
          <w:sz w:val="18"/>
          <w:szCs w:val="18"/>
          <w:color w:val="auto"/>
        </w:rPr>
        <w:t>19.6</w:t>
      </w:r>
      <w:r>
        <w:rPr>
          <w:sz w:val="20"/>
          <w:szCs w:val="20"/>
          <w:color w:val="auto"/>
        </w:rPr>
        <w:tab/>
      </w:r>
      <w:r>
        <w:rPr>
          <w:rFonts w:ascii="Times New Roman" w:cs="Times New Roman" w:eastAsia="Times New Roman" w:hAnsi="Times New Roman"/>
          <w:sz w:val="18"/>
          <w:szCs w:val="18"/>
          <w:b w:val="1"/>
          <w:bCs w:val="1"/>
          <w:u w:val="single" w:color="auto"/>
          <w:color w:val="auto"/>
        </w:rPr>
        <w:t>Dispute Resolution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All disputes shall be first referred to the President of OSIF and the Chief Executive Officer of Licensee for resolution,</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prior to proceeding under the other provisions of this Section 19.6. A dispute shall be referred to such executives upon one Party (the “</w:t>
      </w:r>
      <w:r>
        <w:rPr>
          <w:rFonts w:ascii="Times New Roman" w:cs="Times New Roman" w:eastAsia="Times New Roman" w:hAnsi="Times New Roman"/>
          <w:sz w:val="18"/>
          <w:szCs w:val="18"/>
          <w:b w:val="1"/>
          <w:bCs w:val="1"/>
          <w:color w:val="auto"/>
        </w:rPr>
        <w:t>Initiating Party</w:t>
      </w:r>
      <w:r>
        <w:rPr>
          <w:rFonts w:ascii="Times New Roman" w:cs="Times New Roman" w:eastAsia="Times New Roman" w:hAnsi="Times New Roman"/>
          <w:sz w:val="18"/>
          <w:szCs w:val="18"/>
          <w:color w:val="auto"/>
        </w:rPr>
        <w:t>”) providing the other Party (the “</w:t>
      </w:r>
      <w:r>
        <w:rPr>
          <w:rFonts w:ascii="Times New Roman" w:cs="Times New Roman" w:eastAsia="Times New Roman" w:hAnsi="Times New Roman"/>
          <w:sz w:val="18"/>
          <w:szCs w:val="18"/>
          <w:b w:val="1"/>
          <w:bCs w:val="1"/>
          <w:color w:val="auto"/>
        </w:rPr>
        <w:t>Responding Party</w:t>
      </w:r>
      <w:r>
        <w:rPr>
          <w:rFonts w:ascii="Times New Roman" w:cs="Times New Roman" w:eastAsia="Times New Roman" w:hAnsi="Times New Roman"/>
          <w:sz w:val="18"/>
          <w:szCs w:val="18"/>
          <w:color w:val="auto"/>
        </w:rPr>
        <w:t>”) with notice that such dispute exists, together with a written</w:t>
      </w:r>
    </w:p>
    <w:p>
      <w:pPr>
        <w:spacing w:after="0" w:line="3" w:lineRule="exact"/>
        <w:rPr>
          <w:sz w:val="20"/>
          <w:szCs w:val="20"/>
          <w:color w:val="auto"/>
        </w:rPr>
      </w:pPr>
    </w:p>
    <w:p>
      <w:pPr>
        <w:jc w:val="both"/>
        <w:ind w:left="640"/>
        <w:spacing w:after="0" w:line="208" w:lineRule="auto"/>
        <w:rPr>
          <w:sz w:val="20"/>
          <w:szCs w:val="20"/>
          <w:color w:val="auto"/>
        </w:rPr>
      </w:pPr>
      <w:r>
        <w:rPr>
          <w:rFonts w:ascii="Times New Roman" w:cs="Times New Roman" w:eastAsia="Times New Roman" w:hAnsi="Times New Roman"/>
          <w:sz w:val="18"/>
          <w:szCs w:val="18"/>
          <w:color w:val="auto"/>
        </w:rPr>
        <w:t>statement describing the dispute with reasonable specificity and proposing a resolution to such dispute that the Initiating Party is willing to accept, if any. Within [***] days after having received such statement and proposed resolution, if any, the Responding Party shall respond with a written statement that provides additional information, if any, regarding such dispute, and proposes a resolution to such</w:t>
      </w:r>
    </w:p>
    <w:p>
      <w:pPr>
        <w:spacing w:after="0" w:line="2" w:lineRule="exact"/>
        <w:rPr>
          <w:sz w:val="20"/>
          <w:szCs w:val="20"/>
          <w:color w:val="auto"/>
        </w:rPr>
      </w:pPr>
    </w:p>
    <w:p>
      <w:pPr>
        <w:jc w:val="both"/>
        <w:ind w:left="640"/>
        <w:spacing w:after="0" w:line="218" w:lineRule="auto"/>
        <w:rPr>
          <w:sz w:val="20"/>
          <w:szCs w:val="20"/>
          <w:color w:val="auto"/>
        </w:rPr>
      </w:pPr>
      <w:r>
        <w:rPr>
          <w:rFonts w:ascii="Times New Roman" w:cs="Times New Roman" w:eastAsia="Times New Roman" w:hAnsi="Times New Roman"/>
          <w:sz w:val="18"/>
          <w:szCs w:val="18"/>
          <w:color w:val="auto"/>
        </w:rPr>
        <w:t>dispute that the Responding Party is willing to accept, if any. In the event that such dispute is not resolved within [***] days after the Responding Party’s receipt of the Initiating Party’s notice, either Party may bring initiate further action with respect to such dispute consistent with this Section 19.6.</w:t>
      </w:r>
    </w:p>
    <w:p>
      <w:pPr>
        <w:spacing w:after="0" w:line="127" w:lineRule="exact"/>
        <w:rPr>
          <w:sz w:val="20"/>
          <w:szCs w:val="20"/>
          <w:color w:val="auto"/>
        </w:rPr>
      </w:pPr>
    </w:p>
    <w:p>
      <w:pPr>
        <w:jc w:val="right"/>
        <w:spacing w:after="0" w:line="225" w:lineRule="auto"/>
        <w:rPr>
          <w:sz w:val="20"/>
          <w:szCs w:val="20"/>
          <w:color w:val="auto"/>
        </w:rPr>
      </w:pPr>
      <w:r>
        <w:rPr>
          <w:rFonts w:ascii="Times New Roman" w:cs="Times New Roman" w:eastAsia="Times New Roman" w:hAnsi="Times New Roman"/>
          <w:sz w:val="18"/>
          <w:szCs w:val="18"/>
          <w:color w:val="auto"/>
        </w:rPr>
        <w:t xml:space="preserve">19.7   </w:t>
      </w:r>
      <w:r>
        <w:rPr>
          <w:rFonts w:ascii="Times New Roman" w:cs="Times New Roman" w:eastAsia="Times New Roman" w:hAnsi="Times New Roman"/>
          <w:sz w:val="18"/>
          <w:szCs w:val="18"/>
          <w:b w:val="1"/>
          <w:bCs w:val="1"/>
          <w:u w:val="single" w:color="auto"/>
          <w:color w:val="auto"/>
        </w:rPr>
        <w:t>Governing Law; Jurisdiction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shall be construed and enforced in accordance with laws of the State of Ohio, without regard to choice of law and conflicts of law principles. The Parties agree that any claim or cause of action regarding this Agreement shall</w:t>
      </w:r>
    </w:p>
    <w:p>
      <w:pPr>
        <w:jc w:val="both"/>
        <w:ind w:left="640"/>
        <w:spacing w:after="0" w:line="218" w:lineRule="auto"/>
        <w:rPr>
          <w:sz w:val="20"/>
          <w:szCs w:val="20"/>
          <w:color w:val="auto"/>
        </w:rPr>
      </w:pPr>
      <w:r>
        <w:rPr>
          <w:rFonts w:ascii="Times New Roman" w:cs="Times New Roman" w:eastAsia="Times New Roman" w:hAnsi="Times New Roman"/>
          <w:sz w:val="18"/>
          <w:szCs w:val="18"/>
          <w:color w:val="auto"/>
        </w:rPr>
        <w:t>be brought in a court of competent jurisdiction in Franklin County, Ohio and this is the Parties’ sole and exclusive process for seeking a remedy for any and all claims and causes of action regarding this Agreement that are permitted to be brought in Franklin County, Ohio. Licensee waives any objection to the jurisdiction of the courts in Franklin County.</w:t>
      </w:r>
    </w:p>
    <w:p>
      <w:pPr>
        <w:spacing w:after="0" w:line="127" w:lineRule="exact"/>
        <w:rPr>
          <w:sz w:val="20"/>
          <w:szCs w:val="20"/>
          <w:color w:val="auto"/>
        </w:rPr>
      </w:pPr>
    </w:p>
    <w:p>
      <w:pPr>
        <w:jc w:val="both"/>
        <w:ind w:left="500" w:hanging="647"/>
        <w:spacing w:after="0" w:line="239" w:lineRule="auto"/>
        <w:tabs>
          <w:tab w:leader="none" w:pos="480" w:val="left"/>
        </w:tabs>
        <w:rPr>
          <w:sz w:val="20"/>
          <w:szCs w:val="20"/>
          <w:color w:val="auto"/>
        </w:rPr>
      </w:pPr>
      <w:r>
        <w:rPr>
          <w:rFonts w:ascii="Times New Roman" w:cs="Times New Roman" w:eastAsia="Times New Roman" w:hAnsi="Times New Roman"/>
          <w:sz w:val="18"/>
          <w:szCs w:val="18"/>
          <w:color w:val="auto"/>
        </w:rPr>
        <w:t>19.8</w:t>
      </w:r>
      <w:r>
        <w:rPr>
          <w:sz w:val="20"/>
          <w:szCs w:val="20"/>
          <w:color w:val="auto"/>
        </w:rPr>
        <w:tab/>
      </w:r>
      <w:r>
        <w:rPr>
          <w:rFonts w:ascii="Times New Roman" w:cs="Times New Roman" w:eastAsia="Times New Roman" w:hAnsi="Times New Roman"/>
          <w:sz w:val="18"/>
          <w:szCs w:val="18"/>
          <w:b w:val="1"/>
          <w:bCs w:val="1"/>
          <w:u w:val="single" w:color="auto"/>
          <w:color w:val="auto"/>
        </w:rPr>
        <w:t>Modification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Any modification of this Agreement shall be effective only if it is in writing and signed by duly authorized representatives of</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both Parties.</w:t>
      </w:r>
    </w:p>
    <w:p>
      <w:pPr>
        <w:spacing w:after="0" w:line="128" w:lineRule="exact"/>
        <w:rPr>
          <w:sz w:val="20"/>
          <w:szCs w:val="20"/>
          <w:color w:val="auto"/>
        </w:rPr>
      </w:pPr>
    </w:p>
    <w:p>
      <w:pPr>
        <w:jc w:val="both"/>
        <w:ind w:left="500" w:hanging="647"/>
        <w:spacing w:after="0" w:line="217" w:lineRule="auto"/>
        <w:tabs>
          <w:tab w:leader="none" w:pos="480" w:val="left"/>
        </w:tabs>
        <w:rPr>
          <w:sz w:val="20"/>
          <w:szCs w:val="20"/>
          <w:color w:val="auto"/>
        </w:rPr>
      </w:pPr>
      <w:r>
        <w:rPr>
          <w:rFonts w:ascii="Times New Roman" w:cs="Times New Roman" w:eastAsia="Times New Roman" w:hAnsi="Times New Roman"/>
          <w:sz w:val="18"/>
          <w:szCs w:val="18"/>
          <w:color w:val="auto"/>
        </w:rPr>
        <w:t>19.9</w:t>
      </w:r>
      <w:r>
        <w:rPr>
          <w:sz w:val="20"/>
          <w:szCs w:val="20"/>
          <w:color w:val="auto"/>
        </w:rPr>
        <w:tab/>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If any provision hereof is invalid, illegal or unenforceable in any jurisdiction, the Parties hereto shall negotiate in good faith a</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valid, legal and enforceable substitute provision that most nearly reflects the original intent of the Parties, and all other provisions hereof shall remain in full force and effect in such jurisdiction and shall be construed in order to carry out the intentions of the Parties hereto as</w:t>
      </w:r>
    </w:p>
    <w:p>
      <w:pPr>
        <w:spacing w:after="0" w:line="3" w:lineRule="exact"/>
        <w:rPr>
          <w:sz w:val="20"/>
          <w:szCs w:val="20"/>
          <w:color w:val="auto"/>
        </w:rPr>
      </w:pPr>
    </w:p>
    <w:p>
      <w:pPr>
        <w:ind w:left="640"/>
        <w:spacing w:after="0" w:line="226" w:lineRule="auto"/>
        <w:rPr>
          <w:sz w:val="20"/>
          <w:szCs w:val="20"/>
          <w:color w:val="auto"/>
        </w:rPr>
      </w:pPr>
      <w:r>
        <w:rPr>
          <w:rFonts w:ascii="Times New Roman" w:cs="Times New Roman" w:eastAsia="Times New Roman" w:hAnsi="Times New Roman"/>
          <w:sz w:val="18"/>
          <w:szCs w:val="18"/>
          <w:color w:val="auto"/>
        </w:rPr>
        <w:t>nearly as may be possible. Such invalidity, illegality or unenforceability shall not affect the validity, legality or enforce ability of such other provisions in any other jurisdiction, so long as the essential essence of this Agreement remains enforceable.</w:t>
      </w:r>
    </w:p>
    <w:p>
      <w:pPr>
        <w:spacing w:after="0" w:line="126" w:lineRule="exact"/>
        <w:rPr>
          <w:sz w:val="20"/>
          <w:szCs w:val="20"/>
          <w:color w:val="auto"/>
        </w:rPr>
      </w:pPr>
    </w:p>
    <w:p>
      <w:pPr>
        <w:jc w:val="both"/>
        <w:ind w:left="640" w:hanging="647"/>
        <w:spacing w:after="0" w:line="217" w:lineRule="auto"/>
        <w:tabs>
          <w:tab w:leader="none" w:pos="620" w:val="left"/>
        </w:tabs>
        <w:rPr>
          <w:sz w:val="20"/>
          <w:szCs w:val="20"/>
          <w:color w:val="auto"/>
        </w:rPr>
      </w:pPr>
      <w:r>
        <w:rPr>
          <w:rFonts w:ascii="Times New Roman" w:cs="Times New Roman" w:eastAsia="Times New Roman" w:hAnsi="Times New Roman"/>
          <w:sz w:val="18"/>
          <w:szCs w:val="18"/>
          <w:color w:val="auto"/>
        </w:rPr>
        <w:t>19.10</w:t>
      </w:r>
      <w:r>
        <w:rPr>
          <w:sz w:val="20"/>
          <w:szCs w:val="20"/>
          <w:color w:val="auto"/>
        </w:rPr>
        <w:tab/>
      </w:r>
      <w:r>
        <w:rPr>
          <w:rFonts w:ascii="Times New Roman" w:cs="Times New Roman" w:eastAsia="Times New Roman" w:hAnsi="Times New Roman"/>
          <w:sz w:val="18"/>
          <w:szCs w:val="18"/>
          <w:b w:val="1"/>
          <w:bCs w:val="1"/>
          <w:u w:val="single" w:color="auto"/>
          <w:color w:val="auto"/>
        </w:rPr>
        <w:t>Third Party Beneficiaries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Nothing in this Agreement shall be interpreted as placing the Parties in an employment, partnership, joint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venture or agency relationship and neither Party shall have the right or authority to obligate or bind the other Party on its behalf. Nothing in this Agreement, express or implied, is intended to confer any benefits, rights or remedies on any entity, other than the Parties, OSU,</w:t>
      </w:r>
    </w:p>
    <w:p>
      <w:pPr>
        <w:spacing w:after="0" w:line="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and their permitted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18 of 30</w:t>
      </w:r>
    </w:p>
    <w:p>
      <w:pPr>
        <w:sectPr>
          <w:pgSz w:w="11900" w:h="16838" w:orient="portrait"/>
          <w:cols w:equalWidth="0" w:num="1">
            <w:col w:w="10580"/>
          </w:cols>
          <w:pgMar w:left="980" w:top="1404" w:right="339" w:bottom="1440" w:gutter="0" w:footer="0" w:header="0"/>
        </w:sectPr>
      </w:pPr>
    </w:p>
    <w:bookmarkStart w:id="192" w:name="page193"/>
    <w:bookmarkEnd w:id="192"/>
    <w:p>
      <w:pPr>
        <w:jc w:val="right"/>
        <w:spacing w:after="0" w:line="225" w:lineRule="auto"/>
        <w:rPr>
          <w:sz w:val="20"/>
          <w:szCs w:val="20"/>
          <w:color w:val="auto"/>
        </w:rPr>
      </w:pPr>
      <w:r>
        <w:rPr>
          <w:rFonts w:ascii="Times New Roman" w:cs="Times New Roman" w:eastAsia="Times New Roman" w:hAnsi="Times New Roman"/>
          <w:sz w:val="18"/>
          <w:szCs w:val="18"/>
          <w:color w:val="auto"/>
        </w:rPr>
        <w:t xml:space="preserve">19.11  </w:t>
      </w:r>
      <w:r>
        <w:rPr>
          <w:rFonts w:ascii="Times New Roman" w:cs="Times New Roman" w:eastAsia="Times New Roman" w:hAnsi="Times New Roman"/>
          <w:sz w:val="18"/>
          <w:szCs w:val="18"/>
          <w:b w:val="1"/>
          <w:bCs w:val="1"/>
          <w:u w:val="single" w:color="auto"/>
          <w:color w:val="auto"/>
        </w:rPr>
        <w:t>Waiver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Neither Party shall be deemed to have waived any of its rights under this Agreement unless the waiver is in writing and signed by such Party, and any such written waiver shall be limited solely to the specified scope. No delay or omission of a Party in exercising or</w:t>
      </w:r>
    </w:p>
    <w:p>
      <w:pPr>
        <w:ind w:left="640"/>
        <w:spacing w:after="0"/>
        <w:rPr>
          <w:sz w:val="20"/>
          <w:szCs w:val="20"/>
          <w:color w:val="auto"/>
        </w:rPr>
      </w:pPr>
      <w:r>
        <w:rPr>
          <w:rFonts w:ascii="Times New Roman" w:cs="Times New Roman" w:eastAsia="Times New Roman" w:hAnsi="Times New Roman"/>
          <w:sz w:val="18"/>
          <w:szCs w:val="18"/>
          <w:color w:val="auto"/>
        </w:rPr>
        <w:t>enforcing a right or remedy under this Agreement shall operate as a waiver thereof.</w:t>
      </w:r>
    </w:p>
    <w:p>
      <w:pPr>
        <w:spacing w:after="0" w:line="120" w:lineRule="exact"/>
        <w:rPr>
          <w:sz w:val="20"/>
          <w:szCs w:val="20"/>
          <w:color w:val="auto"/>
        </w:rPr>
      </w:pPr>
    </w:p>
    <w:p>
      <w:pPr>
        <w:ind w:left="640" w:hanging="647"/>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19.12</w:t>
      </w:r>
      <w:r>
        <w:rPr>
          <w:sz w:val="20"/>
          <w:szCs w:val="20"/>
          <w:color w:val="auto"/>
        </w:rPr>
        <w:tab/>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This Agreement constitutes the entire agreement between the Parties regarding the subject matter hereof, and</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supersedes all prior written or verbal agreements, representations and understandings relative to such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19 of 30</w:t>
      </w:r>
    </w:p>
    <w:p>
      <w:pPr>
        <w:sectPr>
          <w:pgSz w:w="11900" w:h="16838" w:orient="portrait"/>
          <w:cols w:equalWidth="0" w:num="1">
            <w:col w:w="10580"/>
          </w:cols>
          <w:pgMar w:left="980" w:top="1400" w:right="339" w:bottom="1440" w:gutter="0" w:footer="0" w:header="0"/>
        </w:sectPr>
      </w:pPr>
    </w:p>
    <w:bookmarkStart w:id="193" w:name="page194"/>
    <w:bookmarkEnd w:id="193"/>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caused their duly authorized representatives to execute this Agreement.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Ohio State Innovation Foundation</w:t>
            </w:r>
          </w:p>
        </w:tc>
        <w:tc>
          <w:tcPr>
            <w:tcW w:w="71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Entrada Therapeutics, Inc.</w:t>
            </w:r>
          </w:p>
        </w:tc>
      </w:tr>
      <w:tr>
        <w:trPr>
          <w:trHeight w:val="223"/>
        </w:trPr>
        <w:tc>
          <w:tcPr>
            <w:tcW w:w="4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BY: /s/ R. Scott Osborne</w:t>
            </w:r>
          </w:p>
        </w:tc>
        <w:tc>
          <w:tcPr>
            <w:tcW w:w="71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BY: /s/ Dipal Doshi</w:t>
            </w:r>
          </w:p>
        </w:tc>
      </w:tr>
      <w:tr>
        <w:trPr>
          <w:trHeight w:val="223"/>
        </w:trPr>
        <w:tc>
          <w:tcPr>
            <w:tcW w:w="4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NAME: R. Scott Osborne</w:t>
            </w:r>
          </w:p>
        </w:tc>
        <w:tc>
          <w:tcPr>
            <w:tcW w:w="71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NAME: Dipal Doshi</w:t>
            </w:r>
          </w:p>
        </w:tc>
      </w:tr>
      <w:tr>
        <w:trPr>
          <w:trHeight w:val="223"/>
        </w:trPr>
        <w:tc>
          <w:tcPr>
            <w:tcW w:w="4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TITLE: President</w:t>
            </w:r>
          </w:p>
        </w:tc>
        <w:tc>
          <w:tcPr>
            <w:tcW w:w="71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TITLE: President &amp; CEO</w:t>
            </w:r>
          </w:p>
        </w:tc>
      </w:tr>
      <w:tr>
        <w:trPr>
          <w:trHeight w:val="223"/>
        </w:trPr>
        <w:tc>
          <w:tcPr>
            <w:tcW w:w="4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DATE: 12/14/18</w:t>
            </w:r>
          </w:p>
        </w:tc>
        <w:tc>
          <w:tcPr>
            <w:tcW w:w="71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DATE: 12/14/2018</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Ohio State University acknowledges and agrees to its obligations under Section 9.7 of this Agreement: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Ohio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3169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4">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219" w:lineRule="auto"/>
        <w:rPr>
          <w:sz w:val="20"/>
          <w:szCs w:val="20"/>
          <w:color w:val="auto"/>
        </w:rPr>
      </w:pPr>
      <w:r>
        <w:rPr>
          <w:rFonts w:ascii="Times New Roman" w:cs="Times New Roman" w:eastAsia="Times New Roman" w:hAnsi="Times New Roman"/>
          <w:sz w:val="18"/>
          <w:szCs w:val="18"/>
          <w:color w:val="auto"/>
        </w:rPr>
        <w:t>BY: /s/ Michael Papadakis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32524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5">
                      <a:extLst>
                        <a:ext uri="{28A0092B-C50C-407E-A947-70E740481C1C}"/>
                      </a:extLst>
                    </a:blip>
                    <a:srcRect/>
                    <a:stretch>
                      <a:fillRect/>
                    </a:stretch>
                  </pic:blipFill>
                  <pic:spPr bwMode="auto">
                    <a:xfrm>
                      <a:off x="0" y="0"/>
                      <a:ext cx="1325245" cy="8890"/>
                    </a:xfrm>
                    <a:prstGeom prst="rect">
                      <a:avLst/>
                    </a:prstGeom>
                    <a:noFill/>
                  </pic:spPr>
                </pic:pic>
              </a:graphicData>
            </a:graphic>
          </wp:anchor>
        </w:drawing>
      </w:r>
    </w:p>
    <w:p>
      <w:pPr>
        <w:spacing w:after="0" w:line="203" w:lineRule="auto"/>
        <w:rPr>
          <w:sz w:val="20"/>
          <w:szCs w:val="20"/>
          <w:color w:val="auto"/>
        </w:rPr>
      </w:pPr>
      <w:r>
        <w:rPr>
          <w:rFonts w:ascii="Times New Roman" w:cs="Times New Roman" w:eastAsia="Times New Roman" w:hAnsi="Times New Roman"/>
          <w:sz w:val="18"/>
          <w:szCs w:val="18"/>
          <w:color w:val="auto"/>
        </w:rPr>
        <w:t>NAME: Michael Papadakis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3766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6">
                      <a:extLst>
                        <a:ext uri="{28A0092B-C50C-407E-A947-70E740481C1C}"/>
                      </a:extLst>
                    </a:blip>
                    <a:srcRect/>
                    <a:stretch>
                      <a:fillRect/>
                    </a:stretch>
                  </pic:blipFill>
                  <pic:spPr bwMode="auto">
                    <a:xfrm>
                      <a:off x="0" y="0"/>
                      <a:ext cx="1376680" cy="8890"/>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18"/>
          <w:szCs w:val="18"/>
          <w:color w:val="auto"/>
        </w:rPr>
        <w:t>TITLE: Interim Sr. Vice President For Business &amp; Finance, and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327406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7">
                      <a:extLst>
                        <a:ext uri="{28A0092B-C50C-407E-A947-70E740481C1C}"/>
                      </a:extLst>
                    </a:blip>
                    <a:srcRect/>
                    <a:stretch>
                      <a:fillRect/>
                    </a:stretch>
                  </pic:blipFill>
                  <pic:spPr bwMode="auto">
                    <a:xfrm>
                      <a:off x="0" y="0"/>
                      <a:ext cx="327406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DATE: 12-14-18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8851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8">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20 of 30</w:t>
      </w:r>
    </w:p>
    <w:p>
      <w:pPr>
        <w:sectPr>
          <w:pgSz w:w="11900" w:h="16838" w:orient="portrait"/>
          <w:cols w:equalWidth="0" w:num="1">
            <w:col w:w="11240"/>
          </w:cols>
          <w:pgMar w:left="320" w:top="1404" w:right="339" w:bottom="1440" w:gutter="0" w:footer="0" w:header="0"/>
        </w:sectPr>
      </w:pPr>
    </w:p>
    <w:bookmarkStart w:id="194" w:name="page195"/>
    <w:bookmarkEnd w:id="194"/>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Appendix 1A</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Platform Rights</w:t>
      </w:r>
    </w:p>
    <w:p>
      <w:pPr>
        <w:spacing w:after="0" w:line="13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21 of 30</w:t>
      </w:r>
    </w:p>
    <w:p>
      <w:pPr>
        <w:sectPr>
          <w:pgSz w:w="11900" w:h="16838" w:orient="portrait"/>
          <w:cols w:equalWidth="0" w:num="1">
            <w:col w:w="10120"/>
          </w:cols>
          <w:pgMar w:left="1440" w:top="1392" w:right="339" w:bottom="1440" w:gutter="0" w:footer="0" w:header="0"/>
        </w:sectPr>
      </w:pPr>
    </w:p>
    <w:bookmarkStart w:id="195" w:name="page196"/>
    <w:bookmarkEnd w:id="195"/>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Appendix 1B</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Program Rights</w:t>
      </w:r>
    </w:p>
    <w:p>
      <w:pPr>
        <w:spacing w:after="0" w:line="13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22 of 30</w:t>
      </w:r>
    </w:p>
    <w:p>
      <w:pPr>
        <w:sectPr>
          <w:pgSz w:w="11900" w:h="16838" w:orient="portrait"/>
          <w:cols w:equalWidth="0" w:num="1">
            <w:col w:w="10120"/>
          </w:cols>
          <w:pgMar w:left="1440" w:top="1392" w:right="339" w:bottom="1440" w:gutter="0" w:footer="0" w:header="0"/>
        </w:sectPr>
      </w:pPr>
    </w:p>
    <w:bookmarkStart w:id="196" w:name="page197"/>
    <w:bookmarkEnd w:id="196"/>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Appendix 2A</w:t>
      </w: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ANNUAL REPORT</w:t>
      </w:r>
    </w:p>
    <w:p>
      <w:pPr>
        <w:spacing w:after="0" w:line="14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23 of 30</w:t>
      </w:r>
    </w:p>
    <w:p>
      <w:pPr>
        <w:sectPr>
          <w:pgSz w:w="11900" w:h="16838" w:orient="portrait"/>
          <w:cols w:equalWidth="0" w:num="1">
            <w:col w:w="10120"/>
          </w:cols>
          <w:pgMar w:left="1440" w:top="1392" w:right="339" w:bottom="1440" w:gutter="0" w:footer="0" w:header="0"/>
        </w:sectPr>
      </w:pPr>
    </w:p>
    <w:bookmarkStart w:id="197" w:name="page198"/>
    <w:bookmarkEnd w:id="197"/>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Appendix 2B</w:t>
      </w: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OSIF FUNDING SOURCE &amp; EMPLOYMENT SURVEY</w:t>
      </w:r>
    </w:p>
    <w:p>
      <w:pPr>
        <w:spacing w:after="0" w:line="14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24 of 30</w:t>
      </w:r>
    </w:p>
    <w:p>
      <w:pPr>
        <w:sectPr>
          <w:pgSz w:w="11900" w:h="16838" w:orient="portrait"/>
          <w:cols w:equalWidth="0" w:num="1">
            <w:col w:w="10120"/>
          </w:cols>
          <w:pgMar w:left="1440" w:top="1392" w:right="339" w:bottom="1440" w:gutter="0" w:footer="0" w:header="0"/>
        </w:sectPr>
      </w:pPr>
    </w:p>
    <w:bookmarkStart w:id="198" w:name="page199"/>
    <w:bookmarkEnd w:id="198"/>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Appendix 3A</w:t>
      </w: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MILESTONE REPORT</w:t>
      </w:r>
    </w:p>
    <w:p>
      <w:pPr>
        <w:spacing w:after="0" w:line="14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25 of 30</w:t>
      </w:r>
    </w:p>
    <w:p>
      <w:pPr>
        <w:sectPr>
          <w:pgSz w:w="11900" w:h="16838" w:orient="portrait"/>
          <w:cols w:equalWidth="0" w:num="1">
            <w:col w:w="10120"/>
          </w:cols>
          <w:pgMar w:left="1440" w:top="1392" w:right="339" w:bottom="1440" w:gutter="0" w:footer="0" w:header="0"/>
        </w:sectPr>
      </w:pPr>
    </w:p>
    <w:bookmarkStart w:id="199" w:name="page200"/>
    <w:bookmarkEnd w:id="199"/>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Appendix 3B</w:t>
      </w: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ROYALTY REPORT</w:t>
      </w:r>
    </w:p>
    <w:p>
      <w:pPr>
        <w:spacing w:after="0" w:line="14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26 of 30</w:t>
      </w:r>
    </w:p>
    <w:p>
      <w:pPr>
        <w:sectPr>
          <w:pgSz w:w="11900" w:h="16838" w:orient="portrait"/>
          <w:cols w:equalWidth="0" w:num="1">
            <w:col w:w="10120"/>
          </w:cols>
          <w:pgMar w:left="1440" w:top="1392" w:right="339" w:bottom="1440" w:gutter="0" w:footer="0" w:header="0"/>
        </w:sectPr>
      </w:pPr>
    </w:p>
    <w:bookmarkStart w:id="200" w:name="page201"/>
    <w:bookmarkEnd w:id="20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Appendix 4</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13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27 of 30</w:t>
      </w:r>
    </w:p>
    <w:p>
      <w:pPr>
        <w:sectPr>
          <w:pgSz w:w="11900" w:h="16838" w:orient="portrait"/>
          <w:cols w:equalWidth="0" w:num="1">
            <w:col w:w="10120"/>
          </w:cols>
          <w:pgMar w:left="1440" w:top="1392" w:right="339" w:bottom="1440" w:gutter="0" w:footer="0" w:header="0"/>
        </w:sectPr>
      </w:pPr>
    </w:p>
    <w:bookmarkStart w:id="201" w:name="page202"/>
    <w:bookmarkEnd w:id="201"/>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Appendix 5</w:t>
      </w: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Proposed Capitalization Table</w:t>
      </w:r>
    </w:p>
    <w:p>
      <w:pPr>
        <w:spacing w:after="0" w:line="14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28 of 30</w:t>
      </w:r>
    </w:p>
    <w:p>
      <w:pPr>
        <w:sectPr>
          <w:pgSz w:w="11900" w:h="16838" w:orient="portrait"/>
          <w:cols w:equalWidth="0" w:num="1">
            <w:col w:w="10120"/>
          </w:cols>
          <w:pgMar w:left="1440" w:top="1392" w:right="339" w:bottom="1440" w:gutter="0" w:footer="0" w:header="0"/>
        </w:sectPr>
      </w:pPr>
    </w:p>
    <w:bookmarkStart w:id="202" w:name="page203"/>
    <w:bookmarkEnd w:id="202"/>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Appendix 6</w:t>
      </w: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Confirmatory License Patent Rights</w:t>
      </w:r>
    </w:p>
    <w:p>
      <w:pPr>
        <w:spacing w:after="0" w:line="14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29 of 30</w:t>
      </w:r>
    </w:p>
    <w:p>
      <w:pPr>
        <w:sectPr>
          <w:pgSz w:w="11900" w:h="16838" w:orient="portrait"/>
          <w:cols w:equalWidth="0" w:num="1">
            <w:col w:w="10120"/>
          </w:cols>
          <w:pgMar w:left="1440" w:top="1392" w:right="339" w:bottom="1440" w:gutter="0" w:footer="0" w:header="0"/>
        </w:sectPr>
      </w:pPr>
    </w:p>
    <w:bookmarkStart w:id="203" w:name="page204"/>
    <w:bookmarkEnd w:id="203"/>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Appendix 7</w:t>
      </w: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Technology Transfer</w:t>
      </w:r>
    </w:p>
    <w:p>
      <w:pPr>
        <w:spacing w:after="0" w:line="14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30 of 30</w:t>
      </w:r>
    </w:p>
    <w:p>
      <w:pPr>
        <w:sectPr>
          <w:pgSz w:w="11900" w:h="16838" w:orient="portrait"/>
          <w:cols w:equalWidth="0" w:num="1">
            <w:col w:w="10120"/>
          </w:cols>
          <w:pgMar w:left="1440" w:top="1392" w:right="339" w:bottom="1440" w:gutter="0" w:footer="0" w:header="0"/>
        </w:sectPr>
      </w:pPr>
    </w:p>
    <w:bookmarkStart w:id="204" w:name="page205"/>
    <w:bookmarkEnd w:id="204"/>
    <w:p>
      <w:pPr>
        <w:jc w:val="both"/>
        <w:ind w:right="20"/>
        <w:spacing w:after="0" w:line="239" w:lineRule="auto"/>
        <w:rPr>
          <w:sz w:val="20"/>
          <w:szCs w:val="20"/>
          <w:color w:val="auto"/>
        </w:rPr>
      </w:pPr>
      <w:r>
        <w:rPr>
          <w:rFonts w:ascii="Times New Roman" w:cs="Times New Roman" w:eastAsia="Times New Roman" w:hAnsi="Times New Roman"/>
          <w:sz w:val="18"/>
          <w:szCs w:val="18"/>
          <w:b w:val="1"/>
          <w:bCs w:val="1"/>
          <w:color w:val="auto"/>
        </w:rPr>
        <w:t>CERTAIN CONFIDENTIAL INFORMATION, MARKED BY [***] HAS BEEN EXCLUDED FROM THIS EXHIBIT BECAUSE IT IS BOTH NOT MATERIAL AND IS THE TYPE THAT THE REGISTRANT TREATS AS PRIVATE OR CONFIDENTIAL.</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AMENDMENT NO. 1 TO LICENSE AGREEMENT</w:t>
      </w:r>
    </w:p>
    <w:p>
      <w:pPr>
        <w:spacing w:after="0" w:line="158" w:lineRule="exact"/>
        <w:rPr>
          <w:sz w:val="20"/>
          <w:szCs w:val="20"/>
          <w:color w:val="auto"/>
        </w:rPr>
      </w:pPr>
    </w:p>
    <w:p>
      <w:pPr>
        <w:jc w:val="both"/>
        <w:ind w:right="20" w:firstLine="648"/>
        <w:spacing w:after="0" w:line="227" w:lineRule="auto"/>
        <w:rPr>
          <w:sz w:val="20"/>
          <w:szCs w:val="20"/>
          <w:color w:val="auto"/>
        </w:rPr>
      </w:pPr>
      <w:r>
        <w:rPr>
          <w:rFonts w:ascii="Times New Roman" w:cs="Times New Roman" w:eastAsia="Times New Roman" w:hAnsi="Times New Roman"/>
          <w:sz w:val="18"/>
          <w:szCs w:val="18"/>
          <w:color w:val="auto"/>
        </w:rPr>
        <w:t>This Amendment No. 1 to the License Agreement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having an effective date of October 8, 2019 (“</w:t>
      </w:r>
      <w:r>
        <w:rPr>
          <w:rFonts w:ascii="Times New Roman" w:cs="Times New Roman" w:eastAsia="Times New Roman" w:hAnsi="Times New Roman"/>
          <w:sz w:val="18"/>
          <w:szCs w:val="18"/>
          <w:b w:val="1"/>
          <w:bCs w:val="1"/>
          <w:color w:val="auto"/>
        </w:rPr>
        <w:t>Amendment Effective Date</w:t>
      </w:r>
      <w:r>
        <w:rPr>
          <w:rFonts w:ascii="Times New Roman" w:cs="Times New Roman" w:eastAsia="Times New Roman" w:hAnsi="Times New Roman"/>
          <w:sz w:val="18"/>
          <w:szCs w:val="18"/>
          <w:color w:val="auto"/>
        </w:rPr>
        <w:t>”), is made and entered by and between Ohio State Innovation Foundation, located at 1524 North High Street, Columbus, Ohio 43201 (“</w:t>
      </w:r>
      <w:r>
        <w:rPr>
          <w:rFonts w:ascii="Times New Roman" w:cs="Times New Roman" w:eastAsia="Times New Roman" w:hAnsi="Times New Roman"/>
          <w:sz w:val="18"/>
          <w:szCs w:val="18"/>
          <w:b w:val="1"/>
          <w:bCs w:val="1"/>
          <w:color w:val="auto"/>
        </w:rPr>
        <w:t>OSIF</w:t>
      </w:r>
      <w:r>
        <w:rPr>
          <w:rFonts w:ascii="Times New Roman" w:cs="Times New Roman" w:eastAsia="Times New Roman" w:hAnsi="Times New Roman"/>
          <w:sz w:val="18"/>
          <w:szCs w:val="18"/>
          <w:color w:val="auto"/>
        </w:rPr>
        <w:t>”) and Entrada Therapeutics, Inc. located at 50 Northern Avenue, Boston, MA 02210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(individually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or together “</w:t>
      </w:r>
      <w:r>
        <w:rPr>
          <w:rFonts w:ascii="Times New Roman" w:cs="Times New Roman" w:eastAsia="Times New Roman" w:hAnsi="Times New Roman"/>
          <w:sz w:val="18"/>
          <w:szCs w:val="18"/>
          <w:b w:val="1"/>
          <w:bCs w:val="1"/>
          <w:color w:val="auto"/>
        </w:rPr>
        <w:t>the Parties</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62"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WHEREAS, OSIF and Licensee entered into an Exclusive License Agreement dated December 14, 2018, OSIF agreement No. A2019-1293 (“</w:t>
      </w:r>
      <w:r>
        <w:rPr>
          <w:rFonts w:ascii="Times New Roman" w:cs="Times New Roman" w:eastAsia="Times New Roman" w:hAnsi="Times New Roman"/>
          <w:sz w:val="18"/>
          <w:szCs w:val="18"/>
          <w:b w:val="1"/>
          <w:bCs w:val="1"/>
          <w:color w:val="auto"/>
        </w:rPr>
        <w:t>License Agreement</w:t>
      </w:r>
      <w:r>
        <w:rPr>
          <w:rFonts w:ascii="Times New Roman" w:cs="Times New Roman" w:eastAsia="Times New Roman" w:hAnsi="Times New Roman"/>
          <w:sz w:val="18"/>
          <w:szCs w:val="18"/>
          <w:color w:val="auto"/>
        </w:rPr>
        <w:t>”); and,</w:t>
      </w:r>
    </w:p>
    <w:p>
      <w:pPr>
        <w:spacing w:after="0" w:line="131" w:lineRule="exact"/>
        <w:rPr>
          <w:sz w:val="20"/>
          <w:szCs w:val="20"/>
          <w:color w:val="auto"/>
        </w:rPr>
      </w:pPr>
    </w:p>
    <w:p>
      <w:pPr>
        <w:jc w:val="both"/>
        <w:ind w:right="40" w:firstLine="648"/>
        <w:spacing w:after="0" w:line="237" w:lineRule="auto"/>
        <w:rPr>
          <w:sz w:val="20"/>
          <w:szCs w:val="20"/>
          <w:color w:val="auto"/>
        </w:rPr>
      </w:pPr>
      <w:r>
        <w:rPr>
          <w:rFonts w:ascii="Times New Roman" w:cs="Times New Roman" w:eastAsia="Times New Roman" w:hAnsi="Times New Roman"/>
          <w:sz w:val="18"/>
          <w:szCs w:val="18"/>
          <w:color w:val="auto"/>
        </w:rPr>
        <w:t>WHEREAS, OSIF and Licensee would like to amend and modify the License Agreement as identified below and such amendment shall be incorporated as part of the License Agreement.</w:t>
      </w:r>
    </w:p>
    <w:p>
      <w:pPr>
        <w:spacing w:after="0" w:line="131"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and adequacy of which are hereby acknowledged, the Parties hereto agree as follows:</w:t>
      </w:r>
    </w:p>
    <w:p>
      <w:pPr>
        <w:spacing w:after="0" w:line="131" w:lineRule="exact"/>
        <w:rPr>
          <w:sz w:val="20"/>
          <w:szCs w:val="20"/>
          <w:color w:val="auto"/>
        </w:rPr>
      </w:pPr>
    </w:p>
    <w:p>
      <w:pPr>
        <w:ind w:left="980" w:hanging="324"/>
        <w:spacing w:after="0"/>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p>
    <w:p>
      <w:pPr>
        <w:spacing w:after="0" w:line="144"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row is added to the Program Patent Rights in Appendix 1B:</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620" w:type="dxa"/>
            <w:vAlign w:val="bottom"/>
            <w:tcBorders>
              <w:top w:val="single" w:sz="8" w:color="auto"/>
              <w:left w:val="single" w:sz="8" w:color="auto"/>
              <w:bottom w:val="single" w:sz="8" w:color="auto"/>
              <w:right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right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right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right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right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right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right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r>
    </w:tbl>
    <w:p>
      <w:pPr>
        <w:spacing w:after="0" w:line="292"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The following row is added to the Tech IDs in Appendix 1B:</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180" w:type="dxa"/>
            <w:vAlign w:val="bottom"/>
            <w:tcBorders>
              <w:top w:val="single" w:sz="8" w:color="auto"/>
              <w:left w:val="single" w:sz="8" w:color="auto"/>
              <w:bottom w:val="single" w:sz="8" w:color="auto"/>
              <w:right w:val="single" w:sz="8" w:color="auto"/>
            </w:tcBorders>
          </w:tcPr>
          <w:p>
            <w:pPr>
              <w:jc w:val="right"/>
              <w:ind w:right="2610"/>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top w:val="single" w:sz="8" w:color="auto"/>
              <w:bottom w:val="single" w:sz="8" w:color="auto"/>
              <w:right w:val="single" w:sz="8" w:color="auto"/>
            </w:tcBorders>
          </w:tcPr>
          <w:p>
            <w:pPr>
              <w:jc w:val="right"/>
              <w:ind w:right="2930"/>
              <w:spacing w:after="0"/>
              <w:rPr>
                <w:sz w:val="20"/>
                <w:szCs w:val="20"/>
                <w:color w:val="auto"/>
              </w:rPr>
            </w:pPr>
            <w:r>
              <w:rPr>
                <w:rFonts w:ascii="Times New Roman" w:cs="Times New Roman" w:eastAsia="Times New Roman" w:hAnsi="Times New Roman"/>
                <w:sz w:val="18"/>
                <w:szCs w:val="18"/>
                <w:color w:val="auto"/>
              </w:rPr>
              <w:t>[***]</w:t>
            </w:r>
          </w:p>
        </w:tc>
        <w:tc>
          <w:tcPr>
            <w:tcW w:w="4620" w:type="dxa"/>
            <w:vAlign w:val="bottom"/>
            <w:tcBorders>
              <w:top w:val="single" w:sz="8" w:color="auto"/>
              <w:bottom w:val="single" w:sz="8" w:color="auto"/>
              <w:right w:val="single" w:sz="8" w:color="auto"/>
            </w:tcBorders>
          </w:tcPr>
          <w:p>
            <w:pPr>
              <w:jc w:val="right"/>
              <w:ind w:right="4070"/>
              <w:spacing w:after="0"/>
              <w:rPr>
                <w:sz w:val="20"/>
                <w:szCs w:val="20"/>
                <w:color w:val="auto"/>
              </w:rPr>
            </w:pPr>
            <w:r>
              <w:rPr>
                <w:rFonts w:ascii="Times New Roman" w:cs="Times New Roman" w:eastAsia="Times New Roman" w:hAnsi="Times New Roman"/>
                <w:sz w:val="18"/>
                <w:szCs w:val="18"/>
                <w:color w:val="auto"/>
              </w:rPr>
              <w:t>[***]</w:t>
            </w:r>
          </w:p>
        </w:tc>
      </w:tr>
    </w:tbl>
    <w:p>
      <w:pPr>
        <w:spacing w:after="0" w:line="292" w:lineRule="exact"/>
        <w:rPr>
          <w:sz w:val="20"/>
          <w:szCs w:val="20"/>
          <w:color w:val="auto"/>
        </w:rPr>
      </w:pPr>
    </w:p>
    <w:p>
      <w:pPr>
        <w:ind w:left="1300" w:right="40" w:hanging="644"/>
        <w:spacing w:after="0" w:line="250" w:lineRule="auto"/>
        <w:tabs>
          <w:tab w:leader="none" w:pos="100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each of which shall be deemed to be an original and all of which together shall constitute an agreement, notwithstanding that all parties are not signatories to the same counterpart.</w:t>
      </w:r>
    </w:p>
    <w:p>
      <w:pPr>
        <w:spacing w:after="0" w:line="149" w:lineRule="exact"/>
        <w:rPr>
          <w:rFonts w:ascii="Times New Roman" w:cs="Times New Roman" w:eastAsia="Times New Roman" w:hAnsi="Times New Roman"/>
          <w:sz w:val="18"/>
          <w:szCs w:val="18"/>
          <w:color w:val="auto"/>
        </w:rPr>
      </w:pPr>
    </w:p>
    <w:p>
      <w:pPr>
        <w:ind w:left="1300" w:right="20" w:hanging="644"/>
        <w:spacing w:after="0" w:line="237" w:lineRule="auto"/>
        <w:tabs>
          <w:tab w:leader="none" w:pos="103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Continued Force and Effect</w:t>
      </w:r>
      <w:r>
        <w:rPr>
          <w:rFonts w:ascii="Times New Roman" w:cs="Times New Roman" w:eastAsia="Times New Roman" w:hAnsi="Times New Roman"/>
          <w:sz w:val="18"/>
          <w:szCs w:val="18"/>
          <w:color w:val="auto"/>
        </w:rPr>
        <w:t>. Except as provided in this Amendment, all terms, conditions, and provisions of the License Agreement shall remain and continue in full force and effect as provided therein.</w:t>
      </w:r>
    </w:p>
    <w:p>
      <w:pPr>
        <w:sectPr>
          <w:pgSz w:w="11900" w:h="16838" w:orient="portrait"/>
          <w:cols w:equalWidth="0" w:num="1">
            <w:col w:w="11260"/>
          </w:cols>
          <w:pgMar w:left="320" w:top="1400" w:right="319" w:bottom="1440" w:gutter="0" w:footer="0" w:header="0"/>
        </w:sectPr>
      </w:pPr>
    </w:p>
    <w:bookmarkStart w:id="205" w:name="page206"/>
    <w:bookmarkEnd w:id="205"/>
    <w:p>
      <w:pPr>
        <w:ind w:left="580"/>
        <w:spacing w:after="0"/>
        <w:rPr>
          <w:sz w:val="20"/>
          <w:szCs w:val="20"/>
          <w:color w:val="auto"/>
        </w:rPr>
      </w:pPr>
      <w:r>
        <w:rPr>
          <w:rFonts w:ascii="Times New Roman" w:cs="Times New Roman" w:eastAsia="Times New Roman" w:hAnsi="Times New Roman"/>
          <w:sz w:val="17"/>
          <w:szCs w:val="17"/>
          <w:color w:val="auto"/>
        </w:rPr>
        <w:t>IN WITNESS WHEREOF, the Parties hereto have entered into this Amendment effective as of the Amendment Effective Date.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OHIO STATE INNOVATION FOUNDATION</w:t>
            </w:r>
          </w:p>
        </w:tc>
        <w:tc>
          <w:tcPr>
            <w:tcW w:w="4360" w:type="dxa"/>
            <w:vAlign w:val="bottom"/>
            <w:gridSpan w:val="7"/>
          </w:tcPr>
          <w:p>
            <w:pPr>
              <w:ind w:left="1140"/>
              <w:spacing w:after="0"/>
              <w:rPr>
                <w:sz w:val="20"/>
                <w:szCs w:val="20"/>
                <w:color w:val="auto"/>
              </w:rPr>
            </w:pPr>
            <w:r>
              <w:rPr>
                <w:rFonts w:ascii="Times New Roman" w:cs="Times New Roman" w:eastAsia="Times New Roman" w:hAnsi="Times New Roman"/>
                <w:sz w:val="18"/>
                <w:szCs w:val="18"/>
                <w:color w:val="auto"/>
              </w:rPr>
              <w:t>ENTRADA THERAPEUTICS, INC</w:t>
            </w:r>
          </w:p>
        </w:tc>
      </w:tr>
      <w:tr>
        <w:trPr>
          <w:trHeight w:val="194"/>
        </w:trPr>
        <w:tc>
          <w:tcPr>
            <w:tcW w:w="448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auto"/>
              </w:rPr>
              <w:t>By: /s/ Kevin Taylor</w:t>
            </w:r>
          </w:p>
        </w:tc>
        <w:tc>
          <w:tcPr>
            <w:tcW w:w="4360" w:type="dxa"/>
            <w:vAlign w:val="bottom"/>
            <w:gridSpan w:val="7"/>
          </w:tcPr>
          <w:p>
            <w:pPr>
              <w:ind w:left="1140"/>
              <w:spacing w:after="0" w:line="194" w:lineRule="exact"/>
              <w:rPr>
                <w:sz w:val="20"/>
                <w:szCs w:val="20"/>
                <w:color w:val="auto"/>
              </w:rPr>
            </w:pPr>
            <w:r>
              <w:rPr>
                <w:rFonts w:ascii="Times New Roman" w:cs="Times New Roman" w:eastAsia="Times New Roman" w:hAnsi="Times New Roman"/>
                <w:sz w:val="18"/>
                <w:szCs w:val="18"/>
                <w:color w:val="auto"/>
              </w:rPr>
              <w:t>By: /s/ Dipal Doshi</w:t>
            </w:r>
          </w:p>
        </w:tc>
      </w:tr>
      <w:tr>
        <w:trPr>
          <w:trHeight w:val="20"/>
        </w:trPr>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09"/>
        </w:trPr>
        <w:tc>
          <w:tcPr>
            <w:tcW w:w="4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Name: Kevin Taylor</w:t>
            </w:r>
          </w:p>
        </w:tc>
        <w:tc>
          <w:tcPr>
            <w:tcW w:w="4360" w:type="dxa"/>
            <w:vAlign w:val="bottom"/>
            <w:gridSpan w:val="7"/>
          </w:tcPr>
          <w:p>
            <w:pPr>
              <w:ind w:left="1140"/>
              <w:spacing w:after="0"/>
              <w:rPr>
                <w:sz w:val="20"/>
                <w:szCs w:val="20"/>
                <w:color w:val="auto"/>
              </w:rPr>
            </w:pPr>
            <w:r>
              <w:rPr>
                <w:rFonts w:ascii="Times New Roman" w:cs="Times New Roman" w:eastAsia="Times New Roman" w:hAnsi="Times New Roman"/>
                <w:sz w:val="18"/>
                <w:szCs w:val="18"/>
                <w:color w:val="auto"/>
              </w:rPr>
              <w:t>Name: Dipal Doshi</w:t>
            </w:r>
          </w:p>
        </w:tc>
      </w:tr>
      <w:tr>
        <w:trPr>
          <w:trHeight w:val="20"/>
        </w:trPr>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0"/>
        </w:trPr>
        <w:tc>
          <w:tcPr>
            <w:tcW w:w="4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Title: Vice President</w:t>
            </w:r>
          </w:p>
        </w:tc>
        <w:tc>
          <w:tcPr>
            <w:tcW w:w="4360" w:type="dxa"/>
            <w:vAlign w:val="bottom"/>
            <w:gridSpan w:val="7"/>
          </w:tcPr>
          <w:p>
            <w:pPr>
              <w:ind w:left="1140"/>
              <w:spacing w:after="0"/>
              <w:rPr>
                <w:sz w:val="20"/>
                <w:szCs w:val="20"/>
                <w:color w:val="auto"/>
              </w:rPr>
            </w:pPr>
            <w:r>
              <w:rPr>
                <w:rFonts w:ascii="Times New Roman" w:cs="Times New Roman" w:eastAsia="Times New Roman" w:hAnsi="Times New Roman"/>
                <w:sz w:val="18"/>
                <w:szCs w:val="18"/>
                <w:color w:val="auto"/>
              </w:rPr>
              <w:t>Title: President &amp; Chief Executive Officer</w:t>
            </w:r>
          </w:p>
        </w:tc>
      </w:tr>
      <w:tr>
        <w:trPr>
          <w:trHeight w:val="20"/>
        </w:trPr>
        <w:tc>
          <w:tcPr>
            <w:tcW w:w="420" w:type="dxa"/>
            <w:vAlign w:val="bottom"/>
            <w:gridSpan w:val="2"/>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r>
      <w:tr>
        <w:trPr>
          <w:trHeight w:val="209"/>
        </w:trPr>
        <w:tc>
          <w:tcPr>
            <w:tcW w:w="4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Date: 10/23/2019</w:t>
            </w:r>
          </w:p>
        </w:tc>
        <w:tc>
          <w:tcPr>
            <w:tcW w:w="4360" w:type="dxa"/>
            <w:vAlign w:val="bottom"/>
            <w:gridSpan w:val="7"/>
          </w:tcPr>
          <w:p>
            <w:pPr>
              <w:ind w:left="1140"/>
              <w:spacing w:after="0"/>
              <w:rPr>
                <w:sz w:val="20"/>
                <w:szCs w:val="20"/>
                <w:color w:val="auto"/>
              </w:rPr>
            </w:pPr>
            <w:r>
              <w:rPr>
                <w:rFonts w:ascii="Times New Roman" w:cs="Times New Roman" w:eastAsia="Times New Roman" w:hAnsi="Times New Roman"/>
                <w:sz w:val="18"/>
                <w:szCs w:val="18"/>
                <w:color w:val="auto"/>
              </w:rPr>
              <w:t>Date: 10/21/2019</w:t>
            </w: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Page 2 of 2</w:t>
      </w:r>
    </w:p>
    <w:p>
      <w:pPr>
        <w:sectPr>
          <w:pgSz w:w="11900" w:h="16838" w:orient="portrait"/>
          <w:cols w:equalWidth="0" w:num="1">
            <w:col w:w="10059"/>
          </w:cols>
          <w:pgMar w:left="400" w:top="1404" w:right="1440" w:bottom="1440" w:gutter="0" w:footer="0" w:header="0"/>
        </w:sectPr>
      </w:pPr>
    </w:p>
    <w:bookmarkStart w:id="206" w:name="page207"/>
    <w:bookmarkEnd w:id="206"/>
    <w:p>
      <w:pPr>
        <w:jc w:val="both"/>
        <w:ind w:right="20"/>
        <w:spacing w:after="0" w:line="239" w:lineRule="auto"/>
        <w:rPr>
          <w:sz w:val="20"/>
          <w:szCs w:val="20"/>
          <w:color w:val="auto"/>
        </w:rPr>
      </w:pPr>
      <w:r>
        <w:rPr>
          <w:rFonts w:ascii="Times New Roman" w:cs="Times New Roman" w:eastAsia="Times New Roman" w:hAnsi="Times New Roman"/>
          <w:sz w:val="18"/>
          <w:szCs w:val="18"/>
          <w:b w:val="1"/>
          <w:bCs w:val="1"/>
          <w:color w:val="auto"/>
        </w:rPr>
        <w:t>CERTAIN CONFIDENTIAL INFORMATION, MARKED BY [***] HAS BEEN EXCLUDED FROM THIS EXHIBIT BECAUSE IT IS BOTH NOT MATERIAL AND IS THE TYPE THAT THE REGISTRANT TREATS AS PRIVATE OR CONFIDENTIAL.</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AMENDMENT NO. 2 TO LICENSE AGREEMENT</w:t>
      </w:r>
    </w:p>
    <w:p>
      <w:pPr>
        <w:spacing w:after="0" w:line="162" w:lineRule="exact"/>
        <w:rPr>
          <w:sz w:val="20"/>
          <w:szCs w:val="20"/>
          <w:color w:val="auto"/>
        </w:rPr>
      </w:pPr>
    </w:p>
    <w:p>
      <w:pPr>
        <w:jc w:val="both"/>
        <w:ind w:right="20" w:firstLine="648"/>
        <w:spacing w:after="0" w:line="226" w:lineRule="auto"/>
        <w:rPr>
          <w:sz w:val="20"/>
          <w:szCs w:val="20"/>
          <w:color w:val="auto"/>
        </w:rPr>
      </w:pPr>
      <w:r>
        <w:rPr>
          <w:rFonts w:ascii="Times New Roman" w:cs="Times New Roman" w:eastAsia="Times New Roman" w:hAnsi="Times New Roman"/>
          <w:sz w:val="18"/>
          <w:szCs w:val="18"/>
          <w:color w:val="auto"/>
        </w:rPr>
        <w:t>This Amendment No. 2 to the License Agreement (“Amendment”), having an effective date of March 9, 2020 (“Amendment Effective Date”), is made and entered by and between Ohio State Innovation Foundation, located at 1524 North High Street, Columbus, Ohio 43201 (“OSIF”) and Entrada Therapeutics, Inc. located at 50 Northern Avenue, Boston, MA 02210 (“Licensee”), (individually “Party” or together “the Parties”).</w:t>
      </w:r>
    </w:p>
    <w:p>
      <w:pPr>
        <w:spacing w:after="0" w:line="1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62" w:lineRule="exact"/>
        <w:rPr>
          <w:sz w:val="20"/>
          <w:szCs w:val="20"/>
          <w:color w:val="auto"/>
        </w:rPr>
      </w:pPr>
    </w:p>
    <w:p>
      <w:pPr>
        <w:jc w:val="both"/>
        <w:ind w:right="40" w:firstLine="648"/>
        <w:spacing w:after="0" w:line="237" w:lineRule="auto"/>
        <w:rPr>
          <w:sz w:val="20"/>
          <w:szCs w:val="20"/>
          <w:color w:val="auto"/>
        </w:rPr>
      </w:pPr>
      <w:r>
        <w:rPr>
          <w:rFonts w:ascii="Times New Roman" w:cs="Times New Roman" w:eastAsia="Times New Roman" w:hAnsi="Times New Roman"/>
          <w:sz w:val="18"/>
          <w:szCs w:val="18"/>
          <w:color w:val="auto"/>
        </w:rPr>
        <w:t>WHEREAS, OSIF and Licensee entered into an Exclusive License Agreement dated December 14, 2018, OSIF agreement No. A2019-1293, as amended October 8, 2019 (“License Agreement”); and,</w:t>
      </w:r>
    </w:p>
    <w:p>
      <w:pPr>
        <w:spacing w:after="0" w:line="131" w:lineRule="exact"/>
        <w:rPr>
          <w:sz w:val="20"/>
          <w:szCs w:val="20"/>
          <w:color w:val="auto"/>
        </w:rPr>
      </w:pPr>
    </w:p>
    <w:p>
      <w:pPr>
        <w:jc w:val="both"/>
        <w:ind w:right="40" w:firstLine="648"/>
        <w:spacing w:after="0" w:line="237" w:lineRule="auto"/>
        <w:rPr>
          <w:sz w:val="20"/>
          <w:szCs w:val="20"/>
          <w:color w:val="auto"/>
        </w:rPr>
      </w:pPr>
      <w:r>
        <w:rPr>
          <w:rFonts w:ascii="Times New Roman" w:cs="Times New Roman" w:eastAsia="Times New Roman" w:hAnsi="Times New Roman"/>
          <w:sz w:val="18"/>
          <w:szCs w:val="18"/>
          <w:color w:val="auto"/>
        </w:rPr>
        <w:t>WHEREAS, OSIF and Licensee would like to amend and modify the License Agreement as identified below and such amendment shall be incorporated as part of the License Agreement.</w:t>
      </w:r>
    </w:p>
    <w:p>
      <w:pPr>
        <w:spacing w:after="0" w:line="131"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and adequacy of which are hereby acknowledged, the Parties hereto agree as follows:</w:t>
      </w:r>
    </w:p>
    <w:p>
      <w:pPr>
        <w:spacing w:after="0" w:line="131" w:lineRule="exact"/>
        <w:rPr>
          <w:sz w:val="20"/>
          <w:szCs w:val="20"/>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p>
    <w:p>
      <w:pPr>
        <w:spacing w:after="0" w:line="144"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row of the Platform Patent Rights in Appendix 1A is deleted in its entirety:</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900" w:type="dxa"/>
            <w:vAlign w:val="bottom"/>
            <w:tcBorders>
              <w:top w:val="single" w:sz="8" w:color="auto"/>
              <w:left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right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right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right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right w:val="single" w:sz="8" w:color="auto"/>
            </w:tcBorders>
          </w:tcPr>
          <w:p>
            <w:pPr>
              <w:spacing w:after="0"/>
              <w:rPr>
                <w:sz w:val="21"/>
                <w:szCs w:val="21"/>
                <w:color w:val="auto"/>
              </w:rPr>
            </w:pPr>
          </w:p>
        </w:tc>
        <w:tc>
          <w:tcPr>
            <w:tcW w:w="1340" w:type="dxa"/>
            <w:vAlign w:val="bottom"/>
            <w:tcBorders>
              <w:top w:val="single" w:sz="8" w:color="auto"/>
              <w:bottom w:val="single" w:sz="8" w:color="auto"/>
              <w:right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right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right w:val="single" w:sz="8" w:color="auto"/>
            </w:tcBorders>
          </w:tcPr>
          <w:p>
            <w:pPr>
              <w:spacing w:after="0"/>
              <w:rPr>
                <w:sz w:val="21"/>
                <w:szCs w:val="21"/>
                <w:color w:val="auto"/>
              </w:rPr>
            </w:pPr>
          </w:p>
        </w:tc>
      </w:tr>
      <w:tr>
        <w:trPr>
          <w:trHeight w:val="534"/>
        </w:trPr>
        <w:tc>
          <w:tcPr>
            <w:tcW w:w="900" w:type="dxa"/>
            <w:vAlign w:val="bottom"/>
          </w:tcPr>
          <w:p>
            <w:pPr>
              <w:spacing w:after="0"/>
              <w:rPr>
                <w:sz w:val="24"/>
                <w:szCs w:val="24"/>
                <w:color w:val="auto"/>
              </w:rPr>
            </w:pPr>
          </w:p>
        </w:tc>
        <w:tc>
          <w:tcPr>
            <w:tcW w:w="326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And replaced with the following:</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9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r>
      <w:tr>
        <w:trPr>
          <w:trHeight w:val="223"/>
        </w:trPr>
        <w:tc>
          <w:tcPr>
            <w:tcW w:w="900" w:type="dxa"/>
            <w:vAlign w:val="bottom"/>
            <w:tcBorders>
              <w:left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ind w:right="13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r>
    </w:tbl>
    <w:p>
      <w:pPr>
        <w:spacing w:after="0" w:line="306" w:lineRule="exact"/>
        <w:rPr>
          <w:sz w:val="20"/>
          <w:szCs w:val="20"/>
          <w:color w:val="auto"/>
        </w:rPr>
      </w:pPr>
    </w:p>
    <w:p>
      <w:pPr>
        <w:ind w:left="1300" w:right="40" w:hanging="644"/>
        <w:spacing w:after="0" w:line="237" w:lineRule="auto"/>
        <w:tabs>
          <w:tab w:leader="none" w:pos="100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each of which shall be deemed to be an original and all of which together shall constitute an agreement, notwithstanding that all parties are not signatories to the same counterpart.</w:t>
      </w:r>
    </w:p>
    <w:p>
      <w:pPr>
        <w:spacing w:after="0" w:line="158"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03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Continued Force and Effect</w:t>
      </w:r>
      <w:r>
        <w:rPr>
          <w:rFonts w:ascii="Times New Roman" w:cs="Times New Roman" w:eastAsia="Times New Roman" w:hAnsi="Times New Roman"/>
          <w:sz w:val="18"/>
          <w:szCs w:val="18"/>
          <w:color w:val="auto"/>
        </w:rPr>
        <w:t>. Except as provided in this Amendment, all terms, conditions, and provisions of the License Agreement shall remain and continue in full force and effect as provided therein.</w:t>
      </w:r>
    </w:p>
    <w:p>
      <w:pPr>
        <w:sectPr>
          <w:pgSz w:w="11900" w:h="16838" w:orient="portrait"/>
          <w:cols w:equalWidth="0" w:num="1">
            <w:col w:w="11260"/>
          </w:cols>
          <w:pgMar w:left="320" w:top="1400" w:right="319" w:bottom="1440" w:gutter="0" w:footer="0" w:header="0"/>
        </w:sectPr>
      </w:pPr>
    </w:p>
    <w:bookmarkStart w:id="207" w:name="page208"/>
    <w:bookmarkEnd w:id="207"/>
    <w:p>
      <w:pPr>
        <w:ind w:left="580"/>
        <w:spacing w:after="0"/>
        <w:rPr>
          <w:sz w:val="20"/>
          <w:szCs w:val="20"/>
          <w:color w:val="auto"/>
        </w:rPr>
      </w:pPr>
      <w:r>
        <w:rPr>
          <w:rFonts w:ascii="Times New Roman" w:cs="Times New Roman" w:eastAsia="Times New Roman" w:hAnsi="Times New Roman"/>
          <w:sz w:val="17"/>
          <w:szCs w:val="17"/>
          <w:color w:val="auto"/>
        </w:rPr>
        <w:t>IN WITNESS WHEREOF, the Parties hereto have entered into this Amendment effective as of the Amendment Effective Date.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OHIO STATE INNOVATION FOUNDATION</w:t>
            </w:r>
          </w:p>
        </w:tc>
        <w:tc>
          <w:tcPr>
            <w:tcW w:w="3760" w:type="dxa"/>
            <w:vAlign w:val="bottom"/>
            <w:gridSpan w:val="8"/>
          </w:tcPr>
          <w:p>
            <w:pPr>
              <w:ind w:left="1140"/>
              <w:spacing w:after="0"/>
              <w:rPr>
                <w:sz w:val="20"/>
                <w:szCs w:val="20"/>
                <w:color w:val="auto"/>
              </w:rPr>
            </w:pPr>
            <w:r>
              <w:rPr>
                <w:rFonts w:ascii="Times New Roman" w:cs="Times New Roman" w:eastAsia="Times New Roman" w:hAnsi="Times New Roman"/>
                <w:sz w:val="18"/>
                <w:szCs w:val="18"/>
                <w:color w:val="auto"/>
                <w:w w:val="98"/>
              </w:rPr>
              <w:t>ENTRADA THERAPEUTICS, INC</w:t>
            </w:r>
          </w:p>
        </w:tc>
      </w:tr>
      <w:tr>
        <w:trPr>
          <w:trHeight w:val="194"/>
        </w:trPr>
        <w:tc>
          <w:tcPr>
            <w:tcW w:w="448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auto"/>
              </w:rPr>
              <w:t>By: /s/ Kevin Taylor</w:t>
            </w:r>
          </w:p>
        </w:tc>
        <w:tc>
          <w:tcPr>
            <w:tcW w:w="3760" w:type="dxa"/>
            <w:vAlign w:val="bottom"/>
            <w:gridSpan w:val="8"/>
          </w:tcPr>
          <w:p>
            <w:pPr>
              <w:ind w:left="1140"/>
              <w:spacing w:after="0" w:line="194" w:lineRule="exact"/>
              <w:rPr>
                <w:sz w:val="20"/>
                <w:szCs w:val="20"/>
                <w:color w:val="auto"/>
              </w:rPr>
            </w:pPr>
            <w:r>
              <w:rPr>
                <w:rFonts w:ascii="Times New Roman" w:cs="Times New Roman" w:eastAsia="Times New Roman" w:hAnsi="Times New Roman"/>
                <w:sz w:val="18"/>
                <w:szCs w:val="18"/>
                <w:color w:val="auto"/>
              </w:rPr>
              <w:t>By: /s/ Dipal Doshi</w:t>
            </w:r>
          </w:p>
        </w:tc>
      </w:tr>
      <w:tr>
        <w:trPr>
          <w:trHeight w:val="20"/>
        </w:trPr>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9"/>
        </w:trPr>
        <w:tc>
          <w:tcPr>
            <w:tcW w:w="4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Name: Kevin Taylor</w:t>
            </w:r>
          </w:p>
        </w:tc>
        <w:tc>
          <w:tcPr>
            <w:tcW w:w="3760" w:type="dxa"/>
            <w:vAlign w:val="bottom"/>
            <w:gridSpan w:val="8"/>
          </w:tcPr>
          <w:p>
            <w:pPr>
              <w:ind w:left="1140"/>
              <w:spacing w:after="0"/>
              <w:rPr>
                <w:sz w:val="20"/>
                <w:szCs w:val="20"/>
                <w:color w:val="auto"/>
              </w:rPr>
            </w:pPr>
            <w:r>
              <w:rPr>
                <w:rFonts w:ascii="Times New Roman" w:cs="Times New Roman" w:eastAsia="Times New Roman" w:hAnsi="Times New Roman"/>
                <w:sz w:val="18"/>
                <w:szCs w:val="18"/>
                <w:color w:val="auto"/>
              </w:rPr>
              <w:t>Name: Dipal Doshi</w:t>
            </w:r>
          </w:p>
        </w:tc>
      </w:tr>
      <w:tr>
        <w:trPr>
          <w:trHeight w:val="20"/>
        </w:trPr>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0"/>
        </w:trPr>
        <w:tc>
          <w:tcPr>
            <w:tcW w:w="4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Title: Vice President</w:t>
            </w:r>
          </w:p>
        </w:tc>
        <w:tc>
          <w:tcPr>
            <w:tcW w:w="3760" w:type="dxa"/>
            <w:vAlign w:val="bottom"/>
            <w:gridSpan w:val="8"/>
          </w:tcPr>
          <w:p>
            <w:pPr>
              <w:ind w:left="1140"/>
              <w:spacing w:after="0"/>
              <w:rPr>
                <w:sz w:val="20"/>
                <w:szCs w:val="20"/>
                <w:color w:val="auto"/>
              </w:rPr>
            </w:pPr>
            <w:r>
              <w:rPr>
                <w:rFonts w:ascii="Times New Roman" w:cs="Times New Roman" w:eastAsia="Times New Roman" w:hAnsi="Times New Roman"/>
                <w:sz w:val="18"/>
                <w:szCs w:val="18"/>
                <w:color w:val="auto"/>
              </w:rPr>
              <w:t>Title: President &amp; CEO</w:t>
            </w:r>
          </w:p>
        </w:tc>
      </w:tr>
      <w:tr>
        <w:trPr>
          <w:trHeight w:val="20"/>
        </w:trPr>
        <w:tc>
          <w:tcPr>
            <w:tcW w:w="420" w:type="dxa"/>
            <w:vAlign w:val="bottom"/>
            <w:gridSpan w:val="2"/>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9"/>
        </w:trPr>
        <w:tc>
          <w:tcPr>
            <w:tcW w:w="4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Date: 03/16/2020</w:t>
            </w:r>
          </w:p>
        </w:tc>
        <w:tc>
          <w:tcPr>
            <w:tcW w:w="3760" w:type="dxa"/>
            <w:vAlign w:val="bottom"/>
            <w:gridSpan w:val="8"/>
          </w:tcPr>
          <w:p>
            <w:pPr>
              <w:ind w:left="1140"/>
              <w:spacing w:after="0"/>
              <w:rPr>
                <w:sz w:val="20"/>
                <w:szCs w:val="20"/>
                <w:color w:val="auto"/>
              </w:rPr>
            </w:pPr>
            <w:r>
              <w:rPr>
                <w:rFonts w:ascii="Times New Roman" w:cs="Times New Roman" w:eastAsia="Times New Roman" w:hAnsi="Times New Roman"/>
                <w:sz w:val="18"/>
                <w:szCs w:val="18"/>
                <w:color w:val="auto"/>
              </w:rPr>
              <w:t>Date: 3/9/2020</w:t>
            </w: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Page 2 of 2</w:t>
      </w:r>
    </w:p>
    <w:p>
      <w:pPr>
        <w:sectPr>
          <w:pgSz w:w="11900" w:h="16838" w:orient="portrait"/>
          <w:cols w:equalWidth="0" w:num="1">
            <w:col w:w="10059"/>
          </w:cols>
          <w:pgMar w:left="400" w:top="1404" w:right="1440" w:bottom="1440" w:gutter="0" w:footer="0" w:header="0"/>
        </w:sectPr>
      </w:pPr>
    </w:p>
    <w:bookmarkStart w:id="208" w:name="page209"/>
    <w:bookmarkEnd w:id="208"/>
    <w:p>
      <w:pPr>
        <w:jc w:val="both"/>
        <w:ind w:right="20"/>
        <w:spacing w:after="0" w:line="239" w:lineRule="auto"/>
        <w:rPr>
          <w:sz w:val="20"/>
          <w:szCs w:val="20"/>
          <w:color w:val="auto"/>
        </w:rPr>
      </w:pPr>
      <w:r>
        <w:rPr>
          <w:rFonts w:ascii="Times New Roman" w:cs="Times New Roman" w:eastAsia="Times New Roman" w:hAnsi="Times New Roman"/>
          <w:sz w:val="18"/>
          <w:szCs w:val="18"/>
          <w:b w:val="1"/>
          <w:bCs w:val="1"/>
          <w:color w:val="auto"/>
        </w:rPr>
        <w:t>CERTAIN CONFIDENTIAL INFORMATION, MARKED BY [***] HAS BEEN EXCLUDED FROM THIS EXHIBIT BECAUSE IT IS BOTH NOT MATERIAL AND IS THE TYPE THAT THE REGISTRANT TREATS AS PRIVATE OR CONFIDENTIAL.</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AMENDMENT NO. 3 TO LICENSE AGREEMENT</w:t>
      </w:r>
    </w:p>
    <w:p>
      <w:pPr>
        <w:spacing w:after="0" w:line="162" w:lineRule="exact"/>
        <w:rPr>
          <w:sz w:val="20"/>
          <w:szCs w:val="20"/>
          <w:color w:val="auto"/>
        </w:rPr>
      </w:pPr>
    </w:p>
    <w:p>
      <w:pPr>
        <w:jc w:val="both"/>
        <w:ind w:right="20" w:firstLine="648"/>
        <w:spacing w:after="0" w:line="226" w:lineRule="auto"/>
        <w:rPr>
          <w:sz w:val="20"/>
          <w:szCs w:val="20"/>
          <w:color w:val="auto"/>
        </w:rPr>
      </w:pPr>
      <w:r>
        <w:rPr>
          <w:rFonts w:ascii="Times New Roman" w:cs="Times New Roman" w:eastAsia="Times New Roman" w:hAnsi="Times New Roman"/>
          <w:sz w:val="18"/>
          <w:szCs w:val="18"/>
          <w:color w:val="auto"/>
        </w:rPr>
        <w:t>This Amendment No. 3 to the License Agreement (“Amendment”), having an effective date of July 6, 2021 (“Amendment Effective Date”), is made and entered by and between Ohio State Innovation Foundation, located at 1524 North High Street, Columbus, Ohio 43201 (“OSIF”) and Entrada Therapeutics, Inc. located at 6 Tide Street, Boston, MA 02210 (“Licensee”), (individually “Party” or together “the Parties”).</w:t>
      </w:r>
    </w:p>
    <w:p>
      <w:pPr>
        <w:spacing w:after="0" w:line="1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62" w:lineRule="exact"/>
        <w:rPr>
          <w:sz w:val="20"/>
          <w:szCs w:val="20"/>
          <w:color w:val="auto"/>
        </w:rPr>
      </w:pPr>
    </w:p>
    <w:p>
      <w:pPr>
        <w:jc w:val="both"/>
        <w:ind w:right="40" w:firstLine="648"/>
        <w:spacing w:after="0" w:line="237" w:lineRule="auto"/>
        <w:rPr>
          <w:sz w:val="20"/>
          <w:szCs w:val="20"/>
          <w:color w:val="auto"/>
        </w:rPr>
      </w:pPr>
      <w:r>
        <w:rPr>
          <w:rFonts w:ascii="Times New Roman" w:cs="Times New Roman" w:eastAsia="Times New Roman" w:hAnsi="Times New Roman"/>
          <w:sz w:val="18"/>
          <w:szCs w:val="18"/>
          <w:color w:val="auto"/>
        </w:rPr>
        <w:t>WHEREAS, OSIF and Licensee entered into an Exclusive License Agreement dated December 14, 2018, OSIF agreement No. A2019-1293, and amended on October 8, 2019 and March 9, 2020 (“License Agreement”); and,</w:t>
      </w:r>
    </w:p>
    <w:p>
      <w:pPr>
        <w:spacing w:after="0" w:line="131" w:lineRule="exact"/>
        <w:rPr>
          <w:sz w:val="20"/>
          <w:szCs w:val="20"/>
          <w:color w:val="auto"/>
        </w:rPr>
      </w:pPr>
    </w:p>
    <w:p>
      <w:pPr>
        <w:jc w:val="both"/>
        <w:ind w:right="40" w:firstLine="648"/>
        <w:spacing w:after="0" w:line="237" w:lineRule="auto"/>
        <w:rPr>
          <w:sz w:val="20"/>
          <w:szCs w:val="20"/>
          <w:color w:val="auto"/>
        </w:rPr>
      </w:pPr>
      <w:r>
        <w:rPr>
          <w:rFonts w:ascii="Times New Roman" w:cs="Times New Roman" w:eastAsia="Times New Roman" w:hAnsi="Times New Roman"/>
          <w:sz w:val="18"/>
          <w:szCs w:val="18"/>
          <w:color w:val="auto"/>
        </w:rPr>
        <w:t>WHEREAS, OSIF and Licensee would like to amend and modify the License Agreement as identified below and such amendment shall be incorporated as part of the License Agreement.</w:t>
      </w:r>
    </w:p>
    <w:p>
      <w:pPr>
        <w:spacing w:after="0" w:line="131"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and adequacy of which are hereby acknowledged, the Parties hereto agree as follows:</w:t>
      </w:r>
    </w:p>
    <w:p>
      <w:pPr>
        <w:spacing w:after="0" w:line="131" w:lineRule="exact"/>
        <w:rPr>
          <w:sz w:val="20"/>
          <w:szCs w:val="20"/>
          <w:color w:val="auto"/>
        </w:rPr>
      </w:pPr>
    </w:p>
    <w:p>
      <w:pPr>
        <w:ind w:left="1300" w:right="40" w:hanging="644"/>
        <w:spacing w:after="0" w:line="237" w:lineRule="auto"/>
        <w:tabs>
          <w:tab w:leader="none" w:pos="9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All capitalized terms used herein and not otherwise defined herein shall have the meanings assigned to such terms in the License Agreement.</w:t>
      </w:r>
    </w:p>
    <w:p>
      <w:pPr>
        <w:spacing w:after="0" w:line="158"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row shall be added to the Program Patent Rights in Appendix 1B:</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800" w:type="dxa"/>
            <w:vAlign w:val="bottom"/>
            <w:tcBorders>
              <w:top w:val="single" w:sz="8" w:color="auto"/>
              <w:left w:val="single" w:sz="8" w:color="auto"/>
              <w:bottom w:val="single" w:sz="8" w:color="auto"/>
              <w:right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right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right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right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right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right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right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r>
    </w:tbl>
    <w:p>
      <w:pPr>
        <w:spacing w:after="0" w:line="292" w:lineRule="exact"/>
        <w:rPr>
          <w:sz w:val="20"/>
          <w:szCs w:val="20"/>
          <w:color w:val="auto"/>
        </w:rPr>
      </w:pPr>
    </w:p>
    <w:p>
      <w:pPr>
        <w:ind w:left="660"/>
        <w:spacing w:after="0"/>
        <w:tabs>
          <w:tab w:leader="none" w:pos="94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The following row shall be added to the Tech IDs in Appendix 1B:</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840" w:type="dxa"/>
            <w:vAlign w:val="bottom"/>
            <w:tcBorders>
              <w:top w:val="single" w:sz="8" w:color="auto"/>
              <w:left w:val="single" w:sz="8" w:color="auto"/>
              <w:bottom w:val="single" w:sz="8" w:color="auto"/>
              <w:right w:val="single" w:sz="8" w:color="auto"/>
            </w:tcBorders>
          </w:tcPr>
          <w:p>
            <w:pPr>
              <w:jc w:val="right"/>
              <w:ind w:right="3270"/>
              <w:spacing w:after="0"/>
              <w:rPr>
                <w:sz w:val="20"/>
                <w:szCs w:val="20"/>
                <w:color w:val="auto"/>
              </w:rPr>
            </w:pPr>
            <w:r>
              <w:rPr>
                <w:rFonts w:ascii="Times New Roman" w:cs="Times New Roman" w:eastAsia="Times New Roman" w:hAnsi="Times New Roman"/>
                <w:sz w:val="18"/>
                <w:szCs w:val="18"/>
                <w:color w:val="auto"/>
              </w:rPr>
              <w:t>[***]</w:t>
            </w:r>
          </w:p>
        </w:tc>
        <w:tc>
          <w:tcPr>
            <w:tcW w:w="3700" w:type="dxa"/>
            <w:vAlign w:val="bottom"/>
            <w:tcBorders>
              <w:top w:val="single" w:sz="8" w:color="auto"/>
              <w:bottom w:val="single" w:sz="8" w:color="auto"/>
              <w:right w:val="single" w:sz="8" w:color="auto"/>
            </w:tcBorders>
          </w:tcPr>
          <w:p>
            <w:pPr>
              <w:jc w:val="right"/>
              <w:ind w:right="3150"/>
              <w:spacing w:after="0"/>
              <w:rPr>
                <w:sz w:val="20"/>
                <w:szCs w:val="20"/>
                <w:color w:val="auto"/>
              </w:rPr>
            </w:pPr>
            <w:r>
              <w:rPr>
                <w:rFonts w:ascii="Times New Roman" w:cs="Times New Roman" w:eastAsia="Times New Roman" w:hAnsi="Times New Roman"/>
                <w:sz w:val="18"/>
                <w:szCs w:val="18"/>
                <w:color w:val="auto"/>
              </w:rPr>
              <w:t>[***]</w:t>
            </w:r>
          </w:p>
        </w:tc>
        <w:tc>
          <w:tcPr>
            <w:tcW w:w="3720" w:type="dxa"/>
            <w:vAlign w:val="bottom"/>
            <w:tcBorders>
              <w:top w:val="single" w:sz="8" w:color="auto"/>
              <w:bottom w:val="single" w:sz="8" w:color="auto"/>
              <w:right w:val="single" w:sz="8" w:color="auto"/>
            </w:tcBorders>
          </w:tcPr>
          <w:p>
            <w:pPr>
              <w:jc w:val="right"/>
              <w:ind w:right="3170"/>
              <w:spacing w:after="0"/>
              <w:rPr>
                <w:sz w:val="20"/>
                <w:szCs w:val="20"/>
                <w:color w:val="auto"/>
              </w:rPr>
            </w:pPr>
            <w:r>
              <w:rPr>
                <w:rFonts w:ascii="Times New Roman" w:cs="Times New Roman" w:eastAsia="Times New Roman" w:hAnsi="Times New Roman"/>
                <w:sz w:val="18"/>
                <w:szCs w:val="18"/>
                <w:color w:val="auto"/>
              </w:rPr>
              <w:t>[***]</w:t>
            </w:r>
          </w:p>
        </w:tc>
      </w:tr>
    </w:tbl>
    <w:p>
      <w:pPr>
        <w:spacing w:after="0" w:line="292" w:lineRule="exact"/>
        <w:rPr>
          <w:sz w:val="20"/>
          <w:szCs w:val="20"/>
          <w:color w:val="auto"/>
        </w:rPr>
      </w:pPr>
    </w:p>
    <w:p>
      <w:pPr>
        <w:ind w:left="1300" w:right="20" w:hanging="644"/>
        <w:spacing w:after="0" w:line="224" w:lineRule="auto"/>
        <w:tabs>
          <w:tab w:leader="none" w:pos="103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consideration for this Amendment, Licensee agrees to pay all of the costs and expenses, paid or incurred by OSIF, on or prior to the Amendment Effective Date associated with [***] within [***] ([***]) days after Licensee’s receipt of an invoice from OSIF. All costs, paid or incurred by OSIF, after the Amendment Effective Date shall be treated as Ongoing Patent Expenses pursuant to Section 6.1 of the License Agreement.</w:t>
      </w:r>
    </w:p>
    <w:p>
      <w:pPr>
        <w:spacing w:after="0" w:line="172" w:lineRule="exact"/>
        <w:rPr>
          <w:rFonts w:ascii="Times New Roman" w:cs="Times New Roman" w:eastAsia="Times New Roman" w:hAnsi="Times New Roman"/>
          <w:sz w:val="18"/>
          <w:szCs w:val="18"/>
          <w:color w:val="auto"/>
        </w:rPr>
      </w:pPr>
    </w:p>
    <w:p>
      <w:pPr>
        <w:ind w:left="1300" w:right="20" w:hanging="644"/>
        <w:spacing w:after="0" w:line="220" w:lineRule="auto"/>
        <w:tabs>
          <w:tab w:leader="none" w:pos="100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each of which shall be deemed to be an original and all of which together shall constitute an agreement, notwithstanding that all parties are not signatories to the same counterpart. Facsimile, documents executed, scanned and transmitted electronically and electronic signatures, including portable document format (“.pdf”), shall be deemed original documents for purposes of this Agreement, including the signature pages, and all matters related thereto, with such facsimile, scanned and electronic signatures having the same legal effect as original signatures.</w:t>
      </w:r>
    </w:p>
    <w:p>
      <w:pPr>
        <w:spacing w:after="0" w:line="158" w:lineRule="exact"/>
        <w:rPr>
          <w:rFonts w:ascii="Times New Roman" w:cs="Times New Roman" w:eastAsia="Times New Roman" w:hAnsi="Times New Roman"/>
          <w:sz w:val="18"/>
          <w:szCs w:val="18"/>
          <w:color w:val="auto"/>
        </w:rPr>
      </w:pPr>
    </w:p>
    <w:p>
      <w:pPr>
        <w:ind w:left="1300" w:right="20" w:hanging="644"/>
        <w:spacing w:after="0" w:line="237" w:lineRule="auto"/>
        <w:tabs>
          <w:tab w:leader="none" w:pos="103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Continued Force and Effect</w:t>
      </w:r>
      <w:r>
        <w:rPr>
          <w:rFonts w:ascii="Times New Roman" w:cs="Times New Roman" w:eastAsia="Times New Roman" w:hAnsi="Times New Roman"/>
          <w:sz w:val="18"/>
          <w:szCs w:val="18"/>
          <w:color w:val="auto"/>
        </w:rPr>
        <w:t>. Except as provided in this Amendment, all terms, conditions, and provisions of the License Agreement shall remain and continue in full force and effect as provided therein.</w:t>
      </w:r>
    </w:p>
    <w:p>
      <w:pPr>
        <w:sectPr>
          <w:pgSz w:w="11900" w:h="16838" w:orient="portrait"/>
          <w:cols w:equalWidth="0" w:num="1">
            <w:col w:w="11260"/>
          </w:cols>
          <w:pgMar w:left="320" w:top="1400" w:right="31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7"/>
          <w:szCs w:val="17"/>
          <w:color w:val="auto"/>
        </w:rPr>
        <w:t>IN WITNESS WHEREOF, the parties hereto have entered into this Amendment effective as of the Amendment Effective Date.</w:t>
      </w:r>
    </w:p>
    <w:p>
      <w:pPr>
        <w:sectPr>
          <w:pgSz w:w="11900" w:h="16838" w:orient="portrait"/>
          <w:cols w:equalWidth="0" w:num="1">
            <w:col w:w="9479"/>
          </w:cols>
          <w:pgMar w:left="980" w:top="1404" w:right="1440" w:bottom="1440" w:gutter="0" w:footer="0" w:header="0"/>
        </w:sectPr>
      </w:pPr>
    </w:p>
    <w:p>
      <w:pPr>
        <w:spacing w:after="0" w:line="16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7"/>
          <w:szCs w:val="17"/>
          <w:color w:val="auto"/>
        </w:rPr>
        <w:t>[AUTHORIZED SIGNATURES APPEAR ON THE FOLLOWING PAGE]</w:t>
      </w:r>
    </w:p>
    <w:p>
      <w:pPr>
        <w:sectPr>
          <w:pgSz w:w="11900" w:h="16838" w:orient="portrait"/>
          <w:cols w:equalWidth="0" w:num="1">
            <w:col w:w="9479"/>
          </w:cols>
          <w:pgMar w:left="980" w:top="1404" w:right="1440" w:bottom="1440" w:gutter="0" w:footer="0" w:header="0"/>
          <w:type w:val="continuous"/>
        </w:sectPr>
      </w:pPr>
    </w:p>
    <w:bookmarkStart w:id="210" w:name="page211"/>
    <w:bookmarkEnd w:id="210"/>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OHIO STATE INNOVATION FOUNDATION</w:t>
            </w:r>
          </w:p>
        </w:tc>
        <w:tc>
          <w:tcPr>
            <w:tcW w:w="3760" w:type="dxa"/>
            <w:vAlign w:val="bottom"/>
            <w:gridSpan w:val="6"/>
          </w:tcPr>
          <w:p>
            <w:pPr>
              <w:ind w:left="1140"/>
              <w:spacing w:after="0"/>
              <w:rPr>
                <w:sz w:val="20"/>
                <w:szCs w:val="20"/>
                <w:color w:val="auto"/>
              </w:rPr>
            </w:pPr>
            <w:r>
              <w:rPr>
                <w:rFonts w:ascii="Times New Roman" w:cs="Times New Roman" w:eastAsia="Times New Roman" w:hAnsi="Times New Roman"/>
                <w:sz w:val="18"/>
                <w:szCs w:val="18"/>
                <w:color w:val="auto"/>
                <w:w w:val="98"/>
              </w:rPr>
              <w:t>ENTRADA THERAPEUTICS, INC</w:t>
            </w:r>
          </w:p>
        </w:tc>
      </w:tr>
      <w:tr>
        <w:trPr>
          <w:trHeight w:val="194"/>
        </w:trPr>
        <w:tc>
          <w:tcPr>
            <w:tcW w:w="448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auto"/>
              </w:rPr>
              <w:t>By: /s/ Kevin Taylor</w:t>
            </w:r>
          </w:p>
        </w:tc>
        <w:tc>
          <w:tcPr>
            <w:tcW w:w="3760" w:type="dxa"/>
            <w:vAlign w:val="bottom"/>
            <w:gridSpan w:val="6"/>
          </w:tcPr>
          <w:p>
            <w:pPr>
              <w:ind w:left="1140"/>
              <w:spacing w:after="0" w:line="194" w:lineRule="exact"/>
              <w:rPr>
                <w:sz w:val="20"/>
                <w:szCs w:val="20"/>
                <w:color w:val="auto"/>
              </w:rPr>
            </w:pPr>
            <w:r>
              <w:rPr>
                <w:rFonts w:ascii="Times New Roman" w:cs="Times New Roman" w:eastAsia="Times New Roman" w:hAnsi="Times New Roman"/>
                <w:sz w:val="18"/>
                <w:szCs w:val="18"/>
                <w:color w:val="auto"/>
              </w:rPr>
              <w:t>By: /s/ Dipal Doshi</w:t>
            </w:r>
          </w:p>
        </w:tc>
      </w:tr>
      <w:tr>
        <w:trPr>
          <w:trHeight w:val="20"/>
        </w:trPr>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4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Name: Kevin Taylor</w:t>
            </w:r>
          </w:p>
        </w:tc>
        <w:tc>
          <w:tcPr>
            <w:tcW w:w="3760" w:type="dxa"/>
            <w:vAlign w:val="bottom"/>
            <w:gridSpan w:val="6"/>
          </w:tcPr>
          <w:p>
            <w:pPr>
              <w:ind w:left="1140"/>
              <w:spacing w:after="0"/>
              <w:rPr>
                <w:sz w:val="20"/>
                <w:szCs w:val="20"/>
                <w:color w:val="auto"/>
              </w:rPr>
            </w:pPr>
            <w:r>
              <w:rPr>
                <w:rFonts w:ascii="Times New Roman" w:cs="Times New Roman" w:eastAsia="Times New Roman" w:hAnsi="Times New Roman"/>
                <w:sz w:val="18"/>
                <w:szCs w:val="18"/>
                <w:color w:val="auto"/>
              </w:rPr>
              <w:t>Name: Dipal Doshi</w:t>
            </w:r>
          </w:p>
        </w:tc>
      </w:tr>
      <w:tr>
        <w:trPr>
          <w:trHeight w:val="20"/>
        </w:trPr>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4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Title: Vice President</w:t>
            </w:r>
          </w:p>
        </w:tc>
        <w:tc>
          <w:tcPr>
            <w:tcW w:w="3760" w:type="dxa"/>
            <w:vAlign w:val="bottom"/>
            <w:gridSpan w:val="6"/>
          </w:tcPr>
          <w:p>
            <w:pPr>
              <w:ind w:left="1140"/>
              <w:spacing w:after="0"/>
              <w:rPr>
                <w:sz w:val="20"/>
                <w:szCs w:val="20"/>
                <w:color w:val="auto"/>
              </w:rPr>
            </w:pPr>
            <w:r>
              <w:rPr>
                <w:rFonts w:ascii="Times New Roman" w:cs="Times New Roman" w:eastAsia="Times New Roman" w:hAnsi="Times New Roman"/>
                <w:sz w:val="18"/>
                <w:szCs w:val="18"/>
                <w:color w:val="auto"/>
              </w:rPr>
              <w:t>Title: President and CEO</w:t>
            </w:r>
          </w:p>
        </w:tc>
      </w:tr>
      <w:tr>
        <w:trPr>
          <w:trHeight w:val="20"/>
        </w:trPr>
        <w:tc>
          <w:tcPr>
            <w:tcW w:w="420" w:type="dxa"/>
            <w:vAlign w:val="bottom"/>
            <w:gridSpan w:val="2"/>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4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Date: 07/20/2021</w:t>
            </w:r>
          </w:p>
        </w:tc>
        <w:tc>
          <w:tcPr>
            <w:tcW w:w="3760" w:type="dxa"/>
            <w:vAlign w:val="bottom"/>
            <w:gridSpan w:val="6"/>
          </w:tcPr>
          <w:p>
            <w:pPr>
              <w:ind w:left="1140"/>
              <w:spacing w:after="0"/>
              <w:rPr>
                <w:sz w:val="20"/>
                <w:szCs w:val="20"/>
                <w:color w:val="auto"/>
              </w:rPr>
            </w:pPr>
            <w:r>
              <w:rPr>
                <w:rFonts w:ascii="Times New Roman" w:cs="Times New Roman" w:eastAsia="Times New Roman" w:hAnsi="Times New Roman"/>
                <w:sz w:val="18"/>
                <w:szCs w:val="18"/>
                <w:color w:val="auto"/>
              </w:rPr>
              <w:t>Date: July 15, 2021</w:t>
            </w: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ectPr>
          <w:pgSz w:w="11900" w:h="16838" w:orient="portrait"/>
          <w:cols w:equalWidth="0" w:num="1">
            <w:col w:w="10059"/>
          </w:cols>
          <w:pgMar w:left="400" w:top="1440" w:right="1440" w:bottom="1440" w:gutter="0" w:footer="0" w:header="0"/>
        </w:sectPr>
      </w:pPr>
    </w:p>
    <w:bookmarkStart w:id="211" w:name="page212"/>
    <w:bookmarkEnd w:id="211"/>
    <w:p>
      <w:pPr>
        <w:spacing w:after="0" w:line="20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b w:val="1"/>
          <w:bCs w:val="1"/>
          <w:color w:val="auto"/>
        </w:rPr>
        <w:t>CERTAIN CONFIDENTIAL INFORMATION, MARKED BY [***] HAS BEEN EXCLUDED FROM THIS EXHIBIT BECAUSE IT IS BOTH NOT MATERIAL AND IS THE TYPE THAT THE REGISTRANT TREATS AS PRIVATE OR CONFIDENTIAL.</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AMENDMENT NO. 4 TO LICENSE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Amendment No. 4 to the License Agreement (“Amendment”), having an effective date of February 7, 2022 (“Amendment Effective Date”), is made</w:t>
      </w:r>
    </w:p>
    <w:p>
      <w:pPr>
        <w:spacing w:after="0" w:line="2" w:lineRule="exact"/>
        <w:rPr>
          <w:sz w:val="20"/>
          <w:szCs w:val="20"/>
          <w:color w:val="auto"/>
        </w:rPr>
      </w:pPr>
    </w:p>
    <w:p>
      <w:pPr>
        <w:ind w:right="820"/>
        <w:spacing w:after="0" w:line="226" w:lineRule="auto"/>
        <w:rPr>
          <w:sz w:val="20"/>
          <w:szCs w:val="20"/>
          <w:color w:val="auto"/>
        </w:rPr>
      </w:pPr>
      <w:r>
        <w:rPr>
          <w:rFonts w:ascii="Times New Roman" w:cs="Times New Roman" w:eastAsia="Times New Roman" w:hAnsi="Times New Roman"/>
          <w:sz w:val="18"/>
          <w:szCs w:val="18"/>
          <w:color w:val="auto"/>
        </w:rPr>
        <w:t>and entered by and between Ohio State Innovation Foundation, located at 1524 North High Street, Columbus, Ohio 43201 (“OSIF”) and Entrada Therapeutics, Inc. located at 6 Tide Street, Boston, MA 02210 (“Licensee”), (individually “Party” or together “the Parties”).</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WHEREAS, OSIF and Licensee entered into an Exclusive License Agreement dated December 14, 2018, OSIF agreement No. A2019-1293, and amended on October 8, 2019, March 9, 2020, and July 6, 2021 (collectively the “License Agreement”); and,</w:t>
      </w:r>
    </w:p>
    <w:p>
      <w:pPr>
        <w:spacing w:after="0" w:line="185"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WHEREAS, OSIF and Licensee would like to amend and modify the License Agreement as identified below and such amendment shall be incorporated as part of the License Agreement.</w:t>
      </w:r>
    </w:p>
    <w:p>
      <w:pPr>
        <w:spacing w:after="0" w:line="176" w:lineRule="exact"/>
        <w:rPr>
          <w:sz w:val="20"/>
          <w:szCs w:val="20"/>
          <w:color w:val="auto"/>
        </w:rPr>
      </w:pPr>
    </w:p>
    <w:p>
      <w:pPr>
        <w:ind w:right="580"/>
        <w:spacing w:after="0" w:line="237"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and adequacy of which are hereby acknowledged, the Parties hereto agree as follows:</w:t>
      </w:r>
    </w:p>
    <w:p>
      <w:pPr>
        <w:spacing w:after="0" w:line="199" w:lineRule="exact"/>
        <w:rPr>
          <w:sz w:val="20"/>
          <w:szCs w:val="20"/>
          <w:color w:val="auto"/>
        </w:rPr>
      </w:pPr>
    </w:p>
    <w:p>
      <w:pPr>
        <w:ind w:left="1300" w:right="400" w:hanging="320"/>
        <w:spacing w:after="0" w:line="237" w:lineRule="auto"/>
        <w:tabs>
          <w:tab w:leader="none" w:pos="129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 All capitalized terms used herein and not otherwise defined herein shall have the meanings assigned to such terms in the License Agreement.</w:t>
      </w:r>
    </w:p>
    <w:p>
      <w:pPr>
        <w:spacing w:after="0" w:line="18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row shall be added to the Program Patent Rights in Appendix 1B:</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180" w:type="dxa"/>
            <w:vAlign w:val="bottom"/>
            <w:tcBorders>
              <w:top w:val="single" w:sz="8" w:color="auto"/>
              <w:left w:val="single" w:sz="8" w:color="auto"/>
              <w:bottom w:val="single" w:sz="8" w:color="auto"/>
              <w:right w:val="single" w:sz="8" w:color="auto"/>
            </w:tcBorders>
          </w:tcPr>
          <w:p>
            <w:pPr>
              <w:jc w:val="right"/>
              <w:ind w:right="16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top w:val="single" w:sz="8" w:color="auto"/>
              <w:bottom w:val="single" w:sz="8" w:color="auto"/>
              <w:right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right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top w:val="single" w:sz="8" w:color="auto"/>
              <w:bottom w:val="single" w:sz="8" w:color="auto"/>
              <w:right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color w:val="auto"/>
              </w:rPr>
              <w:t>[***]</w:t>
            </w:r>
          </w:p>
        </w:tc>
      </w:tr>
    </w:tbl>
    <w:p>
      <w:pPr>
        <w:spacing w:after="0" w:line="292"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The following row shall be added to the Tech IDs in Appendix 1B:</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jc w:val="right"/>
              <w:ind w:right="3190"/>
              <w:spacing w:after="0"/>
              <w:rPr>
                <w:sz w:val="20"/>
                <w:szCs w:val="20"/>
                <w:color w:val="auto"/>
              </w:rPr>
            </w:pPr>
            <w:r>
              <w:rPr>
                <w:rFonts w:ascii="Times New Roman" w:cs="Times New Roman" w:eastAsia="Times New Roman" w:hAnsi="Times New Roman"/>
                <w:sz w:val="18"/>
                <w:szCs w:val="18"/>
                <w:color w:val="auto"/>
              </w:rPr>
              <w:t>[***]</w:t>
            </w:r>
          </w:p>
        </w:tc>
        <w:tc>
          <w:tcPr>
            <w:tcW w:w="3760" w:type="dxa"/>
            <w:vAlign w:val="bottom"/>
            <w:tcBorders>
              <w:top w:val="single" w:sz="8" w:color="auto"/>
              <w:bottom w:val="single" w:sz="8" w:color="auto"/>
              <w:right w:val="single" w:sz="8" w:color="auto"/>
            </w:tcBorders>
          </w:tcPr>
          <w:p>
            <w:pPr>
              <w:jc w:val="right"/>
              <w:ind w:right="3230"/>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tcBorders>
              <w:top w:val="single" w:sz="8" w:color="auto"/>
              <w:bottom w:val="single" w:sz="8" w:color="auto"/>
              <w:right w:val="single" w:sz="8" w:color="auto"/>
            </w:tcBorders>
          </w:tcPr>
          <w:p>
            <w:pPr>
              <w:jc w:val="right"/>
              <w:ind w:right="3190"/>
              <w:spacing w:after="0"/>
              <w:rPr>
                <w:sz w:val="20"/>
                <w:szCs w:val="20"/>
                <w:color w:val="auto"/>
              </w:rPr>
            </w:pPr>
            <w:r>
              <w:rPr>
                <w:rFonts w:ascii="Times New Roman" w:cs="Times New Roman" w:eastAsia="Times New Roman" w:hAnsi="Times New Roman"/>
                <w:sz w:val="18"/>
                <w:szCs w:val="18"/>
                <w:color w:val="auto"/>
              </w:rPr>
              <w:t>[***]</w:t>
            </w:r>
          </w:p>
        </w:tc>
      </w:tr>
    </w:tbl>
    <w:p>
      <w:pPr>
        <w:spacing w:after="0" w:line="292" w:lineRule="exact"/>
        <w:rPr>
          <w:sz w:val="20"/>
          <w:szCs w:val="20"/>
          <w:color w:val="auto"/>
        </w:rPr>
      </w:pPr>
    </w:p>
    <w:p>
      <w:pPr>
        <w:ind w:left="1300" w:right="80" w:hanging="320"/>
        <w:spacing w:after="0" w:line="224" w:lineRule="auto"/>
        <w:tabs>
          <w:tab w:leader="none" w:pos="128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consideration for this Amendment, Licensee agrees to pay all of the costs and expenses, paid or incurred by OSIF, on or prior to the Amendment Effective Date associated with [***] within [***] ([***]) days after Licensee’s receipt of an invoice from OSIF. All costs, paid or incurred by OSIF, after the Amendment Effective Date shall be treated as Ongoing Patent Expenses pursuant to Section 6.1 of the License Agreement.</w:t>
      </w:r>
    </w:p>
    <w:p>
      <w:pPr>
        <w:spacing w:after="0" w:line="199" w:lineRule="exact"/>
        <w:rPr>
          <w:rFonts w:ascii="Times New Roman" w:cs="Times New Roman" w:eastAsia="Times New Roman" w:hAnsi="Times New Roman"/>
          <w:sz w:val="18"/>
          <w:szCs w:val="18"/>
          <w:color w:val="auto"/>
        </w:rPr>
      </w:pPr>
    </w:p>
    <w:p>
      <w:pPr>
        <w:ind w:left="1300" w:right="80" w:hanging="320"/>
        <w:spacing w:after="0" w:line="220" w:lineRule="auto"/>
        <w:tabs>
          <w:tab w:leader="none" w:pos="129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each of which shall be deemed to be an original and all of which together shall constitute an agreement, notwithstanding that all parties are not signatories to the same counterpart. Facsimile, documents executed, scanned and transmitted electronically and electronic signatures, including portable document format (“.pdf”), shall be deemed original documents for purposes of this Agreement, including the signature pages, and all matters related thereto, with such facsimile, scanned and electronic signatures having the same legal effect as original signatures.</w:t>
      </w:r>
    </w:p>
    <w:p>
      <w:pPr>
        <w:spacing w:after="0" w:line="185" w:lineRule="exact"/>
        <w:rPr>
          <w:rFonts w:ascii="Times New Roman" w:cs="Times New Roman" w:eastAsia="Times New Roman" w:hAnsi="Times New Roman"/>
          <w:sz w:val="18"/>
          <w:szCs w:val="18"/>
          <w:color w:val="auto"/>
        </w:rPr>
      </w:pPr>
    </w:p>
    <w:p>
      <w:pPr>
        <w:ind w:left="1300" w:right="80" w:hanging="320"/>
        <w:spacing w:after="0" w:line="250" w:lineRule="auto"/>
        <w:tabs>
          <w:tab w:leader="none" w:pos="129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Continued Force and Effect</w:t>
      </w:r>
      <w:r>
        <w:rPr>
          <w:rFonts w:ascii="Times New Roman" w:cs="Times New Roman" w:eastAsia="Times New Roman" w:hAnsi="Times New Roman"/>
          <w:sz w:val="18"/>
          <w:szCs w:val="18"/>
          <w:color w:val="auto"/>
        </w:rPr>
        <w:t>. Except as provided in this Amendment, all terms, conditions, and provisions of the License Agreement shall remain and continue in full force and effect as provided therein.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entered into this Amendment effective as of the Amendment Effective Date.</w:t>
      </w:r>
    </w:p>
    <w:p>
      <w:pPr>
        <w:spacing w:after="0" w:line="21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[AUTHORIZED SIGNATURES APPEAR ON THE FOLLOWING PAGE]</w:t>
      </w:r>
    </w:p>
    <w:p>
      <w:pPr>
        <w:sectPr>
          <w:pgSz w:w="11900" w:h="16838" w:orient="portrait"/>
          <w:cols w:equalWidth="0" w:num="1">
            <w:col w:w="11260"/>
          </w:cols>
          <w:pgMar w:left="320" w:top="1440" w:right="319" w:bottom="1440" w:gutter="0" w:footer="0" w:header="0"/>
        </w:sectPr>
      </w:pPr>
    </w:p>
    <w:bookmarkStart w:id="212" w:name="page213"/>
    <w:bookmarkEnd w:id="212"/>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OHIO STATE INNOVATION FOUNDATION</w:t>
            </w:r>
          </w:p>
        </w:tc>
        <w:tc>
          <w:tcPr>
            <w:tcW w:w="3760" w:type="dxa"/>
            <w:vAlign w:val="bottom"/>
            <w:gridSpan w:val="8"/>
          </w:tcPr>
          <w:p>
            <w:pPr>
              <w:ind w:left="1140"/>
              <w:spacing w:after="0"/>
              <w:rPr>
                <w:sz w:val="20"/>
                <w:szCs w:val="20"/>
                <w:color w:val="auto"/>
              </w:rPr>
            </w:pPr>
            <w:r>
              <w:rPr>
                <w:rFonts w:ascii="Times New Roman" w:cs="Times New Roman" w:eastAsia="Times New Roman" w:hAnsi="Times New Roman"/>
                <w:sz w:val="18"/>
                <w:szCs w:val="18"/>
                <w:color w:val="auto"/>
                <w:w w:val="98"/>
              </w:rPr>
              <w:t>ENTRADA THERAPEUTICS, INC</w:t>
            </w:r>
          </w:p>
        </w:tc>
      </w:tr>
      <w:tr>
        <w:trPr>
          <w:trHeight w:val="194"/>
        </w:trPr>
        <w:tc>
          <w:tcPr>
            <w:tcW w:w="448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auto"/>
              </w:rPr>
              <w:t>By: /s/ Kevin Taylor</w:t>
            </w:r>
          </w:p>
        </w:tc>
        <w:tc>
          <w:tcPr>
            <w:tcW w:w="3760" w:type="dxa"/>
            <w:vAlign w:val="bottom"/>
            <w:gridSpan w:val="8"/>
          </w:tcPr>
          <w:p>
            <w:pPr>
              <w:ind w:left="1140"/>
              <w:spacing w:after="0" w:line="194" w:lineRule="exact"/>
              <w:rPr>
                <w:sz w:val="20"/>
                <w:szCs w:val="20"/>
                <w:color w:val="auto"/>
              </w:rPr>
            </w:pPr>
            <w:r>
              <w:rPr>
                <w:rFonts w:ascii="Times New Roman" w:cs="Times New Roman" w:eastAsia="Times New Roman" w:hAnsi="Times New Roman"/>
                <w:sz w:val="18"/>
                <w:szCs w:val="18"/>
                <w:color w:val="auto"/>
              </w:rPr>
              <w:t>By: /s/ Dipal Doshi</w:t>
            </w:r>
          </w:p>
        </w:tc>
      </w:tr>
      <w:tr>
        <w:trPr>
          <w:trHeight w:val="20"/>
        </w:trPr>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4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Name: Kevin Taylor</w:t>
            </w:r>
          </w:p>
        </w:tc>
        <w:tc>
          <w:tcPr>
            <w:tcW w:w="3760" w:type="dxa"/>
            <w:vAlign w:val="bottom"/>
            <w:gridSpan w:val="8"/>
          </w:tcPr>
          <w:p>
            <w:pPr>
              <w:ind w:left="1140"/>
              <w:spacing w:after="0"/>
              <w:rPr>
                <w:sz w:val="20"/>
                <w:szCs w:val="20"/>
                <w:color w:val="auto"/>
              </w:rPr>
            </w:pPr>
            <w:r>
              <w:rPr>
                <w:rFonts w:ascii="Times New Roman" w:cs="Times New Roman" w:eastAsia="Times New Roman" w:hAnsi="Times New Roman"/>
                <w:sz w:val="18"/>
                <w:szCs w:val="18"/>
                <w:color w:val="auto"/>
              </w:rPr>
              <w:t>Name: Dipal Doshi</w:t>
            </w:r>
          </w:p>
        </w:tc>
      </w:tr>
      <w:tr>
        <w:trPr>
          <w:trHeight w:val="20"/>
        </w:trPr>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4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Title: Vice President</w:t>
            </w:r>
          </w:p>
        </w:tc>
        <w:tc>
          <w:tcPr>
            <w:tcW w:w="3760" w:type="dxa"/>
            <w:vAlign w:val="bottom"/>
            <w:gridSpan w:val="8"/>
          </w:tcPr>
          <w:p>
            <w:pPr>
              <w:ind w:left="1140"/>
              <w:spacing w:after="0"/>
              <w:rPr>
                <w:sz w:val="20"/>
                <w:szCs w:val="20"/>
                <w:color w:val="auto"/>
              </w:rPr>
            </w:pPr>
            <w:r>
              <w:rPr>
                <w:rFonts w:ascii="Times New Roman" w:cs="Times New Roman" w:eastAsia="Times New Roman" w:hAnsi="Times New Roman"/>
                <w:sz w:val="18"/>
                <w:szCs w:val="18"/>
                <w:color w:val="auto"/>
              </w:rPr>
              <w:t>Title: President and CEO</w:t>
            </w:r>
          </w:p>
        </w:tc>
      </w:tr>
      <w:tr>
        <w:trPr>
          <w:trHeight w:val="20"/>
        </w:trPr>
        <w:tc>
          <w:tcPr>
            <w:tcW w:w="420" w:type="dxa"/>
            <w:vAlign w:val="bottom"/>
            <w:gridSpan w:val="2"/>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4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Date: 02/08/2022</w:t>
            </w:r>
          </w:p>
        </w:tc>
        <w:tc>
          <w:tcPr>
            <w:tcW w:w="3760" w:type="dxa"/>
            <w:vAlign w:val="bottom"/>
            <w:gridSpan w:val="8"/>
          </w:tcPr>
          <w:p>
            <w:pPr>
              <w:ind w:left="1140"/>
              <w:spacing w:after="0"/>
              <w:rPr>
                <w:sz w:val="20"/>
                <w:szCs w:val="20"/>
                <w:color w:val="auto"/>
              </w:rPr>
            </w:pPr>
            <w:r>
              <w:rPr>
                <w:rFonts w:ascii="Times New Roman" w:cs="Times New Roman" w:eastAsia="Times New Roman" w:hAnsi="Times New Roman"/>
                <w:sz w:val="18"/>
                <w:szCs w:val="18"/>
                <w:color w:val="auto"/>
              </w:rPr>
              <w:t>Date: 02/08/2022</w:t>
            </w: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ectPr>
          <w:pgSz w:w="11900" w:h="16838" w:orient="portrait"/>
          <w:cols w:equalWidth="0" w:num="1">
            <w:col w:w="10059"/>
          </w:cols>
          <w:pgMar w:left="400" w:top="1440" w:right="1440" w:bottom="1440" w:gutter="0" w:footer="0" w:header="0"/>
        </w:sectPr>
      </w:pPr>
    </w:p>
    <w:bookmarkStart w:id="213" w:name="page214"/>
    <w:bookmarkEnd w:id="213"/>
    <w:p>
      <w:pPr>
        <w:spacing w:after="0" w:line="20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b w:val="1"/>
          <w:bCs w:val="1"/>
          <w:color w:val="auto"/>
        </w:rPr>
        <w:t>CERTAIN CONFIDENTIAL INFORMATION, MARKED BY [***] HAS BEEN EXCLUDED FROM THIS EXHIBIT BECAUSE IT IS BOTH NOT MATERIAL AND IS THE TYPE THAT THE REGISTRANT TREATS AS PRIVATE OR CONFIDENTIAL.</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AMENDMENT NO. 5 TO LICENSE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Amendment No. 5 to the License Agreement (“Amendment”), having an effective date of November 10, 2022 (“Amendment Effective Date”), is</w:t>
      </w:r>
    </w:p>
    <w:p>
      <w:pPr>
        <w:spacing w:after="0" w:line="2" w:lineRule="exact"/>
        <w:rPr>
          <w:sz w:val="20"/>
          <w:szCs w:val="20"/>
          <w:color w:val="auto"/>
        </w:rPr>
      </w:pPr>
    </w:p>
    <w:p>
      <w:pPr>
        <w:ind w:right="380"/>
        <w:spacing w:after="0" w:line="226" w:lineRule="auto"/>
        <w:rPr>
          <w:sz w:val="20"/>
          <w:szCs w:val="20"/>
          <w:color w:val="auto"/>
        </w:rPr>
      </w:pPr>
      <w:r>
        <w:rPr>
          <w:rFonts w:ascii="Times New Roman" w:cs="Times New Roman" w:eastAsia="Times New Roman" w:hAnsi="Times New Roman"/>
          <w:sz w:val="18"/>
          <w:szCs w:val="18"/>
          <w:color w:val="auto"/>
        </w:rPr>
        <w:t>made and entered by and between Ohio State Innovation Foundation, located at 1524 North High Street, Columbus, Ohio 43201 (“OSIF”) and Entrada Therapeutics, Inc. located at 6 Tide Street, Boston, MA 02210 (“Licensee”), (individually “Party” or together “the Parties”).</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WHEREAS, OSIF and Licensee entered into an Exclusive License Agreement dated December 14, 2018, OSIF agreement No. A2019-1293, and amended on October 8, 2019, March 9, 2020, July 6, 2021 and February 7, 2022 (collectively the “License Agreement”); 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OSIF and Licensee agree that Amendment No. 4 to License Agreement, having an effective date of February 7, 2022 (“Amendment No. 4”),</w:t>
      </w:r>
    </w:p>
    <w:p>
      <w:pPr>
        <w:spacing w:after="0" w:line="2" w:lineRule="exact"/>
        <w:rPr>
          <w:sz w:val="20"/>
          <w:szCs w:val="20"/>
          <w:color w:val="auto"/>
        </w:rPr>
      </w:pPr>
    </w:p>
    <w:p>
      <w:pPr>
        <w:ind w:right="220"/>
        <w:spacing w:after="0" w:line="226" w:lineRule="auto"/>
        <w:rPr>
          <w:sz w:val="20"/>
          <w:szCs w:val="20"/>
          <w:color w:val="auto"/>
        </w:rPr>
      </w:pPr>
      <w:r>
        <w:rPr>
          <w:rFonts w:ascii="Times New Roman" w:cs="Times New Roman" w:eastAsia="Times New Roman" w:hAnsi="Times New Roman"/>
          <w:sz w:val="18"/>
          <w:szCs w:val="18"/>
          <w:color w:val="auto"/>
        </w:rPr>
        <w:t>contains a clerical error misassigning the identified U.S. provisional patent application and corresponding technology ID to the incorrect Appendix in the License Agreement;</w:t>
      </w:r>
    </w:p>
    <w:p>
      <w:pPr>
        <w:spacing w:after="0" w:line="18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WHEREAS, OSIF and Licensee would like to amend and modify the License Agreement as identified below and such amendment shall be incorporated as part of the License Agreement.</w:t>
      </w:r>
    </w:p>
    <w:p>
      <w:pPr>
        <w:spacing w:after="0" w:line="176" w:lineRule="exact"/>
        <w:rPr>
          <w:sz w:val="20"/>
          <w:szCs w:val="20"/>
          <w:color w:val="auto"/>
        </w:rPr>
      </w:pPr>
    </w:p>
    <w:p>
      <w:pPr>
        <w:ind w:right="580"/>
        <w:spacing w:after="0" w:line="237"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and adequacy of which are hereby acknowledged, the Parties hereto agree as follows:</w:t>
      </w:r>
    </w:p>
    <w:p>
      <w:pPr>
        <w:spacing w:after="0" w:line="199" w:lineRule="exact"/>
        <w:rPr>
          <w:sz w:val="20"/>
          <w:szCs w:val="20"/>
          <w:color w:val="auto"/>
        </w:rPr>
      </w:pPr>
    </w:p>
    <w:p>
      <w:pPr>
        <w:ind w:left="660" w:right="440" w:hanging="328"/>
        <w:spacing w:after="0" w:line="237" w:lineRule="auto"/>
        <w:tabs>
          <w:tab w:leader="none" w:pos="65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 All capitalized terms used herein and not otherwise defined herein shall have the meanings assigned to such terms in the License Agreement.</w:t>
      </w:r>
    </w:p>
    <w:p>
      <w:pPr>
        <w:spacing w:after="0" w:line="18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row shall be removed from the Program Patent Rights in Appendix 1B and added to the Platform Patent Rights in Appendix 1A:</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240" w:type="dxa"/>
            <w:vAlign w:val="bottom"/>
            <w:tcBorders>
              <w:top w:val="single" w:sz="8" w:color="auto"/>
              <w:left w:val="single" w:sz="8" w:color="auto"/>
              <w:bottom w:val="single" w:sz="8" w:color="auto"/>
              <w:right w:val="single" w:sz="8" w:color="auto"/>
            </w:tcBorders>
          </w:tcPr>
          <w:p>
            <w:pPr>
              <w:jc w:val="right"/>
              <w:ind w:right="16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right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bottom w:val="single" w:sz="8" w:color="auto"/>
              <w:right w:val="single" w:sz="8" w:color="auto"/>
            </w:tcBorders>
          </w:tcPr>
          <w:p>
            <w:pPr>
              <w:jc w:val="right"/>
              <w:ind w:right="16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right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r>
    </w:tbl>
    <w:p>
      <w:pPr>
        <w:spacing w:after="0" w:line="292"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The following row shall be removed from the Tech IDs in Appendix 1B and added to the Tech IDs in Appendix 1A:</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jc w:val="right"/>
              <w:ind w:right="3190"/>
              <w:spacing w:after="0"/>
              <w:rPr>
                <w:sz w:val="20"/>
                <w:szCs w:val="20"/>
                <w:color w:val="auto"/>
              </w:rPr>
            </w:pPr>
            <w:r>
              <w:rPr>
                <w:rFonts w:ascii="Times New Roman" w:cs="Times New Roman" w:eastAsia="Times New Roman" w:hAnsi="Times New Roman"/>
                <w:sz w:val="18"/>
                <w:szCs w:val="18"/>
                <w:color w:val="auto"/>
              </w:rPr>
              <w:t>[***]</w:t>
            </w:r>
          </w:p>
        </w:tc>
        <w:tc>
          <w:tcPr>
            <w:tcW w:w="3760" w:type="dxa"/>
            <w:vAlign w:val="bottom"/>
            <w:tcBorders>
              <w:top w:val="single" w:sz="8" w:color="auto"/>
              <w:bottom w:val="single" w:sz="8" w:color="auto"/>
              <w:right w:val="single" w:sz="8" w:color="auto"/>
            </w:tcBorders>
          </w:tcPr>
          <w:p>
            <w:pPr>
              <w:jc w:val="right"/>
              <w:ind w:right="3230"/>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tcBorders>
              <w:top w:val="single" w:sz="8" w:color="auto"/>
              <w:bottom w:val="single" w:sz="8" w:color="auto"/>
              <w:right w:val="single" w:sz="8" w:color="auto"/>
            </w:tcBorders>
          </w:tcPr>
          <w:p>
            <w:pPr>
              <w:jc w:val="right"/>
              <w:ind w:right="3190"/>
              <w:spacing w:after="0"/>
              <w:rPr>
                <w:sz w:val="20"/>
                <w:szCs w:val="20"/>
                <w:color w:val="auto"/>
              </w:rPr>
            </w:pPr>
            <w:r>
              <w:rPr>
                <w:rFonts w:ascii="Times New Roman" w:cs="Times New Roman" w:eastAsia="Times New Roman" w:hAnsi="Times New Roman"/>
                <w:sz w:val="18"/>
                <w:szCs w:val="18"/>
                <w:color w:val="auto"/>
              </w:rPr>
              <w:t>[***]</w:t>
            </w:r>
          </w:p>
        </w:tc>
      </w:tr>
    </w:tbl>
    <w:p>
      <w:pPr>
        <w:spacing w:after="0" w:line="292" w:lineRule="exact"/>
        <w:rPr>
          <w:sz w:val="20"/>
          <w:szCs w:val="20"/>
          <w:color w:val="auto"/>
        </w:rPr>
      </w:pPr>
    </w:p>
    <w:p>
      <w:pPr>
        <w:ind w:left="660" w:right="280" w:hanging="328"/>
        <w:spacing w:after="0" w:line="231" w:lineRule="auto"/>
        <w:tabs>
          <w:tab w:leader="none" w:pos="64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consideration for this Amendment, Licensee agrees to pay all of the future costs and expenses, paid or incurred by OSIF, on or prior to the Amendment Effective Date associated with [***] within [***] ([***]) days after receipt of an invoice from OSIF. All costs, paid or incurred by OSIF, after the Amendment Effective Date shall be treated as Ongoing Patent Expenses pursuant to Section 6.1 of the License Agreement.</w:t>
      </w:r>
    </w:p>
    <w:p>
      <w:pPr>
        <w:spacing w:after="0" w:line="185" w:lineRule="exact"/>
        <w:rPr>
          <w:rFonts w:ascii="Times New Roman" w:cs="Times New Roman" w:eastAsia="Times New Roman" w:hAnsi="Times New Roman"/>
          <w:sz w:val="18"/>
          <w:szCs w:val="18"/>
          <w:color w:val="auto"/>
        </w:rPr>
      </w:pPr>
    </w:p>
    <w:p>
      <w:pPr>
        <w:ind w:left="660" w:right="40" w:hanging="328"/>
        <w:spacing w:after="0" w:line="223" w:lineRule="auto"/>
        <w:tabs>
          <w:tab w:leader="none" w:pos="65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each of which shall be deemed to be an original and all of which together shall constitute an agreement, notwithstanding that all parties are not signatories to the same counterpart. Facsimile, documents executed, scanned and transmitted electronically and electronic signatures, including portable document format (“.pdf”), shall be deemed original documents for purposes of this Agreement, including the signature pages, and all matters related thereto, with such facsimile, scanned and electronic signatures having the same legal effect as original signatures.</w:t>
      </w:r>
    </w:p>
    <w:p>
      <w:pPr>
        <w:spacing w:after="0" w:line="185" w:lineRule="exact"/>
        <w:rPr>
          <w:rFonts w:ascii="Times New Roman" w:cs="Times New Roman" w:eastAsia="Times New Roman" w:hAnsi="Times New Roman"/>
          <w:sz w:val="18"/>
          <w:szCs w:val="18"/>
          <w:color w:val="auto"/>
        </w:rPr>
      </w:pPr>
    </w:p>
    <w:p>
      <w:pPr>
        <w:ind w:left="660" w:right="200" w:hanging="328"/>
        <w:spacing w:after="0" w:line="237" w:lineRule="auto"/>
        <w:tabs>
          <w:tab w:leader="none" w:pos="65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Continued Force and Effect</w:t>
      </w:r>
      <w:r>
        <w:rPr>
          <w:rFonts w:ascii="Times New Roman" w:cs="Times New Roman" w:eastAsia="Times New Roman" w:hAnsi="Times New Roman"/>
          <w:sz w:val="18"/>
          <w:szCs w:val="18"/>
          <w:color w:val="auto"/>
        </w:rPr>
        <w:t>. Except as provided in this Amendment, all terms, conditions, and provisions of the License Agreement shall remain and continue in full force and effect as provided therein.</w:t>
      </w:r>
    </w:p>
    <w:p>
      <w:pPr>
        <w:spacing w:after="0" w:line="18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WITNESS WHEREOF, the parties hereto have entered into this Amendment effective as of the Amendment Effective Date.</w:t>
      </w:r>
    </w:p>
    <w:p>
      <w:pPr>
        <w:sectPr>
          <w:pgSz w:w="11900" w:h="16838" w:orient="portrait"/>
          <w:cols w:equalWidth="0" w:num="1">
            <w:col w:w="11260"/>
          </w:cols>
          <w:pgMar w:left="320" w:top="1440" w:right="319" w:bottom="1440" w:gutter="0" w:footer="0" w:header="0"/>
        </w:sectPr>
      </w:pPr>
    </w:p>
    <w:bookmarkStart w:id="214" w:name="page215"/>
    <w:bookmarkEnd w:id="214"/>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OHIO STATE INNOVATION FOUNDATION</w:t>
            </w:r>
          </w:p>
        </w:tc>
        <w:tc>
          <w:tcPr>
            <w:tcW w:w="3760" w:type="dxa"/>
            <w:vAlign w:val="bottom"/>
            <w:gridSpan w:val="8"/>
          </w:tcPr>
          <w:p>
            <w:pPr>
              <w:ind w:left="1140"/>
              <w:spacing w:after="0"/>
              <w:rPr>
                <w:sz w:val="20"/>
                <w:szCs w:val="20"/>
                <w:color w:val="auto"/>
              </w:rPr>
            </w:pPr>
            <w:r>
              <w:rPr>
                <w:rFonts w:ascii="Times New Roman" w:cs="Times New Roman" w:eastAsia="Times New Roman" w:hAnsi="Times New Roman"/>
                <w:sz w:val="18"/>
                <w:szCs w:val="18"/>
                <w:color w:val="auto"/>
                <w:w w:val="98"/>
              </w:rPr>
              <w:t>ENTRADA THERAPEUTICS, INC</w:t>
            </w:r>
          </w:p>
        </w:tc>
      </w:tr>
      <w:tr>
        <w:trPr>
          <w:trHeight w:val="194"/>
        </w:trPr>
        <w:tc>
          <w:tcPr>
            <w:tcW w:w="448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auto"/>
              </w:rPr>
              <w:t>By: /s/ Kevin Taylor</w:t>
            </w:r>
          </w:p>
        </w:tc>
        <w:tc>
          <w:tcPr>
            <w:tcW w:w="3760" w:type="dxa"/>
            <w:vAlign w:val="bottom"/>
            <w:gridSpan w:val="8"/>
          </w:tcPr>
          <w:p>
            <w:pPr>
              <w:ind w:left="1140"/>
              <w:spacing w:after="0" w:line="194" w:lineRule="exact"/>
              <w:rPr>
                <w:sz w:val="20"/>
                <w:szCs w:val="20"/>
                <w:color w:val="auto"/>
              </w:rPr>
            </w:pPr>
            <w:r>
              <w:rPr>
                <w:rFonts w:ascii="Times New Roman" w:cs="Times New Roman" w:eastAsia="Times New Roman" w:hAnsi="Times New Roman"/>
                <w:sz w:val="18"/>
                <w:szCs w:val="18"/>
                <w:color w:val="auto"/>
              </w:rPr>
              <w:t>By: /s/ Dipal Doshi</w:t>
            </w:r>
          </w:p>
        </w:tc>
      </w:tr>
      <w:tr>
        <w:trPr>
          <w:trHeight w:val="20"/>
        </w:trPr>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4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Name: Kevin Taylor</w:t>
            </w:r>
          </w:p>
        </w:tc>
        <w:tc>
          <w:tcPr>
            <w:tcW w:w="3760" w:type="dxa"/>
            <w:vAlign w:val="bottom"/>
            <w:gridSpan w:val="8"/>
          </w:tcPr>
          <w:p>
            <w:pPr>
              <w:ind w:left="1140"/>
              <w:spacing w:after="0"/>
              <w:rPr>
                <w:sz w:val="20"/>
                <w:szCs w:val="20"/>
                <w:color w:val="auto"/>
              </w:rPr>
            </w:pPr>
            <w:r>
              <w:rPr>
                <w:rFonts w:ascii="Times New Roman" w:cs="Times New Roman" w:eastAsia="Times New Roman" w:hAnsi="Times New Roman"/>
                <w:sz w:val="18"/>
                <w:szCs w:val="18"/>
                <w:color w:val="auto"/>
              </w:rPr>
              <w:t>Name: Dipal Doshi</w:t>
            </w:r>
          </w:p>
        </w:tc>
      </w:tr>
      <w:tr>
        <w:trPr>
          <w:trHeight w:val="20"/>
        </w:trPr>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4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Title: Vice President</w:t>
            </w:r>
          </w:p>
        </w:tc>
        <w:tc>
          <w:tcPr>
            <w:tcW w:w="3760" w:type="dxa"/>
            <w:vAlign w:val="bottom"/>
            <w:gridSpan w:val="8"/>
          </w:tcPr>
          <w:p>
            <w:pPr>
              <w:ind w:left="1140"/>
              <w:spacing w:after="0"/>
              <w:rPr>
                <w:sz w:val="20"/>
                <w:szCs w:val="20"/>
                <w:color w:val="auto"/>
              </w:rPr>
            </w:pPr>
            <w:r>
              <w:rPr>
                <w:rFonts w:ascii="Times New Roman" w:cs="Times New Roman" w:eastAsia="Times New Roman" w:hAnsi="Times New Roman"/>
                <w:sz w:val="18"/>
                <w:szCs w:val="18"/>
                <w:color w:val="auto"/>
              </w:rPr>
              <w:t>Title: President and CEO</w:t>
            </w:r>
          </w:p>
        </w:tc>
      </w:tr>
      <w:tr>
        <w:trPr>
          <w:trHeight w:val="20"/>
        </w:trPr>
        <w:tc>
          <w:tcPr>
            <w:tcW w:w="420" w:type="dxa"/>
            <w:vAlign w:val="bottom"/>
            <w:gridSpan w:val="2"/>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4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Date: 11/16/2022</w:t>
            </w:r>
          </w:p>
        </w:tc>
        <w:tc>
          <w:tcPr>
            <w:tcW w:w="3760" w:type="dxa"/>
            <w:vAlign w:val="bottom"/>
            <w:gridSpan w:val="8"/>
          </w:tcPr>
          <w:p>
            <w:pPr>
              <w:ind w:left="1140"/>
              <w:spacing w:after="0"/>
              <w:rPr>
                <w:sz w:val="20"/>
                <w:szCs w:val="20"/>
                <w:color w:val="auto"/>
              </w:rPr>
            </w:pPr>
            <w:r>
              <w:rPr>
                <w:rFonts w:ascii="Times New Roman" w:cs="Times New Roman" w:eastAsia="Times New Roman" w:hAnsi="Times New Roman"/>
                <w:sz w:val="18"/>
                <w:szCs w:val="18"/>
                <w:color w:val="auto"/>
              </w:rPr>
              <w:t>Date: 11/15/2022</w:t>
            </w: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ectPr>
          <w:pgSz w:w="11900" w:h="16838" w:orient="portrait"/>
          <w:cols w:equalWidth="0" w:num="1">
            <w:col w:w="10059"/>
          </w:cols>
          <w:pgMar w:left="400" w:top="1440" w:right="1440" w:bottom="1440" w:gutter="0" w:footer="0" w:header="0"/>
        </w:sectPr>
      </w:pPr>
    </w:p>
    <w:bookmarkStart w:id="215" w:name="page216"/>
    <w:bookmarkEnd w:id="215"/>
    <w:p>
      <w:pPr>
        <w:ind w:left="10220"/>
        <w:spacing w:after="0"/>
        <w:rPr>
          <w:sz w:val="20"/>
          <w:szCs w:val="20"/>
          <w:color w:val="auto"/>
        </w:rPr>
      </w:pPr>
      <w:r>
        <w:rPr>
          <w:rFonts w:ascii="Times New Roman" w:cs="Times New Roman" w:eastAsia="Times New Roman" w:hAnsi="Times New Roman"/>
          <w:sz w:val="17"/>
          <w:szCs w:val="17"/>
          <w:b w:val="1"/>
          <w:bCs w:val="1"/>
          <w:color w:val="auto"/>
        </w:rPr>
        <w:t>Exhibit 10.14</w:t>
      </w:r>
    </w:p>
    <w:p>
      <w:pPr>
        <w:spacing w:after="0" w:line="169"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b w:val="1"/>
          <w:bCs w:val="1"/>
          <w:color w:val="auto"/>
        </w:rPr>
        <w:t>CERTAIN CONFIDENTIAL INFORMATION, MARKED BY [***] HAS BEEN EXCLUDED FROM THIS EXHIBIT BECAUSE IT IS BOTH NOT MATERIAL AND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LEASE</w:t>
      </w:r>
    </w:p>
    <w:p>
      <w:pPr>
        <w:spacing w:after="0" w:line="14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IDB 17-19 DRYDOCK LIMITED PARTNERSHIP,</w:t>
      </w:r>
    </w:p>
    <w:p>
      <w:pPr>
        <w:jc w:val="center"/>
        <w:spacing w:after="0" w:line="210" w:lineRule="auto"/>
        <w:rPr>
          <w:sz w:val="20"/>
          <w:szCs w:val="20"/>
          <w:color w:val="auto"/>
        </w:rPr>
      </w:pPr>
      <w:r>
        <w:rPr>
          <w:rFonts w:ascii="Times New Roman" w:cs="Times New Roman" w:eastAsia="Times New Roman" w:hAnsi="Times New Roman"/>
          <w:sz w:val="18"/>
          <w:szCs w:val="18"/>
          <w:b w:val="1"/>
          <w:bCs w:val="1"/>
          <w:color w:val="auto"/>
        </w:rPr>
        <w:t>a Delaware Limited Partnership</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Landlord</w:t>
      </w:r>
    </w:p>
    <w:p>
      <w:pPr>
        <w:jc w:val="center"/>
        <w:spacing w:after="0" w:line="220" w:lineRule="auto"/>
        <w:rPr>
          <w:sz w:val="20"/>
          <w:szCs w:val="20"/>
          <w:color w:val="auto"/>
        </w:rPr>
      </w:pPr>
      <w:r>
        <w:rPr>
          <w:rFonts w:ascii="Times New Roman" w:cs="Times New Roman" w:eastAsia="Times New Roman" w:hAnsi="Times New Roman"/>
          <w:sz w:val="18"/>
          <w:szCs w:val="18"/>
          <w:b w:val="1"/>
          <w:bCs w:val="1"/>
          <w:color w:val="auto"/>
        </w:rPr>
        <w:t>and</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ENTRADA THERAPEUTICS, INC.,</w:t>
      </w:r>
    </w:p>
    <w:p>
      <w:pPr>
        <w:jc w:val="center"/>
        <w:spacing w:after="0" w:line="204" w:lineRule="auto"/>
        <w:rPr>
          <w:sz w:val="20"/>
          <w:szCs w:val="20"/>
          <w:color w:val="auto"/>
        </w:rPr>
      </w:pPr>
      <w:r>
        <w:rPr>
          <w:rFonts w:ascii="Times New Roman" w:cs="Times New Roman" w:eastAsia="Times New Roman" w:hAnsi="Times New Roman"/>
          <w:sz w:val="18"/>
          <w:szCs w:val="18"/>
          <w:b w:val="1"/>
          <w:bCs w:val="1"/>
          <w:color w:val="auto"/>
        </w:rPr>
        <w:t>a Delaware corporation</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Tenant</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for</w:t>
      </w:r>
    </w:p>
    <w:p>
      <w:pPr>
        <w:jc w:val="center"/>
        <w:spacing w:after="0" w:line="204" w:lineRule="auto"/>
        <w:rPr>
          <w:sz w:val="20"/>
          <w:szCs w:val="20"/>
          <w:color w:val="auto"/>
        </w:rPr>
      </w:pPr>
      <w:r>
        <w:rPr>
          <w:rFonts w:ascii="Times New Roman" w:cs="Times New Roman" w:eastAsia="Times New Roman" w:hAnsi="Times New Roman"/>
          <w:sz w:val="18"/>
          <w:szCs w:val="18"/>
          <w:b w:val="1"/>
          <w:bCs w:val="1"/>
          <w:color w:val="auto"/>
        </w:rPr>
        <w:t>The Innovation and Design Building</w:t>
      </w:r>
    </w:p>
    <w:p>
      <w:pPr>
        <w:jc w:val="center"/>
        <w:spacing w:after="0" w:line="188" w:lineRule="auto"/>
        <w:rPr>
          <w:sz w:val="20"/>
          <w:szCs w:val="20"/>
          <w:color w:val="auto"/>
        </w:rPr>
      </w:pPr>
      <w:r>
        <w:rPr>
          <w:rFonts w:ascii="Times New Roman" w:cs="Times New Roman" w:eastAsia="Times New Roman" w:hAnsi="Times New Roman"/>
          <w:sz w:val="17"/>
          <w:szCs w:val="17"/>
          <w:b w:val="1"/>
          <w:bCs w:val="1"/>
          <w:color w:val="auto"/>
        </w:rPr>
        <w:t>Premises located on the Fifth (5</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7"/>
          <w:szCs w:val="17"/>
          <w:b w:val="1"/>
          <w:bCs w:val="1"/>
          <w:color w:val="auto"/>
        </w:rPr>
        <w:t>) and Sixth (6</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7"/>
          <w:szCs w:val="17"/>
          <w:b w:val="1"/>
          <w:bCs w:val="1"/>
          <w:color w:val="auto"/>
        </w:rPr>
        <w:t>) Floors of One Design Center Place</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Boston, Massachusetts</w:t>
      </w:r>
    </w:p>
    <w:p>
      <w:pPr>
        <w:jc w:val="center"/>
        <w:spacing w:after="0"/>
        <w:rPr>
          <w:sz w:val="20"/>
          <w:szCs w:val="20"/>
          <w:color w:val="auto"/>
        </w:rPr>
      </w:pPr>
      <w:r>
        <w:rPr>
          <w:rFonts w:ascii="Times New Roman" w:cs="Times New Roman" w:eastAsia="Times New Roman" w:hAnsi="Times New Roman"/>
          <w:sz w:val="18"/>
          <w:szCs w:val="18"/>
          <w:b w:val="1"/>
          <w:bCs w:val="1"/>
          <w:color w:val="auto"/>
        </w:rPr>
        <w:t>March 16, 2022</w:t>
      </w:r>
    </w:p>
    <w:p>
      <w:pPr>
        <w:sectPr>
          <w:pgSz w:w="11900" w:h="16838" w:orient="portrait"/>
          <w:cols w:equalWidth="0" w:num="1">
            <w:col w:w="11240"/>
          </w:cols>
          <w:pgMar w:left="320" w:top="995" w:right="339"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2"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BASIC LEASE INFORMATION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6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ARTICLE II</w:t>
            </w:r>
          </w:p>
        </w:tc>
        <w:tc>
          <w:tcPr>
            <w:tcW w:w="80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51"/>
        </w:trPr>
        <w:tc>
          <w:tcPr>
            <w:tcW w:w="1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Section 2.1</w:t>
            </w: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 Premises and Term</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1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Section 2.2</w:t>
            </w: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Landlord’s Work Tenant’s Work; Payment of Landlord Contribution; Landlord’s Additional</w:t>
            </w:r>
          </w:p>
        </w:tc>
        <w:tc>
          <w:tcPr>
            <w:tcW w:w="1400" w:type="dxa"/>
            <w:vAlign w:val="bottom"/>
          </w:tcPr>
          <w:p>
            <w:pPr>
              <w:spacing w:after="0"/>
              <w:rPr>
                <w:sz w:val="19"/>
                <w:szCs w:val="19"/>
                <w:color w:val="auto"/>
              </w:rPr>
            </w:pPr>
          </w:p>
        </w:tc>
      </w:tr>
      <w:tr>
        <w:trPr>
          <w:trHeight w:val="234"/>
        </w:trPr>
        <w:tc>
          <w:tcPr>
            <w:tcW w:w="1720" w:type="dxa"/>
            <w:vAlign w:val="bottom"/>
          </w:tcPr>
          <w:p>
            <w:pPr>
              <w:spacing w:after="0"/>
              <w:rPr>
                <w:sz w:val="20"/>
                <w:szCs w:val="20"/>
                <w:color w:val="auto"/>
              </w:rPr>
            </w:pP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Contribution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1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Section 2.3</w:t>
            </w: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Use; Transportation of Animals; Vivarium</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1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Section 2.4</w:t>
            </w: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Base Rent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6"/>
        </w:trPr>
        <w:tc>
          <w:tcPr>
            <w:tcW w:w="1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Section 2.5</w:t>
            </w: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Tenant’s Proportionate Share of Operating Costs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7"/>
        </w:trPr>
        <w:tc>
          <w:tcPr>
            <w:tcW w:w="1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Section 2.6</w:t>
            </w: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Separately Metered Utilities and Utility Usage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7"/>
        </w:trPr>
        <w:tc>
          <w:tcPr>
            <w:tcW w:w="1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Section 2.7</w:t>
            </w: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Additional Rent; Payments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7"/>
        </w:trPr>
        <w:tc>
          <w:tcPr>
            <w:tcW w:w="1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Section 2.8</w:t>
            </w: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Appurtenant Rights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51"/>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ARTICLE III</w:t>
            </w:r>
          </w:p>
        </w:tc>
        <w:tc>
          <w:tcPr>
            <w:tcW w:w="80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51"/>
        </w:trPr>
        <w:tc>
          <w:tcPr>
            <w:tcW w:w="1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Section 3.1</w:t>
            </w: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Utilities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57"/>
        </w:trPr>
        <w:tc>
          <w:tcPr>
            <w:tcW w:w="1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Section 3.2</w:t>
            </w: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Services to be Furnished by Landlord to Tenant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57"/>
        </w:trPr>
        <w:tc>
          <w:tcPr>
            <w:tcW w:w="1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Section 3.3</w:t>
            </w: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Landlord’s Failure to Provide Utilities or Services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56"/>
        </w:trPr>
        <w:tc>
          <w:tcPr>
            <w:tcW w:w="1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Section 3.4</w:t>
            </w: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Peaceful Enjoyment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56"/>
        </w:trPr>
        <w:tc>
          <w:tcPr>
            <w:tcW w:w="1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Section 3.5</w:t>
            </w: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Hazardous Materials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51"/>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ARTICLE IV</w:t>
            </w:r>
          </w:p>
        </w:tc>
        <w:tc>
          <w:tcPr>
            <w:tcW w:w="80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51"/>
        </w:trPr>
        <w:tc>
          <w:tcPr>
            <w:tcW w:w="1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Section 4.1</w:t>
            </w: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6"/>
        </w:trPr>
        <w:tc>
          <w:tcPr>
            <w:tcW w:w="1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Section 4.2</w:t>
            </w: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Alterations, Improvements and Additions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7"/>
        </w:trPr>
        <w:tc>
          <w:tcPr>
            <w:tcW w:w="1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Section 4.3</w:t>
            </w: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Maintenance and Repairs and Cleaning</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56"/>
        </w:trPr>
        <w:tc>
          <w:tcPr>
            <w:tcW w:w="1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Section 4.4</w:t>
            </w: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Trade Fixtures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57"/>
        </w:trPr>
        <w:tc>
          <w:tcPr>
            <w:tcW w:w="1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Section 4.5</w:t>
            </w: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Laws and Regulations; Building Rules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7"/>
        </w:trPr>
        <w:tc>
          <w:tcPr>
            <w:tcW w:w="1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Section 4.6</w:t>
            </w: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Landlord’s Access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6"/>
        </w:trPr>
        <w:tc>
          <w:tcPr>
            <w:tcW w:w="1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Section 4.7</w:t>
            </w: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Tenant’s Access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7"/>
        </w:trPr>
        <w:tc>
          <w:tcPr>
            <w:tcW w:w="1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Section 4.8</w:t>
            </w: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Assignment and Subletting by Tenant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6"/>
        </w:trPr>
        <w:tc>
          <w:tcPr>
            <w:tcW w:w="1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Section 4.9</w:t>
            </w: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Light, Air and View</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7"/>
        </w:trPr>
        <w:tc>
          <w:tcPr>
            <w:tcW w:w="17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Section 4.10</w:t>
            </w: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6"/>
        </w:trPr>
        <w:tc>
          <w:tcPr>
            <w:tcW w:w="1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Section 4.11</w:t>
            </w: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Liens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7"/>
        </w:trPr>
        <w:tc>
          <w:tcPr>
            <w:tcW w:w="17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Section 4.12</w:t>
            </w: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Subordination to Mortgages and Leases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6"/>
        </w:trPr>
        <w:tc>
          <w:tcPr>
            <w:tcW w:w="17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Section 4.13</w:t>
            </w: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Certificates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7"/>
        </w:trPr>
        <w:tc>
          <w:tcPr>
            <w:tcW w:w="17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Section 4.14</w:t>
            </w: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Limitation on Weight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7"/>
        </w:trPr>
        <w:tc>
          <w:tcPr>
            <w:tcW w:w="17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Section 4.15</w:t>
            </w: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Access to Books and Records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6"/>
        </w:trPr>
        <w:tc>
          <w:tcPr>
            <w:tcW w:w="17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Section 4.16</w:t>
            </w: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Restorative Work; Renovations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6"/>
        </w:trPr>
        <w:tc>
          <w:tcPr>
            <w:tcW w:w="17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Section 4.17</w:t>
            </w: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Boston Marine Industrial Park</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65"/>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ARTICLE V</w:t>
            </w:r>
          </w:p>
        </w:tc>
        <w:tc>
          <w:tcPr>
            <w:tcW w:w="80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64"/>
        </w:trPr>
        <w:tc>
          <w:tcPr>
            <w:tcW w:w="1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Section 5.1</w:t>
            </w: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Condemnation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6"/>
        </w:trPr>
        <w:tc>
          <w:tcPr>
            <w:tcW w:w="1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Section 5.2</w:t>
            </w: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Casualty Damage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200" w:lineRule="exact"/>
        <w:rPr>
          <w:sz w:val="20"/>
          <w:szCs w:val="20"/>
          <w:color w:val="auto"/>
        </w:rPr>
      </w:pPr>
    </w:p>
    <w:p>
      <w:pPr>
        <w:sectPr>
          <w:pgSz w:w="11900" w:h="16838" w:orient="portrait"/>
          <w:cols w:equalWidth="0" w:num="1">
            <w:col w:w="11200"/>
          </w:cols>
          <w:pgMar w:left="340" w:top="10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-i-</w:t>
      </w:r>
    </w:p>
    <w:p>
      <w:pPr>
        <w:sectPr>
          <w:pgSz w:w="11900" w:h="16838" w:orient="portrait"/>
          <w:cols w:equalWidth="0" w:num="1">
            <w:col w:w="11200"/>
          </w:cols>
          <w:pgMar w:left="340" w:top="104" w:right="359" w:bottom="1440" w:gutter="0" w:footer="0" w:header="0"/>
          <w:type w:val="continuous"/>
        </w:sectPr>
      </w:pPr>
    </w:p>
    <w:bookmarkStart w:id="217" w:name="page218"/>
    <w:bookmarkEnd w:id="217"/>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jc w:val="center"/>
        <w:spacing w:after="0" w:line="224" w:lineRule="auto"/>
        <w:rPr>
          <w:sz w:val="20"/>
          <w:szCs w:val="20"/>
          <w:color w:val="auto"/>
        </w:rPr>
      </w:pPr>
      <w:r>
        <w:rPr>
          <w:rFonts w:ascii="Times New Roman" w:cs="Times New Roman" w:eastAsia="Times New Roman" w:hAnsi="Times New Roman"/>
          <w:sz w:val="18"/>
          <w:szCs w:val="18"/>
          <w:b w:val="1"/>
          <w:bCs w:val="1"/>
          <w:color w:val="auto"/>
        </w:rPr>
        <w:t>(continued)</w:t>
      </w:r>
    </w:p>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Page</w:t>
      </w:r>
    </w:p>
    <w:p>
      <w:pPr>
        <w:sectPr>
          <w:pgSz w:w="11900" w:h="16838" w:orient="portrait"/>
          <w:cols w:equalWidth="0" w:num="1">
            <w:col w:w="11200"/>
          </w:cols>
          <w:pgMar w:left="340" w:top="10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Section 5.3</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Section 5.4</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Section 5.5</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Section 5.6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Section 6.1</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Section 6.2</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Section 6.3</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Section 6.4</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Section 6.5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VII</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Section 7.1</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Section 7.2</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Section 7.3</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Section 7.4</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Section 7.5</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Section 7.6</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Section 7.7</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Section 7.8</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Section 7.9</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Section 7.10</w:t>
      </w:r>
    </w:p>
    <w:p>
      <w:pPr>
        <w:spacing w:after="0" w:line="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Section 7.11</w:t>
      </w:r>
    </w:p>
    <w:p>
      <w:pPr>
        <w:spacing w:after="0" w:line="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Section 7.12</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Section 7.13</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Section 7.14</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Section 7.15</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Section 7.16</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Section 7.17</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Section 7.18</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Section 7.19</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Section 7.20</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Section 7.21</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Section 7.22</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Section 7.23</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Section 7.24</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Section 7.25</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Section 7.26</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Section 7.27</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Section 7.28</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Section 7.29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Surrender of Leased Premises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5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Damages from Certain Causes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Hold Harmless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64"/>
        </w:trPr>
        <w:tc>
          <w:tcPr>
            <w:tcW w:w="684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65"/>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Default by Tenant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Landlord’s Remedies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Landlord’s Right to Perform Certain Obligations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Cumulative Remedies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Security Deposit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64"/>
        </w:trPr>
        <w:tc>
          <w:tcPr>
            <w:tcW w:w="684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65"/>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Attorneys’ Fees and Other Expenses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5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Alteration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Non-Waiver</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Notices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5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Merger of Estates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Other Tenants of Building</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5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Consent by Landlord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Legal Interpretation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5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Entire Agreement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Assignment by Landlord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5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Authority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Limitation of Liability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5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Time of the Essence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Instruments and Evidence Required to Be Submitted to Landlord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Counterparts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5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Gender</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Force Majeure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5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Recordation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Prime Lease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5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Commissions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Surrender of Premises and Holding Over</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5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Relocation of Premises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When Lease Becomes Binding</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5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No Construction Against Drafting Party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5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OFAC List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5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Confidentiality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5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Sustainability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Intentionally omitted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200" w:lineRule="exact"/>
        <w:rPr>
          <w:sz w:val="20"/>
          <w:szCs w:val="20"/>
          <w:color w:val="auto"/>
        </w:rPr>
      </w:pPr>
    </w:p>
    <w:p>
      <w:pPr>
        <w:sectPr>
          <w:pgSz w:w="11900" w:h="16838" w:orient="portrait"/>
          <w:cols w:equalWidth="0" w:num="2">
            <w:col w:w="1440" w:space="560"/>
            <w:col w:w="9200"/>
          </w:cols>
          <w:pgMar w:left="340" w:top="10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1200"/>
          </w:cols>
          <w:pgMar w:left="340" w:top="104" w:right="359" w:bottom="1440" w:gutter="0" w:footer="0" w:header="0"/>
          <w:type w:val="continuous"/>
        </w:sectPr>
      </w:pPr>
    </w:p>
    <w:bookmarkStart w:id="218" w:name="page219"/>
    <w:bookmarkEnd w:id="218"/>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jc w:val="center"/>
        <w:spacing w:after="0" w:line="224" w:lineRule="auto"/>
        <w:rPr>
          <w:sz w:val="20"/>
          <w:szCs w:val="20"/>
          <w:color w:val="auto"/>
        </w:rPr>
      </w:pPr>
      <w:r>
        <w:rPr>
          <w:rFonts w:ascii="Times New Roman" w:cs="Times New Roman" w:eastAsia="Times New Roman" w:hAnsi="Times New Roman"/>
          <w:sz w:val="18"/>
          <w:szCs w:val="18"/>
          <w:b w:val="1"/>
          <w:bCs w:val="1"/>
          <w:color w:val="auto"/>
        </w:rPr>
        <w:t>(continued)</w:t>
      </w:r>
    </w:p>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Page</w:t>
      </w:r>
    </w:p>
    <w:p>
      <w:pPr>
        <w:sectPr>
          <w:pgSz w:w="11900" w:h="16838" w:orient="portrait"/>
          <w:cols w:equalWidth="0" w:num="1">
            <w:col w:w="11200"/>
          </w:cols>
          <w:pgMar w:left="340" w:top="10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Section 7.30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VIII</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Section 8.1</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Section 8.2</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Section 8.3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IX</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Section 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Section 10.1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XI</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Section 11.1</w:t>
      </w:r>
    </w:p>
    <w:p>
      <w:pPr>
        <w:spacing w:after="0" w:line="61"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Section 11.2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Parking</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64"/>
        </w:trPr>
        <w:tc>
          <w:tcPr>
            <w:tcW w:w="5720" w:type="dxa"/>
            <w:vAlign w:val="bottom"/>
          </w:tcPr>
          <w:p>
            <w:pPr>
              <w:spacing w:after="0"/>
              <w:rPr>
                <w:sz w:val="24"/>
                <w:szCs w:val="24"/>
                <w:color w:val="auto"/>
              </w:rPr>
            </w:pP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65"/>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Renewal Term</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5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Renewal Term Rent</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57"/>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Arbitration</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64"/>
        </w:trPr>
        <w:tc>
          <w:tcPr>
            <w:tcW w:w="5720" w:type="dxa"/>
            <w:vAlign w:val="bottom"/>
          </w:tcPr>
          <w:p>
            <w:pPr>
              <w:spacing w:after="0"/>
              <w:rPr>
                <w:sz w:val="24"/>
                <w:szCs w:val="24"/>
                <w:color w:val="auto"/>
              </w:rPr>
            </w:pP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65"/>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Right of First Offer</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64"/>
        </w:trPr>
        <w:tc>
          <w:tcPr>
            <w:tcW w:w="5720" w:type="dxa"/>
            <w:vAlign w:val="bottom"/>
          </w:tcPr>
          <w:p>
            <w:pPr>
              <w:spacing w:after="0"/>
              <w:rPr>
                <w:sz w:val="24"/>
                <w:szCs w:val="24"/>
                <w:color w:val="auto"/>
              </w:rPr>
            </w:pP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65"/>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Rooftop Area</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64"/>
        </w:trPr>
        <w:tc>
          <w:tcPr>
            <w:tcW w:w="5720" w:type="dxa"/>
            <w:vAlign w:val="bottom"/>
          </w:tcPr>
          <w:p>
            <w:pPr>
              <w:spacing w:after="0"/>
              <w:rPr>
                <w:sz w:val="24"/>
                <w:szCs w:val="24"/>
                <w:color w:val="auto"/>
              </w:rPr>
            </w:pP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6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Definitions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57"/>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Exhibits, Supplements and Riders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2">
            <w:col w:w="1440" w:space="560"/>
            <w:col w:w="9200"/>
          </w:cols>
          <w:pgMar w:left="340" w:top="104" w:right="359" w:bottom="1440" w:gutter="0" w:footer="0" w:header="0"/>
          <w:type w:val="continuous"/>
        </w:sectPr>
      </w:pPr>
    </w:p>
    <w:bookmarkStart w:id="219" w:name="page220"/>
    <w:bookmarkEnd w:id="219"/>
    <w:p>
      <w:pPr>
        <w:jc w:val="center"/>
        <w:spacing w:after="0"/>
        <w:rPr>
          <w:sz w:val="20"/>
          <w:szCs w:val="20"/>
          <w:color w:val="auto"/>
        </w:rPr>
      </w:pPr>
      <w:r>
        <w:rPr>
          <w:rFonts w:ascii="Times New Roman" w:cs="Times New Roman" w:eastAsia="Times New Roman" w:hAnsi="Times New Roman"/>
          <w:sz w:val="18"/>
          <w:szCs w:val="18"/>
          <w:b w:val="1"/>
          <w:bCs w:val="1"/>
          <w:color w:val="auto"/>
        </w:rPr>
        <w:t>THE INNOVATION AND DESIGN BUILDING</w:t>
      </w:r>
    </w:p>
    <w:p>
      <w:pPr>
        <w:jc w:val="center"/>
        <w:spacing w:after="0"/>
        <w:rPr>
          <w:sz w:val="20"/>
          <w:szCs w:val="20"/>
          <w:color w:val="auto"/>
        </w:rPr>
      </w:pPr>
      <w:r>
        <w:rPr>
          <w:rFonts w:ascii="Times New Roman" w:cs="Times New Roman" w:eastAsia="Times New Roman" w:hAnsi="Times New Roman"/>
          <w:sz w:val="18"/>
          <w:szCs w:val="18"/>
          <w:b w:val="1"/>
          <w:bCs w:val="1"/>
          <w:color w:val="auto"/>
        </w:rPr>
        <w:t>Lease Agreement</w:t>
      </w:r>
    </w:p>
    <w:p>
      <w:pPr>
        <w:spacing w:after="0" w:line="134"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THIS LEASE AGREEMENT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is made and entered into as of March 16, 2022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by and between </w:t>
      </w:r>
      <w:r>
        <w:rPr>
          <w:rFonts w:ascii="Times New Roman" w:cs="Times New Roman" w:eastAsia="Times New Roman" w:hAnsi="Times New Roman"/>
          <w:sz w:val="18"/>
          <w:szCs w:val="18"/>
          <w:b w:val="1"/>
          <w:bCs w:val="1"/>
          <w:color w:val="auto"/>
        </w:rPr>
        <w:t>IDB 17-19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DRYDOCK LIMITED PARTNERSHIP</w:t>
      </w:r>
      <w:r>
        <w:rPr>
          <w:rFonts w:ascii="Times New Roman" w:cs="Times New Roman" w:eastAsia="Times New Roman" w:hAnsi="Times New Roman"/>
          <w:sz w:val="18"/>
          <w:szCs w:val="18"/>
          <w:color w:val="auto"/>
        </w:rPr>
        <w:t>, a Delaware limited partnership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whose address is c/o Jamestown, Ponce City Market, 675 Ponce</w:t>
      </w: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de Leon Avenue, NE, 7th Floor, Atlanta, Georgia 30308 and c/o Related Fund Management, 30 Hudson Yards, New York, New York 10001, and </w:t>
      </w:r>
      <w:r>
        <w:rPr>
          <w:rFonts w:ascii="Times New Roman" w:cs="Times New Roman" w:eastAsia="Times New Roman" w:hAnsi="Times New Roman"/>
          <w:sz w:val="18"/>
          <w:szCs w:val="18"/>
          <w:b w:val="1"/>
          <w:bCs w:val="1"/>
          <w:color w:val="auto"/>
        </w:rPr>
        <w:t>ENTRADA THERAPEUTICS,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 whose address is 6 Tide Street, Boston, Massachusetts 02210. The terms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herein shall have the respective meanings set forth for the same in Articles I and XI of this Lease.</w:t>
      </w:r>
    </w:p>
    <w:p>
      <w:pPr>
        <w:spacing w:after="0" w:line="131"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Subject to all of the terms and conditions of this Lease, and in consideration of the covenants and obligations contained in this Lease, Landlord and Tenant agree as follows:</w:t>
      </w:r>
    </w:p>
    <w:p>
      <w:pPr>
        <w:spacing w:after="0" w:line="1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w:t>
      </w:r>
    </w:p>
    <w:p>
      <w:pPr>
        <w:jc w:val="center"/>
        <w:spacing w:after="0"/>
        <w:rPr>
          <w:sz w:val="20"/>
          <w:szCs w:val="20"/>
          <w:color w:val="auto"/>
        </w:rPr>
      </w:pPr>
      <w:r>
        <w:rPr>
          <w:rFonts w:ascii="Times New Roman" w:cs="Times New Roman" w:eastAsia="Times New Roman" w:hAnsi="Times New Roman"/>
          <w:sz w:val="18"/>
          <w:szCs w:val="18"/>
          <w:b w:val="1"/>
          <w:bCs w:val="1"/>
          <w:color w:val="auto"/>
        </w:rPr>
        <w:t>BASIC LEASE INFORMATION</w:t>
      </w:r>
    </w:p>
    <w:p>
      <w:pPr>
        <w:spacing w:after="0" w:line="134"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18"/>
          <w:szCs w:val="18"/>
          <w:b w:val="1"/>
          <w:bCs w:val="1"/>
          <w:color w:val="auto"/>
        </w:rPr>
        <w:t xml:space="preserve">Leased Premises </w:t>
      </w:r>
      <w:r>
        <w:rPr>
          <w:rFonts w:ascii="Times New Roman" w:cs="Times New Roman" w:eastAsia="Times New Roman" w:hAnsi="Times New Roman"/>
          <w:sz w:val="18"/>
          <w:szCs w:val="18"/>
          <w:color w:val="auto"/>
        </w:rPr>
        <w:t>shall mean, in the aggregate, approximately 81,442 rentable square feet comprised of: (i) approximately 72,314 rentable square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feet located on the fifth (5th) floor; (ii) approximately 8,324 rentable square feet located on the sixth (6th) floor, each as shown on the floor plans attached</w:t>
      </w:r>
    </w:p>
    <w:p>
      <w:pPr>
        <w:spacing w:after="0" w:line="1"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8"/>
          <w:szCs w:val="18"/>
          <w:color w:val="auto"/>
        </w:rPr>
        <w:t xml:space="preserve">to this Lease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Sheets 1 and 2</w:t>
      </w:r>
      <w:r>
        <w:rPr>
          <w:rFonts w:ascii="Times New Roman" w:cs="Times New Roman" w:eastAsia="Times New Roman" w:hAnsi="Times New Roman"/>
          <w:sz w:val="18"/>
          <w:szCs w:val="18"/>
          <w:color w:val="auto"/>
        </w:rPr>
        <w:t>; and (iii) approximately 804 rentable square feet located on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floor of the Building comprised of chemical storage space and shown as “Chem Storage A 19-183A” on the plan attached to this Lease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Sheet 3</w:t>
      </w:r>
      <w:r>
        <w:rPr>
          <w:rFonts w:ascii="Times New Roman" w:cs="Times New Roman" w:eastAsia="Times New Roman" w:hAnsi="Times New Roman"/>
          <w:sz w:val="18"/>
          <w:szCs w:val="18"/>
          <w:color w:val="auto"/>
        </w:rPr>
        <w:t>, all within the building located at One Design Place, Boston, Massachusetts.</w:t>
      </w:r>
    </w:p>
    <w:p>
      <w:pPr>
        <w:spacing w:after="0" w:line="129"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Commencement Date </w:t>
      </w:r>
      <w:r>
        <w:rPr>
          <w:rFonts w:ascii="Times New Roman" w:cs="Times New Roman" w:eastAsia="Times New Roman" w:hAnsi="Times New Roman"/>
          <w:sz w:val="18"/>
          <w:szCs w:val="18"/>
          <w:color w:val="auto"/>
        </w:rPr>
        <w:t>shall mean the date upon which Landlord tenders possession of the Leased Premises to Tenant with the Landlord’s Pre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Work (as defined in Section 2.2) Substantially Complete (as defined in Section 2.2).</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Scheduled Commencement Date </w:t>
      </w:r>
      <w:r>
        <w:rPr>
          <w:rFonts w:ascii="Times New Roman" w:cs="Times New Roman" w:eastAsia="Times New Roman" w:hAnsi="Times New Roman"/>
          <w:sz w:val="18"/>
          <w:szCs w:val="18"/>
          <w:color w:val="auto"/>
        </w:rPr>
        <w:t>shall mean April 1, 2022.</w:t>
      </w:r>
    </w:p>
    <w:p>
      <w:pPr>
        <w:spacing w:after="0" w:line="15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b w:val="1"/>
          <w:bCs w:val="1"/>
          <w:color w:val="auto"/>
        </w:rPr>
        <w:t xml:space="preserve">Rent Commencement Date </w:t>
      </w:r>
      <w:r>
        <w:rPr>
          <w:rFonts w:ascii="Times New Roman" w:cs="Times New Roman" w:eastAsia="Times New Roman" w:hAnsi="Times New Roman"/>
          <w:sz w:val="18"/>
          <w:szCs w:val="18"/>
          <w:color w:val="auto"/>
        </w:rPr>
        <w:t>shall mean that date which is the earlier to occur of: (x) Tenant’s occupancy of the Leased Premises for the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or (y) ten (10) months after the Commencement Date provided, however, that in the event that the Landlord’s Work is not complete on such date, the Rent Commencement Date shall be the date of Substantial Completion of Landlord’s Work.</w:t>
      </w:r>
    </w:p>
    <w:p>
      <w:pPr>
        <w:spacing w:after="0" w:line="128"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18"/>
          <w:szCs w:val="18"/>
          <w:b w:val="1"/>
          <w:bCs w:val="1"/>
          <w:color w:val="auto"/>
        </w:rPr>
        <w:t xml:space="preserve">Expiration Date </w:t>
      </w:r>
      <w:r>
        <w:rPr>
          <w:rFonts w:ascii="Times New Roman" w:cs="Times New Roman" w:eastAsia="Times New Roman" w:hAnsi="Times New Roman"/>
          <w:sz w:val="18"/>
          <w:szCs w:val="18"/>
          <w:color w:val="auto"/>
        </w:rPr>
        <w:t>shall mean that date which is the last day of the month in which the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anniversary of the Rent Commencement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occurs, or the last day of any renewal term, if the Lease Term is extended in accordance with the provisions of Section 8.1 hereof.</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Lease Term </w:t>
      </w:r>
      <w:r>
        <w:rPr>
          <w:rFonts w:ascii="Times New Roman" w:cs="Times New Roman" w:eastAsia="Times New Roman" w:hAnsi="Times New Roman"/>
          <w:sz w:val="18"/>
          <w:szCs w:val="18"/>
          <w:color w:val="auto"/>
        </w:rPr>
        <w:t>shall mean a term beginning on the Commencement Date and ending on the Expiration Date.</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Base Rent </w:t>
      </w:r>
      <w:r>
        <w:rPr>
          <w:rFonts w:ascii="Times New Roman" w:cs="Times New Roman" w:eastAsia="Times New Roman" w:hAnsi="Times New Roman"/>
          <w:sz w:val="18"/>
          <w:szCs w:val="18"/>
          <w:color w:val="auto"/>
        </w:rPr>
        <w:t>shall mean the rent payments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 and made a part hereof.</w:t>
      </w:r>
    </w:p>
    <w:p>
      <w:pPr>
        <w:spacing w:after="0" w:line="158"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Permitted Use </w:t>
      </w:r>
      <w:r>
        <w:rPr>
          <w:rFonts w:ascii="Times New Roman" w:cs="Times New Roman" w:eastAsia="Times New Roman" w:hAnsi="Times New Roman"/>
          <w:sz w:val="18"/>
          <w:szCs w:val="18"/>
          <w:color w:val="auto"/>
        </w:rPr>
        <w:t>shall mean use for General Industrial (as defined in the Prime Lease, as hereinafter defined) uses, which shall include research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laboratory, vivarium and office uses, and for no other use or purpose.</w:t>
      </w:r>
    </w:p>
    <w:p>
      <w:pPr>
        <w:spacing w:after="0" w:line="128"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Tenant’s Proportionate Share </w:t>
      </w:r>
      <w:r>
        <w:rPr>
          <w:rFonts w:ascii="Times New Roman" w:cs="Times New Roman" w:eastAsia="Times New Roman" w:hAnsi="Times New Roman"/>
          <w:sz w:val="18"/>
          <w:szCs w:val="18"/>
          <w:color w:val="auto"/>
        </w:rPr>
        <w:t>shall mean 14.72% (81,442 SF / 553,245 SF). The parties hereto further stipulate and agree that Tenant’s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Proportionate Share of Operating Costs shall be deemed a separately enumerated amount for purposes of the Prime Lease, particularly, but without</w:t>
      </w:r>
    </w:p>
    <w:p>
      <w:pPr>
        <w:spacing w:after="0"/>
        <w:rPr>
          <w:sz w:val="20"/>
          <w:szCs w:val="20"/>
          <w:color w:val="auto"/>
        </w:rPr>
      </w:pPr>
      <w:r>
        <w:rPr>
          <w:rFonts w:ascii="Times New Roman" w:cs="Times New Roman" w:eastAsia="Times New Roman" w:hAnsi="Times New Roman"/>
          <w:sz w:val="18"/>
          <w:szCs w:val="18"/>
          <w:color w:val="auto"/>
        </w:rPr>
        <w:t xml:space="preserve">limitation, for purposes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of the Prime Lease.</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Security Deposit </w:t>
      </w:r>
      <w:r>
        <w:rPr>
          <w:rFonts w:ascii="Times New Roman" w:cs="Times New Roman" w:eastAsia="Times New Roman" w:hAnsi="Times New Roman"/>
          <w:sz w:val="18"/>
          <w:szCs w:val="18"/>
          <w:color w:val="auto"/>
        </w:rPr>
        <w:t>shall mean $3,949,936.90 in the form of a letter of credit, subject to reduction in accordance with Section 6.5(e) hereof.</w:t>
      </w:r>
    </w:p>
    <w:p>
      <w:pPr>
        <w:spacing w:after="0" w:line="158"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Broker </w:t>
      </w:r>
      <w:r>
        <w:rPr>
          <w:rFonts w:ascii="Times New Roman" w:cs="Times New Roman" w:eastAsia="Times New Roman" w:hAnsi="Times New Roman"/>
          <w:sz w:val="18"/>
          <w:szCs w:val="18"/>
          <w:color w:val="auto"/>
        </w:rPr>
        <w:t>shall collectively mean JLL (representing Landlord) and CBRE Inc. (representing Tenant), the commission for said Broker shall be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Landlord in accordance with separate agreements.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62"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Leased Premises and Term</w:t>
      </w:r>
      <w:r>
        <w:rPr>
          <w:rFonts w:ascii="Times New Roman" w:cs="Times New Roman" w:eastAsia="Times New Roman" w:hAnsi="Times New Roman"/>
          <w:sz w:val="18"/>
          <w:szCs w:val="18"/>
          <w:color w:val="auto"/>
        </w:rPr>
        <w:t>. Upon the Effective Date, the terms and provisions of this Lease shall be fully binding on Landlord and Tenant. Landlord does hereby lease, demise and let to Tenant and Tenant does hereby lease and take from Landlord the Leased Premises for a term beginning on the Commencement Date and continuing in full force and effect for the Lease Term, unless this Lease is terminated earlier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92" w:right="339" w:bottom="1440" w:gutter="0" w:footer="0" w:header="0"/>
        </w:sectPr>
      </w:pPr>
    </w:p>
    <w:bookmarkStart w:id="220" w:name="page221"/>
    <w:bookmarkEnd w:id="220"/>
    <w:p>
      <w:pPr>
        <w:jc w:val="both"/>
        <w:spacing w:after="0" w:line="222" w:lineRule="auto"/>
        <w:rPr>
          <w:sz w:val="20"/>
          <w:szCs w:val="20"/>
          <w:color w:val="auto"/>
        </w:rPr>
      </w:pPr>
      <w:r>
        <w:rPr>
          <w:rFonts w:ascii="Times New Roman" w:cs="Times New Roman" w:eastAsia="Times New Roman" w:hAnsi="Times New Roman"/>
          <w:sz w:val="18"/>
          <w:szCs w:val="18"/>
          <w:color w:val="auto"/>
        </w:rPr>
        <w:t>the provisions hereof. In addition, Landlord grants to Tenant the right to use, on a non-exclusive basis and in common with other tenants, the Common Areas. Once the Rent Commencement Date is determined, Landlord and Tenant shall endeavor to execute a supplemental agreement stating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Commencement Date, the Rent Commencement Date and the Expiration Date; provided, however, the failure to do so will not affect the determination of such dates. The Leased Premises are demised hereby subject to all easements, restrictions, agreements of record as of the Effective Date, mortgages and deeds of trust, zoning and building laws, and the terms and provisions of the Prime Lease, including, but not limited to, the provisions of the Prime Lease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relating to employment and non-discrimination, which provisions are set forth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to this Lease. If and to the extent that the Prime Lease shall be changed or modified as a result of any change imposed upon Landlord by the landlord under the Prime Lease (“</w:t>
      </w:r>
      <w:r>
        <w:rPr>
          <w:rFonts w:ascii="Times New Roman" w:cs="Times New Roman" w:eastAsia="Times New Roman" w:hAnsi="Times New Roman"/>
          <w:sz w:val="18"/>
          <w:szCs w:val="18"/>
          <w:b w:val="1"/>
          <w:bCs w:val="1"/>
          <w:color w:val="auto"/>
        </w:rPr>
        <w:t>Prime Lessor</w:t>
      </w:r>
      <w:r>
        <w:rPr>
          <w:rFonts w:ascii="Times New Roman" w:cs="Times New Roman" w:eastAsia="Times New Roman" w:hAnsi="Times New Roman"/>
          <w:sz w:val="18"/>
          <w:szCs w:val="18"/>
          <w:color w:val="auto"/>
        </w:rPr>
        <w:t>”), Tenant shall be given notice of such change and Tenant shall comply with any modifications which do not adversely affect Tenant’s rights and privileges or materially increase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Tenant’s obligations hereunder in more than a de minimus manner. Except as expressly set forth herein, Landlord specifically excepts and reserves to itself the use of the roof, the exterior portions of the Leased Premises, and such areas within the Leased Premises required for installation, maintenance, replacement and repair of utility lines and other installations required to service other tenants of the Building from time to time during the Lease Term. No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rights are conferred on Tenant, and Landlord specifically excepts and reserves to itself, unless otherwise specifically provided, all rights to the land and improvements below the floor level of the Leased Premises and to the air rights above the Leased Premises and to the land and improvements located on and within the Common Areas.</w:t>
      </w:r>
    </w:p>
    <w:p>
      <w:pPr>
        <w:spacing w:after="0" w:line="120"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8"/>
          <w:szCs w:val="18"/>
          <w:u w:val="single" w:color="auto"/>
          <w:color w:val="auto"/>
        </w:rPr>
        <w:t>Landlord’s Work Tenant’s Work; Payment of Landlord Contribution; Landlord’s Additional Contribution</w:t>
      </w:r>
      <w:r>
        <w:rPr>
          <w:rFonts w:ascii="Times New Roman" w:cs="Times New Roman" w:eastAsia="Times New Roman" w:hAnsi="Times New Roman"/>
          <w:sz w:val="18"/>
          <w:szCs w:val="18"/>
          <w:color w:val="auto"/>
        </w:rPr>
        <w:t>. For purposes of this</w:t>
      </w:r>
    </w:p>
    <w:p>
      <w:pPr>
        <w:spacing w:after="0"/>
        <w:rPr>
          <w:sz w:val="20"/>
          <w:szCs w:val="20"/>
          <w:color w:val="auto"/>
        </w:rPr>
      </w:pPr>
      <w:r>
        <w:rPr>
          <w:rFonts w:ascii="Times New Roman" w:cs="Times New Roman" w:eastAsia="Times New Roman" w:hAnsi="Times New Roman"/>
          <w:sz w:val="18"/>
          <w:szCs w:val="18"/>
          <w:color w:val="auto"/>
        </w:rPr>
        <w:t>Section 2.2, the following terms shall have the meanings set forth below:</w:t>
      </w:r>
    </w:p>
    <w:p>
      <w:pPr>
        <w:spacing w:after="0" w:line="134" w:lineRule="exact"/>
        <w:rPr>
          <w:sz w:val="20"/>
          <w:szCs w:val="20"/>
          <w:color w:val="auto"/>
        </w:rPr>
      </w:pPr>
    </w:p>
    <w:p>
      <w:pPr>
        <w:ind w:left="1660" w:hanging="356"/>
        <w:spacing w:after="0"/>
        <w:tabs>
          <w:tab w:leader="none" w:pos="1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Landlord’s Contribution</w:t>
      </w:r>
      <w:r>
        <w:rPr>
          <w:rFonts w:ascii="Times New Roman" w:cs="Times New Roman" w:eastAsia="Times New Roman" w:hAnsi="Times New Roman"/>
          <w:sz w:val="18"/>
          <w:szCs w:val="18"/>
          <w:color w:val="auto"/>
        </w:rPr>
        <w:t>” shall mean $19,546,080.00 (i.e., $240.00 per rentable square foot of the Premises).</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40" w:lineRule="exact"/>
        <w:rPr>
          <w:rFonts w:ascii="Times New Roman" w:cs="Times New Roman" w:eastAsia="Times New Roman" w:hAnsi="Times New Roman"/>
          <w:sz w:val="18"/>
          <w:szCs w:val="18"/>
          <w:color w:val="auto"/>
        </w:rPr>
      </w:pPr>
    </w:p>
    <w:p>
      <w:pPr>
        <w:ind w:left="660" w:firstLine="644"/>
        <w:spacing w:after="0" w:line="255" w:lineRule="auto"/>
        <w:tabs>
          <w:tab w:leader="none" w:pos="179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Landlord’s Interim Delivery Work</w:t>
      </w:r>
      <w:r>
        <w:rPr>
          <w:rFonts w:ascii="Times New Roman" w:cs="Times New Roman" w:eastAsia="Times New Roman" w:hAnsi="Times New Roman"/>
          <w:sz w:val="18"/>
          <w:szCs w:val="18"/>
          <w:color w:val="auto"/>
        </w:rPr>
        <w:t xml:space="preserve">” shall mean the work identified as “Interim Delivery Work” on the Landlord/Tenant Work Matrix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100" w:lineRule="exact"/>
        <w:rPr>
          <w:rFonts w:ascii="Times New Roman" w:cs="Times New Roman" w:eastAsia="Times New Roman" w:hAnsi="Times New Roman"/>
          <w:sz w:val="18"/>
          <w:szCs w:val="18"/>
          <w:color w:val="auto"/>
        </w:rPr>
      </w:pPr>
    </w:p>
    <w:p>
      <w:pPr>
        <w:ind w:left="660" w:firstLine="644"/>
        <w:spacing w:after="0" w:line="255" w:lineRule="auto"/>
        <w:tabs>
          <w:tab w:leader="none" w:pos="177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Landlord’s Post Delivery Work</w:t>
      </w:r>
      <w:r>
        <w:rPr>
          <w:rFonts w:ascii="Times New Roman" w:cs="Times New Roman" w:eastAsia="Times New Roman" w:hAnsi="Times New Roman"/>
          <w:sz w:val="18"/>
          <w:szCs w:val="18"/>
          <w:color w:val="auto"/>
        </w:rPr>
        <w:t xml:space="preserve">” shall mean the work identified as “Post Delivery Work” on the Landlord/Tenant Work Matrix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100" w:lineRule="exact"/>
        <w:rPr>
          <w:rFonts w:ascii="Times New Roman" w:cs="Times New Roman" w:eastAsia="Times New Roman" w:hAnsi="Times New Roman"/>
          <w:sz w:val="18"/>
          <w:szCs w:val="18"/>
          <w:color w:val="auto"/>
        </w:rPr>
      </w:pPr>
    </w:p>
    <w:p>
      <w:pPr>
        <w:ind w:left="660" w:right="20" w:firstLine="644"/>
        <w:spacing w:after="0" w:line="255" w:lineRule="auto"/>
        <w:tabs>
          <w:tab w:leader="none" w:pos="175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Landlord’s Pre Delivery Work</w:t>
      </w:r>
      <w:r>
        <w:rPr>
          <w:rFonts w:ascii="Times New Roman" w:cs="Times New Roman" w:eastAsia="Times New Roman" w:hAnsi="Times New Roman"/>
          <w:sz w:val="18"/>
          <w:szCs w:val="18"/>
          <w:color w:val="auto"/>
        </w:rPr>
        <w:t xml:space="preserve">” shall mean the work identified as “Pre Delivery Work” on the Landlord/Tenant Work Matrix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100" w:lineRule="exact"/>
        <w:rPr>
          <w:rFonts w:ascii="Times New Roman" w:cs="Times New Roman" w:eastAsia="Times New Roman" w:hAnsi="Times New Roman"/>
          <w:sz w:val="18"/>
          <w:szCs w:val="18"/>
          <w:color w:val="auto"/>
        </w:rPr>
      </w:pPr>
    </w:p>
    <w:p>
      <w:pPr>
        <w:ind w:left="660" w:firstLine="644"/>
        <w:spacing w:after="0" w:line="255" w:lineRule="auto"/>
        <w:tabs>
          <w:tab w:leader="none" w:pos="182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Landlord’s Work</w:t>
      </w:r>
      <w:r>
        <w:rPr>
          <w:rFonts w:ascii="Times New Roman" w:cs="Times New Roman" w:eastAsia="Times New Roman" w:hAnsi="Times New Roman"/>
          <w:sz w:val="18"/>
          <w:szCs w:val="18"/>
          <w:color w:val="auto"/>
        </w:rPr>
        <w:t>” shall collectively mean the Landlord’s Pre Delivery Work, the Landlord’s Interim Delivery Work and the Landlord’s Post Delivery Work.</w:t>
      </w:r>
    </w:p>
    <w:p>
      <w:pPr>
        <w:spacing w:after="0" w:line="100" w:lineRule="exact"/>
        <w:rPr>
          <w:rFonts w:ascii="Times New Roman" w:cs="Times New Roman" w:eastAsia="Times New Roman" w:hAnsi="Times New Roman"/>
          <w:sz w:val="18"/>
          <w:szCs w:val="18"/>
          <w:color w:val="auto"/>
        </w:rPr>
      </w:pPr>
    </w:p>
    <w:p>
      <w:pPr>
        <w:jc w:val="both"/>
        <w:ind w:left="660" w:firstLine="644"/>
        <w:spacing w:after="0" w:line="213" w:lineRule="auto"/>
        <w:tabs>
          <w:tab w:leader="none" w:pos="186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Substantially Complete</w:t>
      </w:r>
      <w:r>
        <w:rPr>
          <w:rFonts w:ascii="Times New Roman" w:cs="Times New Roman" w:eastAsia="Times New Roman" w:hAnsi="Times New Roman"/>
          <w:sz w:val="18"/>
          <w:szCs w:val="18"/>
          <w:color w:val="auto"/>
        </w:rPr>
        <w:t>” shall mean the substantial completion of the Landlord’s Pre Delivery Work, the Landlord’s Interim Delivery Work or the Landlord’s Post Delivery Work, as applicable, excepting only (i) punch-list items which can be completed without material interference with Tenant’s use of the Leased Premises, and (ii) any other items which because of the seasonal nature of the item (such as HVAC balancing) or in accordance with good construction practice, are not practicable to complete at such time. Notwithstanding anything to the contrary contained herein, in no event shall the Landlord’s Work be deemed Substantially Complete if (x) Tenant is prevented from obtaining a building permit for the performance of Tenant’s Work solely because of a failure of Landlord to perform any portion of the Landlord’s Work required to be completed for Tenant to obtain a building permit for Tenant’s Work, (y) Landlord has not provided access to temporary utilities, elevators and loading docks (it being agreed that Landlord shall (i) cooperate with Tenant to provide such access, (ii) not require more than two (2) days prior notice to schedule use of the elevators or loading docks and (iii) there will be no additional charges to Tenant for off-hours usage of the elevators or loading docks; or (z) Tenant is unable, upon completion of the Tenant’s Work, to obtain permission to occupy the Leased Premises from the City of Boston and commence occupancy for the Permitted Use solely as a result of Landlord’s failure to complete any portion of the Landlord’s Work. There shall be no delay in the Substantial Completion of Landlord’s Work arising out of the matters set forth in (x), (y) or (z) above unless and until Tenant has notified Landlord by written notice of any such claim by Tenant and Landlord has not cured the same within one (1) Business Day of receipt of such notice, and any such actual delay that is solely caused by Landlord shall result in a day for day extension of the Substantial Completion of the Landlord’s Work pursuant to the foregoing.</w:t>
      </w:r>
    </w:p>
    <w:p>
      <w:pPr>
        <w:spacing w:after="0" w:line="120" w:lineRule="exact"/>
        <w:rPr>
          <w:rFonts w:ascii="Times New Roman" w:cs="Times New Roman" w:eastAsia="Times New Roman" w:hAnsi="Times New Roman"/>
          <w:sz w:val="18"/>
          <w:szCs w:val="18"/>
          <w:color w:val="auto"/>
        </w:rPr>
      </w:pPr>
    </w:p>
    <w:p>
      <w:pPr>
        <w:jc w:val="both"/>
        <w:ind w:left="660" w:firstLine="644"/>
        <w:spacing w:after="0" w:line="232" w:lineRule="auto"/>
        <w:tabs>
          <w:tab w:leader="none" w:pos="191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Tenant Delay</w:t>
      </w:r>
      <w:r>
        <w:rPr>
          <w:rFonts w:ascii="Times New Roman" w:cs="Times New Roman" w:eastAsia="Times New Roman" w:hAnsi="Times New Roman"/>
          <w:sz w:val="18"/>
          <w:szCs w:val="18"/>
          <w:color w:val="auto"/>
        </w:rPr>
        <w:t>” shall mean any actual delay in the performance of any of Landlord’s Work and/or the issuance of a building permit or certificate of occupancy arising out of or resulting from the following: (i) any delay and/or default on the part of Tenant or its agents, engineers, architects,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04" w:right="339" w:bottom="1440" w:gutter="0" w:footer="0" w:header="0"/>
        </w:sectPr>
      </w:pPr>
    </w:p>
    <w:bookmarkStart w:id="221" w:name="page222"/>
    <w:bookmarkEnd w:id="221"/>
    <w:p>
      <w:pPr>
        <w:jc w:val="both"/>
        <w:ind w:left="660"/>
        <w:spacing w:after="0" w:line="222" w:lineRule="auto"/>
        <w:rPr>
          <w:sz w:val="20"/>
          <w:szCs w:val="20"/>
          <w:color w:val="auto"/>
        </w:rPr>
      </w:pPr>
      <w:r>
        <w:rPr>
          <w:rFonts w:ascii="Times New Roman" w:cs="Times New Roman" w:eastAsia="Times New Roman" w:hAnsi="Times New Roman"/>
          <w:sz w:val="18"/>
          <w:szCs w:val="18"/>
          <w:color w:val="auto"/>
        </w:rPr>
        <w:t>contractors, (ii) any interference with the performance of any of Landlord’s Work by Tenant or any of its agents, engineers, architects, or contractors, or (iii) any other action or inaction by Tenant or any of Tenant’s agents, engineers, architects, or contractors. Notwithstanding the</w:t>
      </w:r>
    </w:p>
    <w:p>
      <w:pPr>
        <w:spacing w:after="0" w:line="2" w:lineRule="exact"/>
        <w:rPr>
          <w:sz w:val="20"/>
          <w:szCs w:val="20"/>
          <w:color w:val="auto"/>
        </w:rPr>
      </w:pPr>
    </w:p>
    <w:p>
      <w:pPr>
        <w:jc w:val="both"/>
        <w:ind w:left="660"/>
        <w:spacing w:after="0" w:line="208" w:lineRule="auto"/>
        <w:rPr>
          <w:sz w:val="20"/>
          <w:szCs w:val="20"/>
          <w:color w:val="auto"/>
        </w:rPr>
      </w:pPr>
      <w:r>
        <w:rPr>
          <w:rFonts w:ascii="Times New Roman" w:cs="Times New Roman" w:eastAsia="Times New Roman" w:hAnsi="Times New Roman"/>
          <w:sz w:val="18"/>
          <w:szCs w:val="18"/>
          <w:color w:val="auto"/>
        </w:rPr>
        <w:t>foregoing, except where a Tenant Delay arises from Tenant’s failure timely to act within on or before a date or time period expressly set forth in the Lease (in which event no Tenant Delay Notice shall be required): (x) in no event shall any act or omission be deemed to be a Tenant Delay until and unless Landlord has given Tenant written notice (the “</w:t>
      </w:r>
      <w:r>
        <w:rPr>
          <w:rFonts w:ascii="Times New Roman" w:cs="Times New Roman" w:eastAsia="Times New Roman" w:hAnsi="Times New Roman"/>
          <w:sz w:val="18"/>
          <w:szCs w:val="18"/>
          <w:b w:val="1"/>
          <w:bCs w:val="1"/>
          <w:color w:val="auto"/>
        </w:rPr>
        <w:t>Tenant Delay Notice</w:t>
      </w:r>
      <w:r>
        <w:rPr>
          <w:rFonts w:ascii="Times New Roman" w:cs="Times New Roman" w:eastAsia="Times New Roman" w:hAnsi="Times New Roman"/>
          <w:sz w:val="18"/>
          <w:szCs w:val="18"/>
          <w:color w:val="auto"/>
        </w:rPr>
        <w:t>”) advising Tenant (a) that a Tenant Delay is occurring, and</w:t>
      </w:r>
    </w:p>
    <w:p>
      <w:pPr>
        <w:spacing w:after="0" w:line="2" w:lineRule="exact"/>
        <w:rPr>
          <w:sz w:val="20"/>
          <w:szCs w:val="20"/>
          <w:color w:val="auto"/>
        </w:rPr>
      </w:pPr>
    </w:p>
    <w:p>
      <w:pPr>
        <w:ind w:left="660" w:right="20" w:hanging="4"/>
        <w:spacing w:after="0" w:line="226" w:lineRule="auto"/>
        <w:tabs>
          <w:tab w:leader="none" w:pos="91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basis on which Landlord has determined that a Tenant Delay is occurring, and (y) no period of time prior to the time that Tenant receives a Tenant Delay Notice shall be included in the period of time charged to Tenant pursuant to such Tenant Delay Notice.</w:t>
      </w:r>
    </w:p>
    <w:p>
      <w:pPr>
        <w:spacing w:after="0" w:line="126" w:lineRule="exact"/>
        <w:rPr>
          <w:rFonts w:ascii="Times New Roman" w:cs="Times New Roman" w:eastAsia="Times New Roman" w:hAnsi="Times New Roman"/>
          <w:sz w:val="18"/>
          <w:szCs w:val="18"/>
          <w:color w:val="auto"/>
        </w:rPr>
      </w:pPr>
    </w:p>
    <w:p>
      <w:pPr>
        <w:jc w:val="both"/>
        <w:ind w:left="660" w:firstLine="644"/>
        <w:spacing w:after="0" w:line="225" w:lineRule="auto"/>
        <w:tabs>
          <w:tab w:leader="none" w:pos="174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Tenant’s Work</w:t>
      </w:r>
      <w:r>
        <w:rPr>
          <w:rFonts w:ascii="Times New Roman" w:cs="Times New Roman" w:eastAsia="Times New Roman" w:hAnsi="Times New Roman"/>
          <w:sz w:val="18"/>
          <w:szCs w:val="18"/>
          <w:color w:val="auto"/>
        </w:rPr>
        <w:t xml:space="preserve">” shall mean (a) all items identified as Tenant’s responsibility on the Landlord/Tenant Work Matrix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(b) the installation of Trade Fixtures, furniture, and personal property, and (c) and any other improvements and alterations in the Leased Premises necessary or desired to prepare the Leased Premises for initial occupancy of the Leased Premises by Tenant, excepting only the Landlord’s Work. All of Tenant’s Work shall be subject to the provisions of Section 4.2 hereof (Alterations).</w:t>
      </w:r>
    </w:p>
    <w:p>
      <w:pPr>
        <w:spacing w:after="0" w:line="119" w:lineRule="exact"/>
        <w:rPr>
          <w:sz w:val="20"/>
          <w:szCs w:val="20"/>
          <w:color w:val="auto"/>
        </w:rPr>
      </w:pPr>
    </w:p>
    <w:p>
      <w:pPr>
        <w:jc w:val="both"/>
        <w:ind w:firstLine="656"/>
        <w:spacing w:after="0" w:line="231" w:lineRule="auto"/>
        <w:tabs>
          <w:tab w:leader="none" w:pos="101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Landlord’s Work</w:t>
      </w:r>
      <w:r>
        <w:rPr>
          <w:rFonts w:ascii="Times New Roman" w:cs="Times New Roman" w:eastAsia="Times New Roman" w:hAnsi="Times New Roman"/>
          <w:sz w:val="18"/>
          <w:szCs w:val="18"/>
          <w:color w:val="auto"/>
        </w:rPr>
        <w:t>. Subject to and in accordance with the provisions of this Section 2.2, Landlord shall perform the Landlord’s Work and shall cause Landlord’s Work to be completed in a good and workmanlike manner, utilizing standard building materials and finishes, in conformance with all Requirements.</w:t>
      </w:r>
    </w:p>
    <w:p>
      <w:pPr>
        <w:spacing w:after="0" w:line="13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Leased Premises for Tenant’s Work; Substantial Completion of Landlord’s Work</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jc w:val="both"/>
        <w:ind w:left="660" w:firstLine="644"/>
        <w:spacing w:after="0" w:line="223" w:lineRule="auto"/>
        <w:tabs>
          <w:tab w:leader="none" w:pos="1908"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will exercise commercially reasonable efforts to cause the Commencement Date to occur by the Scheduled Commencement Date, as the same may be extended by Tenant Delays and/or any Force Majeure Event. Notwithstanding the foregoing, if the Commencement Date has not occurred on or before that date which is sixty (60) days following the Scheduled Commencement Date, subject to extension for Tenant Delays and/or a Force Majeure Event, Tenant shall receive a day for day rent credit against Base Rent after such date until the date that the Commencement Date occurs.</w:t>
      </w:r>
    </w:p>
    <w:p>
      <w:pPr>
        <w:spacing w:after="0" w:line="118" w:lineRule="exact"/>
        <w:rPr>
          <w:rFonts w:ascii="Times New Roman" w:cs="Times New Roman" w:eastAsia="Times New Roman" w:hAnsi="Times New Roman"/>
          <w:sz w:val="18"/>
          <w:szCs w:val="18"/>
          <w:color w:val="auto"/>
        </w:rPr>
      </w:pPr>
    </w:p>
    <w:p>
      <w:pPr>
        <w:jc w:val="both"/>
        <w:ind w:left="660" w:firstLine="644"/>
        <w:spacing w:after="0" w:line="213" w:lineRule="auto"/>
        <w:tabs>
          <w:tab w:leader="none" w:pos="1781"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Landlord will exercise commercially reasonable efforts to cause Landlord’s Post Delivery Work to be Substantially Completed on or before December 1, 2022 (the “</w:t>
      </w:r>
      <w:r>
        <w:rPr>
          <w:rFonts w:ascii="Times New Roman" w:cs="Times New Roman" w:eastAsia="Times New Roman" w:hAnsi="Times New Roman"/>
          <w:sz w:val="18"/>
          <w:szCs w:val="18"/>
          <w:b w:val="1"/>
          <w:bCs w:val="1"/>
          <w:color w:val="auto"/>
        </w:rPr>
        <w:t>Estimated LL Work Completion Date</w:t>
      </w:r>
      <w:r>
        <w:rPr>
          <w:rFonts w:ascii="Times New Roman" w:cs="Times New Roman" w:eastAsia="Times New Roman" w:hAnsi="Times New Roman"/>
          <w:sz w:val="18"/>
          <w:szCs w:val="18"/>
          <w:color w:val="auto"/>
        </w:rPr>
        <w:t>”), as the same may be extended by Tenant Delays and/or any Force Majeure Event. Landlord shall use good faith efforts to provide Tenant with approximately four (4) months’ notice of the date on which Landlord then estimates that the Landlord’s Post Delivery Work will be Substantially Completed. Notwithstanding the foregoing, if Landlord fails to Substantially Complete the Landlord’s Post Delivery Work on or before that date which is sixty (60) days following the Estimated LL Work Commencement Date, subject to extension for Tenant Delays and/or a Force Majeure Event, Tenant shall receive a day for day rent credit against Base Rent after such date until the date that the Landlord’s Post Delivery Work is Substantially Completed. Except as set forth above, Landlord shall not be liable for any failure to Substantially Complete any portion of the Landlord’s Work, to deliver possession of the Leased Premises on the Scheduled Commencement Date, or to cause the Substantial Completion of the Landlord’s Post Delivery Work to have occurred by the Estimated LL Work Completion Date, and no such failure shall impair the validity of this Lease or extend the Lease Term. If Substantial Completion of any part of Landlord’s Work is delayed as a result of or arising out of a Tenant Delay, then such portion of the Landlord’s Work shall be deemed to have been Substantially Completed on the date that such work would have been Substantially Completed but for such Tenant Delay.</w:t>
      </w:r>
    </w:p>
    <w:p>
      <w:pPr>
        <w:spacing w:after="0" w:line="136" w:lineRule="exact"/>
        <w:rPr>
          <w:rFonts w:ascii="Times New Roman" w:cs="Times New Roman" w:eastAsia="Times New Roman" w:hAnsi="Times New Roman"/>
          <w:sz w:val="18"/>
          <w:szCs w:val="18"/>
          <w:color w:val="auto"/>
        </w:rPr>
      </w:pPr>
    </w:p>
    <w:p>
      <w:pPr>
        <w:jc w:val="both"/>
        <w:ind w:left="660" w:firstLine="644"/>
        <w:spacing w:after="0" w:line="224" w:lineRule="auto"/>
        <w:tabs>
          <w:tab w:leader="none" w:pos="1769"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On or about the date when the Landlord’s Pre Delivery Work is Substantially Completed and on such later date that the Landlord’s Post Delivery Work is Substantially Completed, Landlord’s construction representative shall prepare a punch-list setting forth any items of such portion of the Landlord’s Work which are incomplete and deliver the same to Tenant and Landlord. Landlord shall complete such punch-list items as soon as reasonably practicable after such walk-through of the Leased Premises.</w:t>
      </w:r>
    </w:p>
    <w:p>
      <w:pPr>
        <w:spacing w:after="0" w:line="118"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u w:val="single" w:color="auto"/>
          <w:color w:val="auto"/>
        </w:rPr>
        <w:t>enant’s Work and Payment of Landlord’s Contribution</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660" w:firstLine="644"/>
        <w:spacing w:after="0" w:line="220" w:lineRule="auto"/>
        <w:tabs>
          <w:tab w:leader="none" w:pos="1748"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as of the Commencement Date, Landlord shall pay to Tenant an amount equal to the lesser of (1) Tenant’s costs incurred in the performance of Tenant’s Work; and (2) the Landlord’s Contribution, provided that as of the date on which Landlord is required to make payment thereof pursuant the provisions hereof: (a) this Lease is in full force and effect, and (b) no Event of Default under this Lease exists that has not been cured. Landlord’s Contribution shall be payable solely on account of hard construction costs, labor directly related to Tenant’s Work, materials delivered to the Leased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4" w:right="339" w:bottom="1440" w:gutter="0" w:footer="0" w:header="0"/>
        </w:sectPr>
      </w:pPr>
    </w:p>
    <w:bookmarkStart w:id="222" w:name="page223"/>
    <w:bookmarkEnd w:id="222"/>
    <w:p>
      <w:pPr>
        <w:ind w:left="660"/>
        <w:spacing w:after="0" w:line="222" w:lineRule="auto"/>
        <w:rPr>
          <w:sz w:val="20"/>
          <w:szCs w:val="20"/>
          <w:color w:val="auto"/>
        </w:rPr>
      </w:pPr>
      <w:r>
        <w:rPr>
          <w:rFonts w:ascii="Times New Roman" w:cs="Times New Roman" w:eastAsia="Times New Roman" w:hAnsi="Times New Roman"/>
          <w:sz w:val="18"/>
          <w:szCs w:val="18"/>
          <w:color w:val="auto"/>
        </w:rPr>
        <w:t>Premises, and soft costs in connection with Tenant’s Work including architectural and engineering fees and costs to obtain permits in connection with Tenant’s Work. Upon the completion of Tenant’s Work for and satisfaction of the conditions set forth herein, or upon the occurrence of the</w:t>
      </w:r>
    </w:p>
    <w:p>
      <w:pPr>
        <w:spacing w:after="0" w:line="2" w:lineRule="exact"/>
        <w:rPr>
          <w:sz w:val="20"/>
          <w:szCs w:val="20"/>
          <w:color w:val="auto"/>
        </w:rPr>
      </w:pPr>
    </w:p>
    <w:p>
      <w:pPr>
        <w:ind w:left="660" w:right="20"/>
        <w:spacing w:after="0" w:line="226" w:lineRule="auto"/>
        <w:rPr>
          <w:sz w:val="20"/>
          <w:szCs w:val="20"/>
          <w:color w:val="auto"/>
        </w:rPr>
      </w:pPr>
      <w:r>
        <w:rPr>
          <w:rFonts w:ascii="Times New Roman" w:cs="Times New Roman" w:eastAsia="Times New Roman" w:hAnsi="Times New Roman"/>
          <w:sz w:val="18"/>
          <w:szCs w:val="18"/>
          <w:color w:val="auto"/>
        </w:rPr>
        <w:t>date which is twelve (12) months after the Rent Commencement Date, any amount of the applicable Landlord’s Contribution which has not been previously requisitioned by Tenant shall be retained by Landlord and Tenant shall have no further right or claim thereto.</w:t>
      </w:r>
    </w:p>
    <w:p>
      <w:pPr>
        <w:spacing w:after="0" w:line="130" w:lineRule="exact"/>
        <w:rPr>
          <w:sz w:val="20"/>
          <w:szCs w:val="20"/>
          <w:color w:val="auto"/>
        </w:rPr>
      </w:pPr>
    </w:p>
    <w:p>
      <w:pPr>
        <w:jc w:val="both"/>
        <w:ind w:left="660" w:firstLine="644"/>
        <w:spacing w:after="0" w:line="211" w:lineRule="auto"/>
        <w:tabs>
          <w:tab w:leader="none" w:pos="1723"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make progress payments on account of Landlord’s Contribution to Tenant on a monthly or, if requested by Tenant, a less frequent basis to reimburse Tenant for costs and expenses paid by Tenant for the work performed during the preceding month. Each of Landlord’s progress payments shall be limited to an amount equal to the costs and expenses paid by Tenant during the immediately preceding month or such longer period covered by such requisition (as certified by an authorized representative of Tenant) to Tenant’s consultants, contractors, subcontractors and material suppliers, or other parties entitled to payment for costs described above (excluding any amounts which have been subject to previous disbursements from Landlord’s Contribution) multiplied by a fraction, the numerator of which is the amount of Landlord’s Contribution, and the denominator of which is the total costs associated with the Tenant’s Work (based on information provided by Tenant) for the performance of all of the Tenant’s Work. Such progress payments shall be made within thirty (30) days next following the delivery to Landlord of the completed requisition. Each requisition shall be executed by an authorized representative of Tenant, and shall be accompanied by (i) with the exception of the first requisition, copies of partial waivers of lien from all contractors, subcontractors, material suppliers, and paid design professionals performing work, providing materials or performing services covering all work, materials and services which were the subject of previous progress payments by Landlord and Tenant, (ii) a certification from Tenant’s architect that the work for which the requisition is being made has been performed substantially in accordance with the plans for the Tenant’s Work approved by Landlord, and (iii) such other documents and information as Landlord may reasonably request consistent with the requirements of landlords of similar properties, to similar tenants, in the Seaport District. Landlord shall make the final advance of the balance of Landlord’s Contribution upon submission by Tenant to Landlord of Tenant’s requisition therefor accompanied by all documentation required under the foregoing provisions, together with (A) proof of the satisfactory completion of all required inspections and issuance of any required approvals, permits and sign-offs for the Tenant’s Work by Governmental Authorities having jurisdiction thereover, (B) final as built plans and specifications for the Tenant’s Work; and (C) issuance of final lien waivers by all contractors, subcontractors, material suppliers, and design professionals covering all of the Tenant’s Work. Nothing herein shall be deemed to make any third party, including any contractor, subcontractor, materialman, laborer, architect, engineer, attorney or other person or entity, a third party beneficiary.</w:t>
      </w:r>
    </w:p>
    <w:p>
      <w:pPr>
        <w:spacing w:after="0" w:line="134"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Landlord’s Additional Contribution</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firstLine="1304"/>
        <w:spacing w:after="0" w:line="226" w:lineRule="auto"/>
        <w:tabs>
          <w:tab w:leader="none" w:pos="168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have the right, at Tenant’s election (which election Tenant may exercise by giving Landlord written notice on or before the Commencement Date, to require Landlord to provide an additional contribution (“</w:t>
      </w:r>
      <w:r>
        <w:rPr>
          <w:rFonts w:ascii="Times New Roman" w:cs="Times New Roman" w:eastAsia="Times New Roman" w:hAnsi="Times New Roman"/>
          <w:sz w:val="18"/>
          <w:szCs w:val="18"/>
          <w:b w:val="1"/>
          <w:bCs w:val="1"/>
          <w:color w:val="auto"/>
        </w:rPr>
        <w:t>Landlord’s Additional Contribution</w:t>
      </w:r>
      <w:r>
        <w:rPr>
          <w:rFonts w:ascii="Times New Roman" w:cs="Times New Roman" w:eastAsia="Times New Roman" w:hAnsi="Times New Roman"/>
          <w:sz w:val="18"/>
          <w:szCs w:val="18"/>
          <w:color w:val="auto"/>
        </w:rPr>
        <w:t>”) toward the performance of Tenant’s Work equal to up to $1,628,840.00 (calculated at a rate of $20.00 per rentable square foot of the Premises).</w:t>
      </w:r>
    </w:p>
    <w:p>
      <w:pPr>
        <w:spacing w:after="0" w:line="130" w:lineRule="exact"/>
        <w:rPr>
          <w:rFonts w:ascii="Times New Roman" w:cs="Times New Roman" w:eastAsia="Times New Roman" w:hAnsi="Times New Roman"/>
          <w:sz w:val="18"/>
          <w:szCs w:val="18"/>
          <w:color w:val="auto"/>
        </w:rPr>
      </w:pPr>
    </w:p>
    <w:p>
      <w:pPr>
        <w:jc w:val="both"/>
        <w:ind w:firstLine="1304"/>
        <w:spacing w:after="0" w:line="217" w:lineRule="auto"/>
        <w:tabs>
          <w:tab w:leader="none" w:pos="174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elects that Landlord provide Landlord’s Additional Contribution to Tenant, as set forth above, then Tenant shall pay to Landlord, as Additional Rent, Construction Rent, as hereinafter defined. Construction Rent shall be payable by Tenant to Landlord commencing as of the Commencement Date and continuing on the first day of each month thereafter throughout the Lease Term. “</w:t>
      </w:r>
      <w:r>
        <w:rPr>
          <w:rFonts w:ascii="Times New Roman" w:cs="Times New Roman" w:eastAsia="Times New Roman" w:hAnsi="Times New Roman"/>
          <w:sz w:val="18"/>
          <w:szCs w:val="18"/>
          <w:b w:val="1"/>
          <w:bCs w:val="1"/>
          <w:color w:val="auto"/>
        </w:rPr>
        <w:t>Construction Rent</w:t>
      </w:r>
      <w:r>
        <w:rPr>
          <w:rFonts w:ascii="Times New Roman" w:cs="Times New Roman" w:eastAsia="Times New Roman" w:hAnsi="Times New Roman"/>
          <w:sz w:val="18"/>
          <w:szCs w:val="18"/>
          <w:color w:val="auto"/>
        </w:rPr>
        <w:t>” shall be based upon the amount of Landlord’s Additional Contribution. Tenant’s monthly payments of Construction Rent shall be equal to the amount of equal monthly payments of principal and interest which would be necessary to repay a loan in the amount of Landlord’s Additional Contribution, together with interest at the rate of eight percent (8%) per annum, on a level direct reduction basis over a one hundred twenty (120) month period.</w:t>
      </w:r>
    </w:p>
    <w:p>
      <w:pPr>
        <w:spacing w:after="0" w:line="132" w:lineRule="exact"/>
        <w:rPr>
          <w:rFonts w:ascii="Times New Roman" w:cs="Times New Roman" w:eastAsia="Times New Roman" w:hAnsi="Times New Roman"/>
          <w:sz w:val="18"/>
          <w:szCs w:val="18"/>
          <w:color w:val="auto"/>
        </w:rPr>
      </w:pPr>
    </w:p>
    <w:p>
      <w:pPr>
        <w:jc w:val="both"/>
        <w:ind w:firstLine="1304"/>
        <w:spacing w:after="0" w:line="216" w:lineRule="auto"/>
        <w:tabs>
          <w:tab w:leader="none" w:pos="173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of the Lease, Construction Rent shall be treated as Additional Rent and shall be stated as additional rent on any invoice therefor delivered by Landlord to Tenant. Monthly payments of Construction Rent shall be payable at the same time and in the same manner as Base Rent is payable under the Lease. Construction Rent shall not be abated or reduced for any reason whatsoever (including, without limitation, termination of the Lease). If there is any default (beyond the expiration of any applicable grace periods) of any of Tenant’s obligations under the Lease (including, without limitation, its obligation to pay Construction Rent) or if the term of the Lease is terminated for any reason whatsoever prior to the termination of the term of the Lease, then Tenant shall pay to Landlord, immediately upon demand, the unamortized balance of Landlord’s Additional Contribution. Tenant’s obligation to pay the unamortized balance of Landlord’s Additional Contribution shall be in addition to all other rights and remedies which Landlord has based upon any default of Tenant under the Lease, and Tenant shall not be entitled to any credit or reduction in such payment based upon amounts collected by Landlord from reletting the Premises after the default of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04" w:right="339" w:bottom="1440" w:gutter="0" w:footer="0" w:header="0"/>
        </w:sectPr>
      </w:pPr>
    </w:p>
    <w:bookmarkStart w:id="223" w:name="page224"/>
    <w:bookmarkEnd w:id="223"/>
    <w:p>
      <w:pPr>
        <w:jc w:val="both"/>
        <w:ind w:firstLine="656"/>
        <w:spacing w:after="0" w:line="224" w:lineRule="auto"/>
        <w:tabs>
          <w:tab w:leader="none" w:pos="99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Landlord’s Plans Contribution</w:t>
      </w:r>
      <w:r>
        <w:rPr>
          <w:rFonts w:ascii="Times New Roman" w:cs="Times New Roman" w:eastAsia="Times New Roman" w:hAnsi="Times New Roman"/>
          <w:sz w:val="18"/>
          <w:szCs w:val="18"/>
          <w:color w:val="auto"/>
        </w:rPr>
        <w:t>. Landlord shall contribute up to Twelve Thousand One Hundred Sixty-Eight and 00/100 Dollars ($12,216.30) (i.e., $0.15 per rentable square foot of the Premises) (“</w:t>
      </w:r>
      <w:r>
        <w:rPr>
          <w:rFonts w:ascii="Times New Roman" w:cs="Times New Roman" w:eastAsia="Times New Roman" w:hAnsi="Times New Roman"/>
          <w:sz w:val="18"/>
          <w:szCs w:val="18"/>
          <w:b w:val="1"/>
          <w:bCs w:val="1"/>
          <w:color w:val="auto"/>
        </w:rPr>
        <w:t>Landlord’s Plans Contribution</w:t>
      </w:r>
      <w:r>
        <w:rPr>
          <w:rFonts w:ascii="Times New Roman" w:cs="Times New Roman" w:eastAsia="Times New Roman" w:hAnsi="Times New Roman"/>
          <w:sz w:val="18"/>
          <w:szCs w:val="18"/>
          <w:color w:val="auto"/>
        </w:rPr>
        <w:t>”) towards the cost of one (1) test-fit plan and one (1) revision thereof prepared by Tenant for the performance of Landlord’s Work. Landlord shall, within thirty (30) days of receipt of paid invoices from Tenant, pay the Landlord’s Plan Contribution to Tenant.</w:t>
      </w:r>
    </w:p>
    <w:p>
      <w:pPr>
        <w:spacing w:after="0" w:line="131" w:lineRule="exact"/>
        <w:rPr>
          <w:rFonts w:ascii="Times New Roman" w:cs="Times New Roman" w:eastAsia="Times New Roman" w:hAnsi="Times New Roman"/>
          <w:sz w:val="18"/>
          <w:szCs w:val="18"/>
          <w:color w:val="auto"/>
        </w:rPr>
      </w:pPr>
    </w:p>
    <w:p>
      <w:pPr>
        <w:jc w:val="both"/>
        <w:ind w:firstLine="656"/>
        <w:spacing w:after="0" w:line="217" w:lineRule="auto"/>
        <w:tabs>
          <w:tab w:leader="none" w:pos="103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Except for performance of Landlord’s Work, Landlord’s Contribution, Landlord’s Plans Contribution and Landlord’s Additional Contribution, if applicable, Landlord has no obligation to perform any work, supply any materials, incur any expense or make any alterations, additions or improvements to the Leased Premises in order to prepare the Leased Premises for Tenant’s use and occupancy. Excepting only Landlord’s Work, Landlord’s Contribution, Landlord’s Plans Contribution and Landlord’s Additional Contribution, Tenant shall, at its own cost and expense, in accordance with and subject to the terms and provisions of this Lease, perform or cause to be performed any and all Tenant’s Work. All of Tenant’s Work shall be subject to Section 4.2 hereof.</w:t>
      </w:r>
    </w:p>
    <w:p>
      <w:pPr>
        <w:spacing w:after="0" w:line="132" w:lineRule="exact"/>
        <w:rPr>
          <w:rFonts w:ascii="Times New Roman" w:cs="Times New Roman" w:eastAsia="Times New Roman" w:hAnsi="Times New Roman"/>
          <w:sz w:val="18"/>
          <w:szCs w:val="18"/>
          <w:color w:val="auto"/>
        </w:rPr>
      </w:pPr>
    </w:p>
    <w:p>
      <w:pPr>
        <w:jc w:val="both"/>
        <w:ind w:firstLine="656"/>
        <w:spacing w:after="0" w:line="220" w:lineRule="auto"/>
        <w:tabs>
          <w:tab w:leader="none" w:pos="105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Representatives</w:t>
      </w:r>
      <w:r>
        <w:rPr>
          <w:rFonts w:ascii="Times New Roman" w:cs="Times New Roman" w:eastAsia="Times New Roman" w:hAnsi="Times New Roman"/>
          <w:sz w:val="18"/>
          <w:szCs w:val="18"/>
          <w:color w:val="auto"/>
        </w:rPr>
        <w:t>. Each party authorizes the other to rely upon all approvals granted and other actions taken by the respective construction representative designated from time to time by such party, or any person hereafter expressly designated in writing in substitution or addition thereof by notice to the party relying thereon. Tenant hereby designates Nathan Dowden [***] and Christine DiTondo [***] as its construction representative and Landlord hereby designates Dustin Lord [***] and Erin Orpik [***] as its construction representative. Notices given under this Section G shall comply with the terms and conditions of Section 7.4 of the Lease and simultaneously therewith, a copy of such notice shall be delivered to the applicable construction representatives by email at the addresses set forth above.</w:t>
      </w:r>
    </w:p>
    <w:p>
      <w:pPr>
        <w:spacing w:after="0" w:line="117" w:lineRule="exact"/>
        <w:rPr>
          <w:rFonts w:ascii="Times New Roman" w:cs="Times New Roman" w:eastAsia="Times New Roman" w:hAnsi="Times New Roman"/>
          <w:sz w:val="18"/>
          <w:szCs w:val="18"/>
          <w:color w:val="auto"/>
        </w:rPr>
      </w:pPr>
    </w:p>
    <w:p>
      <w:pPr>
        <w:ind w:firstLine="656"/>
        <w:spacing w:after="0" w:line="250" w:lineRule="auto"/>
        <w:tabs>
          <w:tab w:leader="none" w:pos="105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Warranty</w:t>
      </w:r>
      <w:r>
        <w:rPr>
          <w:rFonts w:ascii="Times New Roman" w:cs="Times New Roman" w:eastAsia="Times New Roman" w:hAnsi="Times New Roman"/>
          <w:sz w:val="18"/>
          <w:szCs w:val="18"/>
          <w:color w:val="auto"/>
        </w:rPr>
        <w:t>. Landlord shall obtain a one (1) year warranty from Landlord’s general contractor on all of Landlord’s Work and Landlord shall reasonably cooperate with Tenant in pursuing any warranty claims against the general contractor that might arise relating to the Landlord’s Work.</w:t>
      </w:r>
    </w:p>
    <w:p>
      <w:pPr>
        <w:spacing w:after="0" w:line="109"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2.3</w:t>
      </w:r>
      <w:r>
        <w:rPr>
          <w:sz w:val="20"/>
          <w:szCs w:val="20"/>
          <w:color w:val="auto"/>
        </w:rPr>
        <w:tab/>
      </w:r>
      <w:r>
        <w:rPr>
          <w:rFonts w:ascii="Times New Roman" w:cs="Times New Roman" w:eastAsia="Times New Roman" w:hAnsi="Times New Roman"/>
          <w:sz w:val="17"/>
          <w:szCs w:val="17"/>
          <w:u w:val="single" w:color="auto"/>
          <w:color w:val="auto"/>
        </w:rPr>
        <w:t>Use; Transportation of Animals; Vivarium</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firstLine="1304"/>
        <w:spacing w:after="0" w:line="220" w:lineRule="auto"/>
        <w:tabs>
          <w:tab w:leader="none" w:pos="171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Use Provisions</w:t>
      </w:r>
      <w:r>
        <w:rPr>
          <w:rFonts w:ascii="Times New Roman" w:cs="Times New Roman" w:eastAsia="Times New Roman" w:hAnsi="Times New Roman"/>
          <w:sz w:val="18"/>
          <w:szCs w:val="18"/>
          <w:color w:val="auto"/>
        </w:rPr>
        <w:t>. The Leased Premises may be used and occupied by Tenant solely for the Permitted Use and for no other purpose. Tenant shall not use the Leased Premises or allow the Leased Premises to be used in a manner constituting a Prohibited Use. If Tenant uses the Leased Premises for a purpose constituting a Prohibited Use, violating any Requirement, or causing the Building and/or the Project to be in violation of any Requirement, then Tenant shall promptly discontinue such use upon notice of such violation. Excepting the MWRA Permit (as set forth in Section 2.8(b)), Tenant, at its expense shall procure and at all times maintain and comply with the terms of all licenses and permits required for the lawful conduct of the Permitted Use in the Leased Premises.</w:t>
      </w:r>
    </w:p>
    <w:p>
      <w:pPr>
        <w:spacing w:after="0" w:line="117" w:lineRule="exact"/>
        <w:rPr>
          <w:rFonts w:ascii="Times New Roman" w:cs="Times New Roman" w:eastAsia="Times New Roman" w:hAnsi="Times New Roman"/>
          <w:sz w:val="18"/>
          <w:szCs w:val="18"/>
          <w:color w:val="auto"/>
        </w:rPr>
      </w:pPr>
    </w:p>
    <w:p>
      <w:pPr>
        <w:jc w:val="both"/>
        <w:ind w:firstLine="1304"/>
        <w:spacing w:after="0" w:line="215" w:lineRule="auto"/>
        <w:tabs>
          <w:tab w:leader="none" w:pos="171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Vivarium</w:t>
      </w:r>
      <w:r>
        <w:rPr>
          <w:rFonts w:ascii="Times New Roman" w:cs="Times New Roman" w:eastAsia="Times New Roman" w:hAnsi="Times New Roman"/>
          <w:sz w:val="18"/>
          <w:szCs w:val="18"/>
          <w:color w:val="auto"/>
        </w:rPr>
        <w:t>. Provided that Tenant, at its sole expense, obtains all governmental permits and approvals required therefor, Tenant shall have the right to install a vivarium (“</w:t>
      </w:r>
      <w:r>
        <w:rPr>
          <w:rFonts w:ascii="Times New Roman" w:cs="Times New Roman" w:eastAsia="Times New Roman" w:hAnsi="Times New Roman"/>
          <w:sz w:val="18"/>
          <w:szCs w:val="18"/>
          <w:b w:val="1"/>
          <w:bCs w:val="1"/>
          <w:color w:val="auto"/>
        </w:rPr>
        <w:t>Vivarium</w:t>
      </w:r>
      <w:r>
        <w:rPr>
          <w:rFonts w:ascii="Times New Roman" w:cs="Times New Roman" w:eastAsia="Times New Roman" w:hAnsi="Times New Roman"/>
          <w:sz w:val="18"/>
          <w:szCs w:val="18"/>
          <w:color w:val="auto"/>
        </w:rPr>
        <w:t>”) in the Premises either as part of the Tenant’s Work or as a later alteration, all in accordance with the terms and conditions of Section 4.2(a) hereof. Tenant shall be responsible, at its sole expense, for the operations of its Vivarium in accordance with all Requirements and Governmental Authorities. Without limiting the general application of the foregoing, Tenant shall separately dispose of all waste products from the operation of the Vivarium, including, without limitation, dead animals, strictly in accordance with all Requirements. Landlord shall have the right, from time to time by written notice to Tenant, to promulgate reasonable rules and regulations with respect to the operation of the Vivarium so as to minimize any adverse effects that such operation may have on other occupants of the Building, including without limitation, regulations as to noise mitigation.</w:t>
      </w:r>
    </w:p>
    <w:p>
      <w:pPr>
        <w:spacing w:after="0" w:line="136" w:lineRule="exact"/>
        <w:rPr>
          <w:rFonts w:ascii="Times New Roman" w:cs="Times New Roman" w:eastAsia="Times New Roman" w:hAnsi="Times New Roman"/>
          <w:sz w:val="18"/>
          <w:szCs w:val="18"/>
          <w:color w:val="auto"/>
        </w:rPr>
      </w:pPr>
    </w:p>
    <w:p>
      <w:pPr>
        <w:jc w:val="both"/>
        <w:ind w:firstLine="1304"/>
        <w:spacing w:after="0" w:line="231" w:lineRule="auto"/>
        <w:tabs>
          <w:tab w:leader="none" w:pos="170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Transportation of Animals</w:t>
      </w:r>
      <w:r>
        <w:rPr>
          <w:rFonts w:ascii="Times New Roman" w:cs="Times New Roman" w:eastAsia="Times New Roman" w:hAnsi="Times New Roman"/>
          <w:sz w:val="18"/>
          <w:szCs w:val="18"/>
          <w:color w:val="auto"/>
        </w:rPr>
        <w:t>. No animals, animal waste, food or supplies relating to the animals maintained from time to time in the animal storage areas of the Leased Premises shall be transported within the Building except as provided in this Section 2.3. All deliveries of animals or animal food or supplies to Tenant at the Building shall be made in accordance with the Building Rules.</w:t>
      </w:r>
    </w:p>
    <w:p>
      <w:pPr>
        <w:spacing w:after="0" w:line="118" w:lineRule="exact"/>
        <w:rPr>
          <w:sz w:val="20"/>
          <w:szCs w:val="20"/>
          <w:color w:val="auto"/>
        </w:rPr>
      </w:pPr>
    </w:p>
    <w:p>
      <w:pPr>
        <w:ind w:left="66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2.4</w:t>
      </w:r>
      <w:r>
        <w:rPr>
          <w:sz w:val="20"/>
          <w:szCs w:val="20"/>
          <w:color w:val="auto"/>
        </w:rPr>
        <w:tab/>
      </w:r>
      <w:r>
        <w:rPr>
          <w:rFonts w:ascii="Times New Roman" w:cs="Times New Roman" w:eastAsia="Times New Roman" w:hAnsi="Times New Roman"/>
          <w:sz w:val="18"/>
          <w:szCs w:val="18"/>
          <w:u w:val="single" w:color="auto"/>
          <w:color w:val="auto"/>
        </w:rPr>
        <w:t>Base Rent</w:t>
      </w:r>
      <w:r>
        <w:rPr>
          <w:rFonts w:ascii="Times New Roman" w:cs="Times New Roman" w:eastAsia="Times New Roman" w:hAnsi="Times New Roman"/>
          <w:sz w:val="18"/>
          <w:szCs w:val="18"/>
          <w:color w:val="auto"/>
        </w:rPr>
        <w:t>. Commencing on the Rent Commencement Date, Tenant agrees to pay the Base Rent to Landlord for each month during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Lease Term as herein provided. Base Rent shall be due and payable in advance on the first day of the month without notice or demand, and without any set-off, counterclaim, abatement or deduction whatsoever, except as expressly set forth in this Lease. If the Rent Commencement Date is a day other than the first day of a calendar month or in the event this Lease terminates on such other than the last day of a calendar month, then Base Rent for each month or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months shall be prorated and the installment or installments so prorated shall be paid in advance. In the event that Tenant fails to make any payment of Base Rent or any other amount payable to Landlord hereunder within five (5) days after the date such payment becomes due and payable, a late charge in an amount equal to the greater of: (i) four percent (4%) of such payment; or (ii) $150.00, shall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04" w:right="339" w:bottom="1440" w:gutter="0" w:footer="0" w:header="0"/>
        </w:sectPr>
      </w:pPr>
    </w:p>
    <w:bookmarkStart w:id="224" w:name="page225"/>
    <w:bookmarkEnd w:id="224"/>
    <w:p>
      <w:pPr>
        <w:jc w:val="both"/>
        <w:spacing w:after="0" w:line="236" w:lineRule="auto"/>
        <w:rPr>
          <w:sz w:val="20"/>
          <w:szCs w:val="20"/>
          <w:color w:val="auto"/>
        </w:rPr>
      </w:pPr>
      <w:r>
        <w:rPr>
          <w:rFonts w:ascii="Times New Roman" w:cs="Times New Roman" w:eastAsia="Times New Roman" w:hAnsi="Times New Roman"/>
          <w:sz w:val="17"/>
          <w:szCs w:val="17"/>
          <w:color w:val="auto"/>
        </w:rPr>
        <w:t>become due and payable to Landlord by Tenant, such late charge being for Landlord’s administrative and other costs and is in addition to and cumulative with any other rights and remedies which Landlord may have hereunder with regard to the failure of Tenant to make any payment of Base Rent or any other</w:t>
      </w:r>
    </w:p>
    <w:p>
      <w:pPr>
        <w:jc w:val="both"/>
        <w:spacing w:after="0" w:line="218" w:lineRule="auto"/>
        <w:rPr>
          <w:sz w:val="20"/>
          <w:szCs w:val="20"/>
          <w:color w:val="auto"/>
        </w:rPr>
      </w:pPr>
      <w:r>
        <w:rPr>
          <w:rFonts w:ascii="Times New Roman" w:cs="Times New Roman" w:eastAsia="Times New Roman" w:hAnsi="Times New Roman"/>
          <w:sz w:val="18"/>
          <w:szCs w:val="18"/>
          <w:color w:val="auto"/>
        </w:rPr>
        <w:t>sum due hereunder. Notwithstanding the foregoing, no interest or late charges shall be assessed for the first (1st) late payment received by Landlord during any twelve (12) month period, if such payment is received by Landlord within five (5) days after Tenant’s receipt of written notice from Landlord that such payment is late. As of the date hereof, Tenant shall pay all amounts in the manner set forth below:</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Rent Payments</w:t>
      </w:r>
      <w:r>
        <w:rPr>
          <w:rFonts w:ascii="Times New Roman" w:cs="Times New Roman" w:eastAsia="Times New Roman" w:hAnsi="Times New Roman"/>
          <w:sz w:val="18"/>
          <w:szCs w:val="18"/>
          <w:color w:val="auto"/>
        </w:rPr>
        <w:t>:</w:t>
      </w:r>
    </w:p>
    <w:p>
      <w:pPr>
        <w:ind w:left="660"/>
        <w:spacing w:after="0" w:line="219" w:lineRule="auto"/>
        <w:rPr>
          <w:sz w:val="20"/>
          <w:szCs w:val="20"/>
          <w:color w:val="auto"/>
        </w:rPr>
      </w:pPr>
      <w:r>
        <w:rPr>
          <w:rFonts w:ascii="Times New Roman" w:cs="Times New Roman" w:eastAsia="Times New Roman" w:hAnsi="Times New Roman"/>
          <w:sz w:val="18"/>
          <w:szCs w:val="18"/>
          <w:u w:val="single" w:color="auto"/>
          <w:color w:val="auto"/>
        </w:rPr>
        <w:t>For ACH delivery</w:t>
      </w:r>
      <w:r>
        <w:rPr>
          <w:rFonts w:ascii="Times New Roman" w:cs="Times New Roman" w:eastAsia="Times New Roman" w:hAnsi="Times New Roman"/>
          <w:sz w:val="18"/>
          <w:szCs w:val="18"/>
          <w:color w:val="auto"/>
        </w:rPr>
        <w:t>:</w:t>
      </w:r>
    </w:p>
    <w:p>
      <w:pPr>
        <w:ind w:left="660"/>
        <w:spacing w:after="0" w:line="203" w:lineRule="auto"/>
        <w:rPr>
          <w:sz w:val="20"/>
          <w:szCs w:val="20"/>
          <w:color w:val="auto"/>
        </w:rPr>
      </w:pPr>
      <w:r>
        <w:rPr>
          <w:rFonts w:ascii="Times New Roman" w:cs="Times New Roman" w:eastAsia="Times New Roman" w:hAnsi="Times New Roman"/>
          <w:sz w:val="18"/>
          <w:szCs w:val="18"/>
          <w:color w:val="auto"/>
        </w:rPr>
        <w:t>[***]</w:t>
      </w:r>
    </w:p>
    <w:p>
      <w:pPr>
        <w:ind w:left="660"/>
        <w:spacing w:after="0" w:line="204" w:lineRule="auto"/>
        <w:rPr>
          <w:sz w:val="20"/>
          <w:szCs w:val="20"/>
          <w:color w:val="auto"/>
        </w:rPr>
      </w:pPr>
      <w:r>
        <w:rPr>
          <w:rFonts w:ascii="Times New Roman" w:cs="Times New Roman" w:eastAsia="Times New Roman" w:hAnsi="Times New Roman"/>
          <w:sz w:val="18"/>
          <w:szCs w:val="18"/>
          <w:color w:val="auto"/>
        </w:rPr>
        <w:t>For Wire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wp:posOffset>
            </wp:positionV>
            <wp:extent cx="8667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9">
                      <a:extLst>
                        <a:ext uri="{28A0092B-C50C-407E-A947-70E740481C1C}"/>
                      </a:extLst>
                    </a:blip>
                    <a:srcRect/>
                    <a:stretch>
                      <a:fillRect/>
                    </a:stretch>
                  </pic:blipFill>
                  <pic:spPr bwMode="auto">
                    <a:xfrm>
                      <a:off x="0" y="0"/>
                      <a:ext cx="866775" cy="825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138"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Tenant’s Proportionate Share of Operating Costs</w:t>
      </w:r>
      <w:r>
        <w:rPr>
          <w:rFonts w:ascii="Times New Roman" w:cs="Times New Roman" w:eastAsia="Times New Roman" w:hAnsi="Times New Roman"/>
          <w:sz w:val="18"/>
          <w:szCs w:val="18"/>
          <w:color w:val="auto"/>
        </w:rPr>
        <w:t>. In addition to the payment of Base Rent, commencing on the Rent Commencement Date, Tenant shall pay to Landlord Tenant’s Proportionate Share of Operating Costs in accordance with the following provisions:</w:t>
      </w:r>
    </w:p>
    <w:p>
      <w:pPr>
        <w:spacing w:after="0" w:line="131" w:lineRule="exact"/>
        <w:rPr>
          <w:sz w:val="20"/>
          <w:szCs w:val="20"/>
          <w:color w:val="auto"/>
        </w:rPr>
      </w:pPr>
    </w:p>
    <w:p>
      <w:pPr>
        <w:jc w:val="both"/>
        <w:ind w:firstLine="1304"/>
        <w:spacing w:after="0" w:line="224" w:lineRule="auto"/>
        <w:tabs>
          <w:tab w:leader="none" w:pos="185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thirty (30) days prior to each calendar year during the Term, Landlord shall furnish to Tenant a statement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setting forth Landlord’s reasonable estimate of Tenant’s Proportionate Share of Operating Costs, if any (the “</w:t>
      </w:r>
      <w:r>
        <w:rPr>
          <w:rFonts w:ascii="Times New Roman" w:cs="Times New Roman" w:eastAsia="Times New Roman" w:hAnsi="Times New Roman"/>
          <w:sz w:val="18"/>
          <w:szCs w:val="18"/>
          <w:b w:val="1"/>
          <w:bCs w:val="1"/>
          <w:color w:val="auto"/>
        </w:rPr>
        <w:t>Expense Estimate</w:t>
      </w:r>
      <w:r>
        <w:rPr>
          <w:rFonts w:ascii="Times New Roman" w:cs="Times New Roman" w:eastAsia="Times New Roman" w:hAnsi="Times New Roman"/>
          <w:sz w:val="18"/>
          <w:szCs w:val="18"/>
          <w:color w:val="auto"/>
        </w:rPr>
        <w:t>”). Tenant shall pay to Landlord the amount of such Expense Estimate in monthly installments of 1/12th each on a monthly basis contemporaneously with the payment of Base Rent.</w:t>
      </w:r>
    </w:p>
    <w:p>
      <w:pPr>
        <w:spacing w:after="0" w:line="131" w:lineRule="exact"/>
        <w:rPr>
          <w:rFonts w:ascii="Times New Roman" w:cs="Times New Roman" w:eastAsia="Times New Roman" w:hAnsi="Times New Roman"/>
          <w:sz w:val="18"/>
          <w:szCs w:val="18"/>
          <w:color w:val="auto"/>
        </w:rPr>
      </w:pPr>
    </w:p>
    <w:p>
      <w:pPr>
        <w:jc w:val="both"/>
        <w:ind w:firstLine="1304"/>
        <w:spacing w:after="0" w:line="224" w:lineRule="auto"/>
        <w:tabs>
          <w:tab w:leader="none" w:pos="177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Landlord shall have reasonable grounds to believe that the amount of actual Operating Costs incurred and to be incurred will vary from the Expense Estimate, then Landlord reserves the right to revise such estimates accordingly. Upon any such revision, the monthly payments due and payable to Landlord by Tenant under this Section shall be increased to an amount which will amortize such revised estimate over the remainder of the calendar year in which any such revision is made by Landlord.</w:t>
      </w:r>
    </w:p>
    <w:p>
      <w:pPr>
        <w:spacing w:after="0" w:line="118" w:lineRule="exact"/>
        <w:rPr>
          <w:rFonts w:ascii="Times New Roman" w:cs="Times New Roman" w:eastAsia="Times New Roman" w:hAnsi="Times New Roman"/>
          <w:sz w:val="18"/>
          <w:szCs w:val="18"/>
          <w:color w:val="auto"/>
        </w:rPr>
      </w:pPr>
    </w:p>
    <w:p>
      <w:pPr>
        <w:jc w:val="both"/>
        <w:ind w:firstLine="1304"/>
        <w:spacing w:after="0" w:line="217" w:lineRule="auto"/>
        <w:tabs>
          <w:tab w:leader="none" w:pos="174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one hundred and eighty (180) days after the end of any calendar year Landlord shall provide Tenant with a statement in reasonable detail showing actual Operating Costs for such calendar year. If the Statement shows that Tenant’s payments for Tenant’s Proportionate Share of Operating Costs exceed the actual amount of Tenant’s Proportionate Share of Operating Costs for such calendar year, then Landlord shall credit the amount of such excess against subsequent payments of rent due hereunder or, in the event that the Lease has expired or terminated prior to delivery of the Statement, refund the amount of such excess after first deducting any amounts due from Tenant hereunder. If the Statement shows that Tenant’s payments for Tenant’s Proportionate Share of Operating Costs are less than the actual amount of Tenant’s Proportionate Share of Operating Costs, then Tenant shall pay the amount of such deficiency within ten (10) Business Days after delivery of the Statement to Tenant.</w:t>
      </w:r>
    </w:p>
    <w:p>
      <w:pPr>
        <w:spacing w:after="0" w:line="134" w:lineRule="exact"/>
        <w:rPr>
          <w:rFonts w:ascii="Times New Roman" w:cs="Times New Roman" w:eastAsia="Times New Roman" w:hAnsi="Times New Roman"/>
          <w:sz w:val="18"/>
          <w:szCs w:val="18"/>
          <w:color w:val="auto"/>
        </w:rPr>
      </w:pPr>
    </w:p>
    <w:p>
      <w:pPr>
        <w:ind w:firstLine="1304"/>
        <w:spacing w:after="0" w:line="237" w:lineRule="auto"/>
        <w:tabs>
          <w:tab w:leader="none" w:pos="171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Commencement Date is a day other than the first day of a calendar month or if this Lease terminates on a day other than the last day of a calendar month, then the amounts due and owing by Tenant to Landlord under this Section shall be prorated accordingly.</w:t>
      </w:r>
    </w:p>
    <w:p>
      <w:pPr>
        <w:spacing w:after="0" w:line="131" w:lineRule="exact"/>
        <w:rPr>
          <w:rFonts w:ascii="Times New Roman" w:cs="Times New Roman" w:eastAsia="Times New Roman" w:hAnsi="Times New Roman"/>
          <w:sz w:val="18"/>
          <w:szCs w:val="18"/>
          <w:color w:val="auto"/>
        </w:rPr>
      </w:pPr>
    </w:p>
    <w:p>
      <w:pPr>
        <w:jc w:val="both"/>
        <w:ind w:firstLine="1304"/>
        <w:spacing w:after="0" w:line="226" w:lineRule="auto"/>
        <w:tabs>
          <w:tab w:leader="none" w:pos="168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failure to render any Statement on a timely basis with respect to any calendar year shall not prejudice Landlord’s right to thereafter render a Statement with respect to such calendar year or any subsequent calendar year, nor shall the rendering of a Statement prejudice Landlord’s right to thereafter render a corrected Statement for that calendar year.</w:t>
      </w:r>
    </w:p>
    <w:p>
      <w:pPr>
        <w:spacing w:after="0" w:line="130" w:lineRule="exact"/>
        <w:rPr>
          <w:rFonts w:ascii="Times New Roman" w:cs="Times New Roman" w:eastAsia="Times New Roman" w:hAnsi="Times New Roman"/>
          <w:sz w:val="18"/>
          <w:szCs w:val="18"/>
          <w:color w:val="auto"/>
        </w:rPr>
      </w:pPr>
    </w:p>
    <w:p>
      <w:pPr>
        <w:jc w:val="both"/>
        <w:ind w:firstLine="1304"/>
        <w:spacing w:after="0" w:line="214" w:lineRule="auto"/>
        <w:tabs>
          <w:tab w:leader="none" w:pos="171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Statement sent to Tenant shall constitute an account stated between Landlord and Tenant and shall be conclusively binding upon Tenant unless Tenant (i) pays to Landlord when due the amount set forth in such Statement, without prejudice to Tenant’s right to dispute such Statement, and (ii) within sixty (60) days after such Statement is sent, sends a written notice to Landlord objecting to such Statement and specifying the reasons therefor. Tenant agrees that Tenant will not employ, in connection with any dispute under this Lease, any person or entity who is to be compensated in whole or in part, on a contingency fee basis. If the parties are unable to resolve any dispute as to the correctness of such Statement within thirty (30) days following such notice of objection, either party may refer the issues raised to a nationally recognized public accounting firm selected by Landlord and reasonably acceptable to Tenant, and the decision of such accounting firm shall be conclusively binding upon Landlord and Tenant. In connection therewith, Tenant and such accountants shall execute and deliver to Landlord a confidentiality agreement, in form and substance reasonably satisfactory to Landlord, whereby such parties agree not to disclose to any third party any of the information obtained in connection with such review. Tenant shall pay the fees and expenses relating to such procedure, unless such accounting firm determines that Landlord overstated Operating Costs by more than five percent (5%) for such calendar year, in which case Landlord shall pay such fees and expenses. Tenant shall have no right whatsoever to dispute, by judicial proceeding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04" w:right="339" w:bottom="1440" w:gutter="0" w:footer="0" w:header="0"/>
        </w:sectPr>
      </w:pPr>
    </w:p>
    <w:bookmarkStart w:id="225" w:name="page226"/>
    <w:bookmarkEnd w:id="225"/>
    <w:p>
      <w:pPr>
        <w:jc w:val="both"/>
        <w:spacing w:after="0" w:line="236" w:lineRule="auto"/>
        <w:rPr>
          <w:sz w:val="20"/>
          <w:szCs w:val="20"/>
          <w:color w:val="auto"/>
        </w:rPr>
      </w:pPr>
      <w:r>
        <w:rPr>
          <w:rFonts w:ascii="Times New Roman" w:cs="Times New Roman" w:eastAsia="Times New Roman" w:hAnsi="Times New Roman"/>
          <w:sz w:val="17"/>
          <w:szCs w:val="17"/>
          <w:color w:val="auto"/>
        </w:rPr>
        <w:t>otherwise, the accuracy of any Statement. Following the date that is twenty-four (24) months after Landlord’s delivery of a Statement to Tenant, Tenant shall not be responsible for the payment of items of Operating Costs not reflected in such Statement, except for Taxes for which Tenant is responsible under</w:t>
      </w:r>
    </w:p>
    <w:p>
      <w:pPr>
        <w:spacing w:after="0"/>
        <w:rPr>
          <w:sz w:val="20"/>
          <w:szCs w:val="20"/>
          <w:color w:val="auto"/>
        </w:rPr>
      </w:pPr>
      <w:r>
        <w:rPr>
          <w:rFonts w:ascii="Times New Roman" w:cs="Times New Roman" w:eastAsia="Times New Roman" w:hAnsi="Times New Roman"/>
          <w:sz w:val="18"/>
          <w:szCs w:val="18"/>
          <w:color w:val="auto"/>
        </w:rPr>
        <w:t>this Lease.</w:t>
      </w:r>
    </w:p>
    <w:p>
      <w:pPr>
        <w:spacing w:after="0" w:line="124"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2.6</w:t>
      </w:r>
      <w:r>
        <w:rPr>
          <w:sz w:val="20"/>
          <w:szCs w:val="20"/>
          <w:color w:val="auto"/>
        </w:rPr>
        <w:tab/>
      </w:r>
      <w:r>
        <w:rPr>
          <w:rFonts w:ascii="Times New Roman" w:cs="Times New Roman" w:eastAsia="Times New Roman" w:hAnsi="Times New Roman"/>
          <w:sz w:val="18"/>
          <w:szCs w:val="18"/>
          <w:u w:val="single" w:color="auto"/>
          <w:color w:val="auto"/>
        </w:rPr>
        <w:t>Separately Metered Utilities and Utility Usage</w:t>
      </w:r>
      <w:r>
        <w:rPr>
          <w:rFonts w:ascii="Times New Roman" w:cs="Times New Roman" w:eastAsia="Times New Roman" w:hAnsi="Times New Roman"/>
          <w:sz w:val="18"/>
          <w:szCs w:val="18"/>
          <w:color w:val="auto"/>
        </w:rPr>
        <w:t>. From and after the Commencement Date, Tenant shall pay, within thirty (30) days of</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Landlord’s written demand or receipt of an invoice, along with reasonable backup, all amounts due and owing with respect to utilities furnished to the Leased Premises by a separate meter.</w:t>
      </w:r>
    </w:p>
    <w:p>
      <w:pPr>
        <w:spacing w:after="0" w:line="130"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Additional Rent; Payments</w:t>
      </w:r>
      <w:r>
        <w:rPr>
          <w:rFonts w:ascii="Times New Roman" w:cs="Times New Roman" w:eastAsia="Times New Roman" w:hAnsi="Times New Roman"/>
          <w:sz w:val="18"/>
          <w:szCs w:val="18"/>
          <w:color w:val="auto"/>
        </w:rPr>
        <w:t>. All sums of money due and payable by Tenant to Landlord under the terms of this Lease in addition to the Base Rent shall constitute additional rent (“</w:t>
      </w:r>
      <w:r>
        <w:rPr>
          <w:rFonts w:ascii="Times New Roman" w:cs="Times New Roman" w:eastAsia="Times New Roman" w:hAnsi="Times New Roman"/>
          <w:sz w:val="18"/>
          <w:szCs w:val="18"/>
          <w:b w:val="1"/>
          <w:bCs w:val="1"/>
          <w:color w:val="auto"/>
        </w:rPr>
        <w:t>Additional Rent</w:t>
      </w:r>
      <w:r>
        <w:rPr>
          <w:rFonts w:ascii="Times New Roman" w:cs="Times New Roman" w:eastAsia="Times New Roman" w:hAnsi="Times New Roman"/>
          <w:sz w:val="18"/>
          <w:szCs w:val="18"/>
          <w:color w:val="auto"/>
        </w:rPr>
        <w:t>”) hereunder for the purposes of the collection thereof. Landlord shall have the same remedies for default in the payment of Additional Rent as are available to Landlord in the case of a default in the payment of Base Rent. Base Rent and/or</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Additional Rent are sometimes referred to as “rent.” All rent shall be paid in the manner set forth in Section 2.4 above. Tenant agrees to pay all rent under this Lease at the times and in the manner herein provided, without set-off, counterclaim, abatement or deduction whatsoever, except as may be expressly provided in this Lease.</w:t>
      </w:r>
    </w:p>
    <w:p>
      <w:pPr>
        <w:spacing w:after="0" w:line="131"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2.8</w:t>
      </w:r>
      <w:r>
        <w:rPr>
          <w:sz w:val="20"/>
          <w:szCs w:val="20"/>
          <w:color w:val="auto"/>
        </w:rPr>
        <w:tab/>
      </w:r>
      <w:r>
        <w:rPr>
          <w:rFonts w:ascii="Times New Roman" w:cs="Times New Roman" w:eastAsia="Times New Roman" w:hAnsi="Times New Roman"/>
          <w:sz w:val="17"/>
          <w:szCs w:val="17"/>
          <w:u w:val="single" w:color="auto"/>
          <w:color w:val="auto"/>
        </w:rPr>
        <w:t>Appurtenant Rights</w:t>
      </w:r>
      <w:r>
        <w:rPr>
          <w:rFonts w:ascii="Times New Roman" w:cs="Times New Roman" w:eastAsia="Times New Roman" w:hAnsi="Times New Roman"/>
          <w:sz w:val="17"/>
          <w:szCs w:val="17"/>
          <w:color w:val="auto"/>
        </w:rPr>
        <w:t>.</w:t>
      </w:r>
    </w:p>
    <w:p>
      <w:pPr>
        <w:spacing w:after="0" w:line="154" w:lineRule="exact"/>
        <w:rPr>
          <w:sz w:val="20"/>
          <w:szCs w:val="20"/>
          <w:color w:val="auto"/>
        </w:rPr>
      </w:pPr>
    </w:p>
    <w:p>
      <w:pPr>
        <w:jc w:val="both"/>
        <w:ind w:firstLine="1304"/>
        <w:spacing w:after="0" w:line="214" w:lineRule="auto"/>
        <w:tabs>
          <w:tab w:leader="none" w:pos="1675"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Emergency Generator</w:t>
      </w:r>
      <w:r>
        <w:rPr>
          <w:rFonts w:ascii="Times New Roman" w:cs="Times New Roman" w:eastAsia="Times New Roman" w:hAnsi="Times New Roman"/>
          <w:sz w:val="18"/>
          <w:szCs w:val="18"/>
          <w:color w:val="auto"/>
        </w:rPr>
        <w:t>. Landlord shall, as part of Landlord’s Work, provide a Building common emergency generator (“</w:t>
      </w:r>
      <w:r>
        <w:rPr>
          <w:rFonts w:ascii="Times New Roman" w:cs="Times New Roman" w:eastAsia="Times New Roman" w:hAnsi="Times New Roman"/>
          <w:sz w:val="18"/>
          <w:szCs w:val="18"/>
          <w:b w:val="1"/>
          <w:bCs w:val="1"/>
          <w:color w:val="auto"/>
        </w:rPr>
        <w:t>Generator</w:t>
      </w:r>
      <w:r>
        <w:rPr>
          <w:rFonts w:ascii="Times New Roman" w:cs="Times New Roman" w:eastAsia="Times New Roman" w:hAnsi="Times New Roman"/>
          <w:sz w:val="18"/>
          <w:szCs w:val="18"/>
          <w:color w:val="auto"/>
        </w:rPr>
        <w:t>”) for Tenant’s use, in common with others so entitled thereto from time to time (provided that the aggregate electrical demand of all equipment connected by Tenant to the Generator at any time shall not exceed five (5) Watts per rentable square foot to the laboratory portion of the Leased Premises which shall in no event be more than sixty percent (60%) of the Leased Premises). Tenant shall be responsible for performing the work necessary to connect the Generator to the Leased Premises. Landlord shall be responsible for obtaining all governmental permits, licenses, and authorizations necessary for the operation of the Generator. Tenant shall comply with all reasonable rules and regulations promulgated by Landlord with respect to its connection to, and use of, the Generator. Landlord may, at its sole costs and expense, relocate the Generator within the Project provided the same does not materially adversely affect Tenant’s ability to utilize the Generator. Landlord shall repair and maintain the Generator in good condition and repair during the Term and Tenant shall pay, as Additional Rent, Tenant’s Laboratory Share of the costs to operate, maintain, and repair the Generator pursuant to the foregoing. As used herein, “</w:t>
      </w:r>
      <w:r>
        <w:rPr>
          <w:rFonts w:ascii="Times New Roman" w:cs="Times New Roman" w:eastAsia="Times New Roman" w:hAnsi="Times New Roman"/>
          <w:sz w:val="18"/>
          <w:szCs w:val="18"/>
          <w:b w:val="1"/>
          <w:bCs w:val="1"/>
          <w:color w:val="auto"/>
        </w:rPr>
        <w:t>Tenant’s Laboratory Share</w:t>
      </w:r>
      <w:r>
        <w:rPr>
          <w:rFonts w:ascii="Times New Roman" w:cs="Times New Roman" w:eastAsia="Times New Roman" w:hAnsi="Times New Roman"/>
          <w:sz w:val="18"/>
          <w:szCs w:val="18"/>
          <w:color w:val="auto"/>
        </w:rPr>
        <w:t>” shall be the proportion that the rentable square footage of the Leased Premises bears to the rentable square footage of all the premises in the Building in which laboratory uses are permitted, from time to time.</w:t>
      </w:r>
    </w:p>
    <w:p>
      <w:pPr>
        <w:spacing w:after="0" w:line="133" w:lineRule="exact"/>
        <w:rPr>
          <w:rFonts w:ascii="Times New Roman" w:cs="Times New Roman" w:eastAsia="Times New Roman" w:hAnsi="Times New Roman"/>
          <w:sz w:val="18"/>
          <w:szCs w:val="18"/>
          <w:color w:val="auto"/>
        </w:rPr>
      </w:pPr>
    </w:p>
    <w:p>
      <w:pPr>
        <w:jc w:val="both"/>
        <w:ind w:firstLine="1304"/>
        <w:spacing w:after="0" w:line="207" w:lineRule="auto"/>
        <w:tabs>
          <w:tab w:leader="none" w:pos="168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PH Neutralization System</w:t>
      </w:r>
      <w:r>
        <w:rPr>
          <w:rFonts w:ascii="Times New Roman" w:cs="Times New Roman" w:eastAsia="Times New Roman" w:hAnsi="Times New Roman"/>
          <w:sz w:val="18"/>
          <w:szCs w:val="18"/>
          <w:color w:val="auto"/>
        </w:rPr>
        <w:t>. Subject to the terms and conditions of this Section 2.8(b), the Leased Premises include Tenant’s share of the Building common PH neutralization system located, or to be located, on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floor of the Building. Landlord has or will obtain a wastewater treatment operator permit (a “</w:t>
      </w:r>
      <w:r>
        <w:rPr>
          <w:rFonts w:ascii="Times New Roman" w:cs="Times New Roman" w:eastAsia="Times New Roman" w:hAnsi="Times New Roman"/>
          <w:sz w:val="18"/>
          <w:szCs w:val="18"/>
          <w:b w:val="1"/>
          <w:bCs w:val="1"/>
          <w:color w:val="auto"/>
        </w:rPr>
        <w:t>MWRA Permit</w:t>
      </w:r>
      <w:r>
        <w:rPr>
          <w:rFonts w:ascii="Times New Roman" w:cs="Times New Roman" w:eastAsia="Times New Roman" w:hAnsi="Times New Roman"/>
          <w:sz w:val="18"/>
          <w:szCs w:val="18"/>
          <w:color w:val="auto"/>
        </w:rPr>
        <w:t>”) from the Massachusetts Water Resources Authority (“</w:t>
      </w:r>
      <w:r>
        <w:rPr>
          <w:rFonts w:ascii="Times New Roman" w:cs="Times New Roman" w:eastAsia="Times New Roman" w:hAnsi="Times New Roman"/>
          <w:sz w:val="18"/>
          <w:szCs w:val="18"/>
          <w:b w:val="1"/>
          <w:bCs w:val="1"/>
          <w:color w:val="auto"/>
        </w:rPr>
        <w:t>MWRA</w:t>
      </w:r>
      <w:r>
        <w:rPr>
          <w:rFonts w:ascii="Times New Roman" w:cs="Times New Roman" w:eastAsia="Times New Roman" w:hAnsi="Times New Roman"/>
          <w:sz w:val="18"/>
          <w:szCs w:val="18"/>
          <w:color w:val="auto"/>
        </w:rPr>
        <w:t>”) for the operation of the PH neutralization system. The type, size, location, and manner of all connections and discharges by Tenant to the PH neutralization system, if any, shall be subject to the prior approval of Landlord in each instance prior to connecting to the PH neutralization system. Tenant’s rights under this Section 2.8(b) shall be subject to all of the terms and conditions of this Lease, as well as the following additional conditions and requirements:</w:t>
      </w:r>
    </w:p>
    <w:p>
      <w:pPr>
        <w:spacing w:after="0" w:line="134" w:lineRule="exact"/>
        <w:rPr>
          <w:rFonts w:ascii="Times New Roman" w:cs="Times New Roman" w:eastAsia="Times New Roman" w:hAnsi="Times New Roman"/>
          <w:sz w:val="18"/>
          <w:szCs w:val="18"/>
          <w:color w:val="auto"/>
        </w:rPr>
      </w:pPr>
    </w:p>
    <w:p>
      <w:pPr>
        <w:jc w:val="both"/>
        <w:ind w:firstLine="656"/>
        <w:spacing w:after="0" w:line="226" w:lineRule="auto"/>
        <w:tabs>
          <w:tab w:leader="none" w:pos="92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arising from the negligence or willful misconduct of Landlord or any of Landlord’s agents, employees or contractors, Tenant’s use of the PH neutralization system shall be at Tenant’s sole risk to the extent permitted pursuant to applicable Requirements (Landlord making no representation or warranty regarding the sufficiency of the PH neutralization system for Tenant’s use);</w:t>
      </w:r>
    </w:p>
    <w:p>
      <w:pPr>
        <w:spacing w:after="0" w:line="130" w:lineRule="exact"/>
        <w:rPr>
          <w:rFonts w:ascii="Times New Roman" w:cs="Times New Roman" w:eastAsia="Times New Roman" w:hAnsi="Times New Roman"/>
          <w:sz w:val="18"/>
          <w:szCs w:val="18"/>
          <w:color w:val="auto"/>
        </w:rPr>
      </w:pPr>
    </w:p>
    <w:p>
      <w:pPr>
        <w:ind w:right="20" w:firstLine="656"/>
        <w:spacing w:after="0" w:line="237" w:lineRule="auto"/>
        <w:tabs>
          <w:tab w:leader="none" w:pos="90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use of the PH neutralization system shall be undertaken by Tenant in compliance with all applicable Requirements, and, Tenant shall obtain any and all permits required in connection with such use by Tenant (excepting only the MWRA Permit); and</w:t>
      </w:r>
    </w:p>
    <w:p>
      <w:pPr>
        <w:spacing w:after="0" w:line="131" w:lineRule="exact"/>
        <w:rPr>
          <w:rFonts w:ascii="Times New Roman" w:cs="Times New Roman" w:eastAsia="Times New Roman" w:hAnsi="Times New Roman"/>
          <w:sz w:val="18"/>
          <w:szCs w:val="18"/>
          <w:color w:val="auto"/>
        </w:rPr>
      </w:pPr>
    </w:p>
    <w:p>
      <w:pPr>
        <w:ind w:firstLine="656"/>
        <w:spacing w:after="0" w:line="237" w:lineRule="auto"/>
        <w:tabs>
          <w:tab w:leader="none" w:pos="90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be responsible for connecting to the central distribution point for the PH neutralization system in locations approved by Landlord, such approval not to be unreasonably withheld, conditioned or delayed;</w:t>
      </w:r>
    </w:p>
    <w:p>
      <w:pPr>
        <w:spacing w:after="0" w:line="13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pay, as Additional Rent, Tenant’s Laboratory Share of the costs to operate, maintain, and repair the PH neutralization system;</w:t>
      </w:r>
    </w:p>
    <w:p>
      <w:pPr>
        <w:spacing w:after="0" w:line="15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PH neutralization system shall be subject to the Building Rules; and;</w:t>
      </w:r>
    </w:p>
    <w:p>
      <w:pPr>
        <w:spacing w:after="0" w:line="144" w:lineRule="exact"/>
        <w:rPr>
          <w:rFonts w:ascii="Times New Roman" w:cs="Times New Roman" w:eastAsia="Times New Roman" w:hAnsi="Times New Roman"/>
          <w:sz w:val="18"/>
          <w:szCs w:val="18"/>
          <w:color w:val="auto"/>
        </w:rPr>
      </w:pPr>
    </w:p>
    <w:p>
      <w:pPr>
        <w:ind w:firstLine="656"/>
        <w:spacing w:after="0" w:line="250" w:lineRule="auto"/>
        <w:tabs>
          <w:tab w:leader="none" w:pos="91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has made no warranties, whether express or implied, with respect to the PH neutralization system, and Tenant disclaims any and all such warranties.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04" w:right="339" w:bottom="1440" w:gutter="0" w:footer="0" w:header="0"/>
        </w:sectPr>
      </w:pPr>
    </w:p>
    <w:bookmarkStart w:id="226" w:name="page227"/>
    <w:bookmarkEnd w:id="226"/>
    <w:p>
      <w:pPr>
        <w:ind w:firstLine="648"/>
        <w:spacing w:after="0" w:line="222" w:lineRule="auto"/>
        <w:rPr>
          <w:sz w:val="20"/>
          <w:szCs w:val="20"/>
          <w:color w:val="auto"/>
        </w:rPr>
      </w:pPr>
      <w:r>
        <w:rPr>
          <w:rFonts w:ascii="Times New Roman" w:cs="Times New Roman" w:eastAsia="Times New Roman" w:hAnsi="Times New Roman"/>
          <w:sz w:val="18"/>
          <w:szCs w:val="18"/>
          <w:color w:val="auto"/>
        </w:rPr>
        <w:t>Tenant shall not introduce any substances or materials into the PH neutralization system, if any, (x) which are in violation of the terms of the MWRA Permit, (y) which are in violation of applicable Requirements, or (z) which would interfere with the proper functioning of the PH neutralization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62"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Utilities</w:t>
      </w:r>
      <w:r>
        <w:rPr>
          <w:rFonts w:ascii="Times New Roman" w:cs="Times New Roman" w:eastAsia="Times New Roman" w:hAnsi="Times New Roman"/>
          <w:sz w:val="18"/>
          <w:szCs w:val="18"/>
          <w:color w:val="auto"/>
        </w:rPr>
        <w:t xml:space="preserve">. Landlord shall furnish or cause public utilities to furnish utility capacity for the Leased Premises in the types and amounts and otherwise in accordance with the Landlord’s Work set forth on </w:t>
      </w:r>
      <w:r>
        <w:rPr>
          <w:rFonts w:ascii="Times New Roman" w:cs="Times New Roman" w:eastAsia="Times New Roman" w:hAnsi="Times New Roman"/>
          <w:sz w:val="18"/>
          <w:szCs w:val="18"/>
          <w:u w:val="single" w:color="auto"/>
          <w:color w:val="auto"/>
        </w:rPr>
        <w:t>Exhibit F (Landlord/Tenant Work Matrix)</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3.2</w:t>
      </w:r>
      <w:r>
        <w:rPr>
          <w:sz w:val="20"/>
          <w:szCs w:val="20"/>
          <w:color w:val="auto"/>
        </w:rPr>
        <w:tab/>
      </w:r>
      <w:r>
        <w:rPr>
          <w:rFonts w:ascii="Times New Roman" w:cs="Times New Roman" w:eastAsia="Times New Roman" w:hAnsi="Times New Roman"/>
          <w:sz w:val="17"/>
          <w:szCs w:val="17"/>
          <w:u w:val="single" w:color="auto"/>
          <w:color w:val="auto"/>
        </w:rPr>
        <w:t>Services to be Furnished by Landlord to Tenant</w:t>
      </w:r>
      <w:r>
        <w:rPr>
          <w:rFonts w:ascii="Times New Roman" w:cs="Times New Roman" w:eastAsia="Times New Roman" w:hAnsi="Times New Roman"/>
          <w:sz w:val="17"/>
          <w:szCs w:val="17"/>
          <w:color w:val="auto"/>
        </w:rPr>
        <w:t>. Landlord shall furnish or cause to be furnished to Tenant during the Lease Term:</w:t>
      </w:r>
    </w:p>
    <w:p>
      <w:pPr>
        <w:spacing w:after="0" w:line="158" w:lineRule="exact"/>
        <w:rPr>
          <w:sz w:val="20"/>
          <w:szCs w:val="20"/>
          <w:color w:val="auto"/>
        </w:rPr>
      </w:pPr>
    </w:p>
    <w:p>
      <w:pPr>
        <w:jc w:val="both"/>
        <w:ind w:firstLine="1304"/>
        <w:spacing w:after="0" w:line="224" w:lineRule="auto"/>
        <w:tabs>
          <w:tab w:leader="none" w:pos="173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 heating, ventilation and air conditioning to the Leased Premises; heating, ventilation and air-conditioning supplied to the Leased Premises after Normal Business Hours shall be subject to the overtime hourly rates then charged by Landlord at the Building; provided that, Landlord shall provide heating, ventilation and air-conditioning to the lab portion of the Leased Premises twenty-four (24) hours a day, seven (7) days a week (i.e. without charge for after Normal Business Hours usage);</w:t>
      </w:r>
    </w:p>
    <w:p>
      <w:pPr>
        <w:spacing w:after="0" w:line="118"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24/7 access and use of non-exclusive passenger elevator service and non-exclusive freight elevator service;</w:t>
      </w:r>
    </w:p>
    <w:p>
      <w:pPr>
        <w:spacing w:after="0" w:line="157"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24/7 access and use of non-exclusive use of loading facilities for the Building;</w:t>
      </w:r>
    </w:p>
    <w:p>
      <w:pPr>
        <w:spacing w:after="0" w:line="157" w:lineRule="exact"/>
        <w:rPr>
          <w:rFonts w:ascii="Times New Roman" w:cs="Times New Roman" w:eastAsia="Times New Roman" w:hAnsi="Times New Roman"/>
          <w:sz w:val="18"/>
          <w:szCs w:val="18"/>
          <w:color w:val="auto"/>
        </w:rPr>
      </w:pPr>
    </w:p>
    <w:p>
      <w:pPr>
        <w:jc w:val="both"/>
        <w:ind w:firstLine="1304"/>
        <w:spacing w:after="0" w:line="226" w:lineRule="auto"/>
        <w:tabs>
          <w:tab w:leader="none" w:pos="17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repair of the roof, exterior walls, Common Areas, common equipment (including, without limitation, sanitary, electrical (including without limitation the Emergency Generator serving the Leased Premises), heating, air conditioning, plumbing, life safety, and other systems);</w:t>
      </w:r>
    </w:p>
    <w:p>
      <w:pPr>
        <w:spacing w:after="0" w:line="130"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building signage identifying Tenant in the building lobby directory and floor directories on any multi-tenant floor; and</w:t>
      </w:r>
    </w:p>
    <w:p>
      <w:pPr>
        <w:spacing w:after="0" w:line="157"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Janitorial service for the Common Areas of the Building.</w:t>
      </w:r>
    </w:p>
    <w:p>
      <w:pPr>
        <w:spacing w:after="0" w:line="14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Except as specified above, such services shall be provided during Normal Business Hours, at such locations, in such manner and to the extent deemed by Landlord to be adequate for the use and occupancy of the Building, with due regard for the prudent control of energy.</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any other provision of this Lease, Landlord, for itself and its employees, agents and contractors, reserves the right to refuse to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perform any repairs or services in any laboratory portion of the Leased Premises or any other portion which, pursuant to Tenant’s safety guidelines, practices or custom or prudent industry practices, require any form of clothing or equipment other than safety glasses. In any such case, Tenant shall contract with commercial parties who are acceptable to Landlord, in Landlord’s reasonable discretion, for all such repairs and services.</w:t>
      </w:r>
    </w:p>
    <w:p>
      <w:pPr>
        <w:spacing w:after="0" w:line="131"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Landlord’s Failure to Provide Utilities or Services</w:t>
      </w:r>
      <w:r>
        <w:rPr>
          <w:rFonts w:ascii="Times New Roman" w:cs="Times New Roman" w:eastAsia="Times New Roman" w:hAnsi="Times New Roman"/>
          <w:sz w:val="18"/>
          <w:szCs w:val="18"/>
          <w:color w:val="auto"/>
        </w:rPr>
        <w:t>. Failure by Landlord to any extent to furnish or cause to be furnished the utilities or services described in Sections 3.1 or 3.2, or any cessation or interruption thereof, resulting from causes beyond Landlord’s reasonable control, including without limitation mechanical breakdown, overhaul, maintenance, or repair of equipment, strikes, riots, acts of God, shortages of labor or material, 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governmental laws, regulations or restrictions or any other similar causes shall not render Landlord liable in any respect for damages to either person or property, be construed as an eviction of Tenant, result in an abatement of rent or relieve Tenant from its obligation to perform or observe any covenant or agreement contained in this Lease provided, however, that if any such failure, cessation or interruption shall (i) result from the negligence or willful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misconduct of Landlord, its employees, contractors, or agents or a default by Landlord of Landlord’s obligations under this Lease, (ii) cause the Leased Premises (or any portion thereof) to be untenantable and (iii) continue for more than five (5) Business Days after notice by Tenant to Landlord, Tenant shall be entitled to a commensurate abatement of Base Rent from the date of such interruption until such service is restored in a manner causing the Leased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to be tenantable.</w:t>
      </w:r>
    </w:p>
    <w:p>
      <w:pPr>
        <w:spacing w:after="0" w:line="124" w:lineRule="exact"/>
        <w:rPr>
          <w:sz w:val="20"/>
          <w:szCs w:val="20"/>
          <w:color w:val="auto"/>
        </w:rPr>
      </w:pPr>
    </w:p>
    <w:p>
      <w:pPr>
        <w:ind w:left="66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3.4</w:t>
      </w:r>
      <w:r>
        <w:rPr>
          <w:sz w:val="20"/>
          <w:szCs w:val="20"/>
          <w:color w:val="auto"/>
        </w:rPr>
        <w:tab/>
      </w:r>
      <w:r>
        <w:rPr>
          <w:rFonts w:ascii="Times New Roman" w:cs="Times New Roman" w:eastAsia="Times New Roman" w:hAnsi="Times New Roman"/>
          <w:sz w:val="18"/>
          <w:szCs w:val="18"/>
          <w:u w:val="single" w:color="auto"/>
          <w:color w:val="auto"/>
        </w:rPr>
        <w:t>Peaceful Enjoyment</w:t>
      </w:r>
      <w:r>
        <w:rPr>
          <w:rFonts w:ascii="Times New Roman" w:cs="Times New Roman" w:eastAsia="Times New Roman" w:hAnsi="Times New Roman"/>
          <w:sz w:val="18"/>
          <w:szCs w:val="18"/>
          <w:color w:val="auto"/>
        </w:rPr>
        <w:t>. Subject to the other terms of this Lease, Landlord covenants that Tenant shall and may peacefully have, hold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and enjoy the Leased Premises for the Lease Term free of any claims by any party claiming by, through or under Landlord, provided there is no Event of Default by Tenant hereunder.</w:t>
      </w:r>
    </w:p>
    <w:p>
      <w:pPr>
        <w:spacing w:after="0" w:line="13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Landlord and Tenant agree as follows with respect to the existence or use of “Hazardous Material” in, on or about the Leased Premises, Building, and the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04" w:right="339" w:bottom="1440" w:gutter="0" w:footer="0" w:header="0"/>
        </w:sectPr>
      </w:pPr>
    </w:p>
    <w:bookmarkStart w:id="227" w:name="page228"/>
    <w:bookmarkEnd w:id="227"/>
    <w:p>
      <w:pPr>
        <w:jc w:val="both"/>
        <w:ind w:firstLine="1304"/>
        <w:spacing w:after="0" w:line="200" w:lineRule="auto"/>
        <w:tabs>
          <w:tab w:leader="none" w:pos="174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at its sole cost and expense, shall comply with all laws, statutes, ordinances, rules and regulations of any local, state or federal governmental authority having jurisdiction concerning environmental, health and safety matters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including, but not limited to, the use of animals or laboratory specimens, any discharge into the air, surface, water, sewers, soil or groundwater of any Hazardous Material (as defined below), whether within or outside the Leased Premises or within the Building or Project. Notwithstanding the foregoing, nothing contained in this Lease requires, or shall be construed to require, Tenant to incur any liability related to or arising from environmental conditions (i) for which the Landlord is responsible pursuant to the terms of this Lease, or (ii) which existed within the Leased Premises, the Building or Project prior to the date Tenant takes possession of, or enters, the Leased Premises, provided, however, that if any such environmental condition was exacerbated by Tenant (or Tenant’s contractors, subcontractors, agents, subtenants, assigns, etc.), the cost (and any delays resulting therefrom) of the liability therefor and any such removal or remediation shall be equitably borne by Landlord and Tenant based upon the degree to which Tenant’s (or such other Tenant parties’) actions have increased the cost of such removal or remediation. Tenant shall comply with all applicable Requirements (including applicable building code requirements and Landlord’s reasonable quantity limitations to provide for multiple tenant use and compliance applicable to the Building area and/or the so-called “control area” therein; provided, however, that Tenant shall (I) so long as Tenant continues to lease the entirety of the fifth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floor, have the right to use one hundred percent (100%) of the available quantities with respect to the two (2) control areas on the fifth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floor; (II) not have the right to use any of the available quantities of any control areas on the sixth (6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floor; and (III) only be permitted to use its allocated proportionate share of permitted storage of Hazardous Materials in the chemical storage areas on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floor of the Building. Tenant is required to adhere to and comply with the allowable quantities of Hazardous Materials that are allocated to them by the Landlord’s flammable matrix, from time to time. Landlord consents to Tenant’s use of the Hazardous Materials in the quantities listed in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In the event that Tenant requests Landlord’s consent to revise or modify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Landlord shall respond within ten (10) Business Days after Tenant’s request for consent, which consent shall not be unreasonably withheld, conditioned or delayed.</w:t>
      </w:r>
    </w:p>
    <w:p>
      <w:pPr>
        <w:spacing w:after="0" w:line="135" w:lineRule="exact"/>
        <w:rPr>
          <w:rFonts w:ascii="Times New Roman" w:cs="Times New Roman" w:eastAsia="Times New Roman" w:hAnsi="Times New Roman"/>
          <w:sz w:val="18"/>
          <w:szCs w:val="18"/>
          <w:color w:val="auto"/>
        </w:rPr>
      </w:pPr>
    </w:p>
    <w:p>
      <w:pPr>
        <w:jc w:val="both"/>
        <w:ind w:firstLine="1304"/>
        <w:spacing w:after="0" w:line="211" w:lineRule="auto"/>
        <w:tabs>
          <w:tab w:leader="none" w:pos="176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cause or permit any Hazardous Material to be brought upon, kept or used in or about the Leased Premises or otherwise in, on or at the Building or Project by Tenant, its agents, employees, contractors or invitees, without the prior written consent of Landlord, except for Hazardous Materials which are permitted by this Agreement, and provided that all such permitted materials are stored, used and disposed of in strict compliance with all applicable Environmental Laws. Within ten (10) Business Days following Landlord’s written request, Tenant shall provide Landlord with any information requested by Landlord concerning the existence, use, generation or disposal of Hazardous Materials at the Leased Premises, including, but not limited to, the following information: (a) the name, address and telephone number of the person or entity employed by Tenant to dispose of its Hazardous Materials, including a copy of any contract with said person or entity, (b) all relevant information relating to such materials (e.g., a list of each type of Hazardous Materials used, stored, generated or disposed of by Tenant at the Leased Premises and a description of how Tenant disposes of said Hazardous Materials, a copy of its most current materials list and applicable quantities thereof, applicable material safety data sheets ( MSDS) and safety data sheets (SDS) and transportation and removal manifests), and (c) copies of any licenses or permits obtained by Tenant in order to use, generate or dispose of Hazardous Materials, including any MWRA permits and approvals. Tenant shall also as soon as practicable provide to Landlord (without demand by Landlord) a copy of any notice, registration, application, permit, or license given to or received from any governmental authority or private party, or persons entering or occupying the Leased Premises, concerning the presence, release, exposure or disposal of any Hazardous Materials in or about the Leased Premises, the Building, or the Project. Notwithstanding the foregoing, with respect to any of Tenant’s Hazardous Materials which Tenant does not properly handle, store or dispose of in compliance with all applicable Environmental Laws and good scientific and medical practice, Tenant shall, upon written notice from Landlord, no longer have the right to bring such material into the Leased Premises, the Building of which the Leased Premises is a part or the Project until Tenant has demonstrated, to Landlord’s reasonable satisfaction, that Tenant has implemented programs to thereafter properly handle, store or dispose of such material.</w:t>
      </w:r>
    </w:p>
    <w:p>
      <w:pPr>
        <w:spacing w:after="0" w:line="135" w:lineRule="exact"/>
        <w:rPr>
          <w:rFonts w:ascii="Times New Roman" w:cs="Times New Roman" w:eastAsia="Times New Roman" w:hAnsi="Times New Roman"/>
          <w:sz w:val="18"/>
          <w:szCs w:val="18"/>
          <w:color w:val="auto"/>
        </w:rPr>
      </w:pPr>
    </w:p>
    <w:p>
      <w:pPr>
        <w:jc w:val="both"/>
        <w:ind w:firstLine="1304"/>
        <w:spacing w:after="0" w:line="215" w:lineRule="auto"/>
        <w:tabs>
          <w:tab w:leader="none" w:pos="179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term “</w:t>
      </w:r>
      <w:r>
        <w:rPr>
          <w:rFonts w:ascii="Times New Roman" w:cs="Times New Roman" w:eastAsia="Times New Roman" w:hAnsi="Times New Roman"/>
          <w:sz w:val="18"/>
          <w:szCs w:val="18"/>
          <w:b w:val="1"/>
          <w:bCs w:val="1"/>
          <w:color w:val="auto"/>
        </w:rPr>
        <w:t>Hazardous Material</w:t>
      </w:r>
      <w:r>
        <w:rPr>
          <w:rFonts w:ascii="Times New Roman" w:cs="Times New Roman" w:eastAsia="Times New Roman" w:hAnsi="Times New Roman"/>
          <w:sz w:val="18"/>
          <w:szCs w:val="18"/>
          <w:color w:val="auto"/>
        </w:rPr>
        <w:t>” means any hazardous or toxic substances, hazardous waste, environmental, biological, chemical, radioactive substances, oil, petroleum products and any waste or substance, which because of its quantitative concentration, chemical, biological, radioactive, flammable, explosive, infectious or other characteristics, constitutes or may reasonably be expected to constitute or contribute to a danger or hazard to public health, safety or welfare or to the environment, or that would trigger any employee or community “right-to-know” requirements adopted by any federal, state or local governing or regulatory body or which is or otherwise becomes regulated by any Environmental Law, including but not limited to the Massachusetts “Right to Know” Law, Chapter 111F of the General Laws of Massachusetts, specifically including live organisms, viruses and fungi, Medical Waste (as defined below), and so-called “biohazard” materials. The term “</w:t>
      </w:r>
      <w:r>
        <w:rPr>
          <w:rFonts w:ascii="Times New Roman" w:cs="Times New Roman" w:eastAsia="Times New Roman" w:hAnsi="Times New Roman"/>
          <w:sz w:val="18"/>
          <w:szCs w:val="18"/>
          <w:b w:val="1"/>
          <w:bCs w:val="1"/>
          <w:color w:val="auto"/>
        </w:rPr>
        <w:t>Hazardous Material</w:t>
      </w:r>
      <w:r>
        <w:rPr>
          <w:rFonts w:ascii="Times New Roman" w:cs="Times New Roman" w:eastAsia="Times New Roman" w:hAnsi="Times New Roman"/>
          <w:sz w:val="18"/>
          <w:szCs w:val="18"/>
          <w:color w:val="auto"/>
        </w:rPr>
        <w:t>” includes, without limitation, any material or substance which is (i) designated as a “hazardous substance” pursuant to Section 1311 of the Federal Water Pollution Control Act (33 U.S.C. Section 1317), (ii) defined as a “hazardous waste” pursuant to Section 1004 of the Federal Resource Conservation and Recovery Act, 42 U.S.C. Section 6901 et seq. (42 U.S.C. Section 6903), (iii) defined as a “hazardous substance”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04" w:right="339" w:bottom="1440" w:gutter="0" w:footer="0" w:header="0"/>
        </w:sectPr>
      </w:pPr>
    </w:p>
    <w:bookmarkStart w:id="228" w:name="page229"/>
    <w:bookmarkEnd w:id="228"/>
    <w:p>
      <w:pPr>
        <w:jc w:val="both"/>
        <w:spacing w:after="0" w:line="222" w:lineRule="auto"/>
        <w:rPr>
          <w:sz w:val="20"/>
          <w:szCs w:val="20"/>
          <w:color w:val="auto"/>
        </w:rPr>
      </w:pPr>
      <w:r>
        <w:rPr>
          <w:rFonts w:ascii="Times New Roman" w:cs="Times New Roman" w:eastAsia="Times New Roman" w:hAnsi="Times New Roman"/>
          <w:sz w:val="18"/>
          <w:szCs w:val="18"/>
          <w:color w:val="auto"/>
        </w:rPr>
        <w:t>pursuant to Section 101 of the Comprehensive Environmental Response, Compensation and Liability Act, 42 U.S.C. Section 9601 et seq. (42 U.S.C. Section 9601), (iv) defined as “hazardous substance” or “oil” under Chapter 21E of the General Laws of Massachusetts, or (v) a so-called “biohazard” or</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Medical Waste, or is contaminated with blood or other bodily fluids; and “Environmental Laws” include, without limitation, the laws listed in the preceding clauses (i) through (iv). The term “</w:t>
      </w:r>
      <w:r>
        <w:rPr>
          <w:rFonts w:ascii="Times New Roman" w:cs="Times New Roman" w:eastAsia="Times New Roman" w:hAnsi="Times New Roman"/>
          <w:sz w:val="17"/>
          <w:szCs w:val="17"/>
          <w:b w:val="1"/>
          <w:bCs w:val="1"/>
          <w:color w:val="auto"/>
        </w:rPr>
        <w:t>Medical Waste</w:t>
      </w:r>
      <w:r>
        <w:rPr>
          <w:rFonts w:ascii="Times New Roman" w:cs="Times New Roman" w:eastAsia="Times New Roman" w:hAnsi="Times New Roman"/>
          <w:sz w:val="17"/>
          <w:szCs w:val="17"/>
          <w:color w:val="auto"/>
        </w:rPr>
        <w:t>” shall mean the types of waste described in any federal, state or local laws, rules and regulations and any similar type of waste. Tenant shall not cause or permit any Medical Waste to be brought, kept or used in or about the Leased Premises, the Building,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Project by Tenant, its employees, agents, contractors or invitees except in strict compliance with all applicable Environmental Laws and with good scientific and medical practice. Tenant shall comply with all applicable and appropriate laboratory biosafety level criteria, requirements and recommendations including specific “BSL” limitations, standards, practices, safety equipment and facility requirements for the applicable BSL level</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pursuant to the Center for Disease Control and otherwise consistent with good scientific and medical practice (and in no event shall Tenant’s use or occupancy involve activities that would qualify or be characterized or categorized as BSL 3 or BSL 4. Information can be found at: </w:t>
      </w:r>
      <w:r>
        <w:rPr>
          <w:rFonts w:ascii="Times New Roman" w:cs="Times New Roman" w:eastAsia="Times New Roman" w:hAnsi="Times New Roman"/>
          <w:sz w:val="18"/>
          <w:szCs w:val="18"/>
          <w:u w:val="single" w:color="auto"/>
          <w:color w:val="auto"/>
        </w:rPr>
        <w:t>https://www.cdc.gov/biosafety/publications/bmbl5/bmbl5_sect_iv.pdf</w:t>
      </w:r>
    </w:p>
    <w:p>
      <w:pPr>
        <w:spacing w:after="0" w:line="131" w:lineRule="exact"/>
        <w:rPr>
          <w:sz w:val="20"/>
          <w:szCs w:val="20"/>
          <w:color w:val="auto"/>
        </w:rPr>
      </w:pPr>
    </w:p>
    <w:p>
      <w:pPr>
        <w:ind w:left="1700" w:hanging="396"/>
        <w:spacing w:after="0"/>
        <w:tabs>
          <w:tab w:leader="none" w:pos="17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57" w:lineRule="exact"/>
        <w:rPr>
          <w:rFonts w:ascii="Times New Roman" w:cs="Times New Roman" w:eastAsia="Times New Roman" w:hAnsi="Times New Roman"/>
          <w:sz w:val="18"/>
          <w:szCs w:val="18"/>
          <w:color w:val="auto"/>
        </w:rPr>
      </w:pPr>
    </w:p>
    <w:p>
      <w:pPr>
        <w:jc w:val="both"/>
        <w:ind w:firstLine="1304"/>
        <w:spacing w:after="0" w:line="210" w:lineRule="auto"/>
        <w:tabs>
          <w:tab w:leader="none" w:pos="176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expiration of this Lease (or within thirty (30) days after any earlier termination), Tenant shall clean and otherwise decommission all interior surfaces (including floors, walls, ceilings, and counters), piping, supply lines, waste lines, pH neutralization system, and plumbing in and exclusively serving the Leased Premises (but all only to the point of common connection), and all exhaust or other ductwork in and exclusively serving the Leased Premises, in each case which has carried or released or been exposed to any Hazardous Material, and shall otherwise clean the Leased Premises (to the point of ceiling penetration) so as to permit the report hereinafter called for by this Section 3.5 to be issued. Prior to the expiration of this Lease (or within thirty (30) days after any earlier termination), Tenant, at Tenant’s expense, shall obtain for Landlord a report (the “</w:t>
      </w:r>
      <w:r>
        <w:rPr>
          <w:rFonts w:ascii="Times New Roman" w:cs="Times New Roman" w:eastAsia="Times New Roman" w:hAnsi="Times New Roman"/>
          <w:sz w:val="18"/>
          <w:szCs w:val="18"/>
          <w:b w:val="1"/>
          <w:bCs w:val="1"/>
          <w:color w:val="auto"/>
        </w:rPr>
        <w:t>Decommissioning Report</w:t>
      </w:r>
      <w:r>
        <w:rPr>
          <w:rFonts w:ascii="Times New Roman" w:cs="Times New Roman" w:eastAsia="Times New Roman" w:hAnsi="Times New Roman"/>
          <w:sz w:val="18"/>
          <w:szCs w:val="18"/>
          <w:color w:val="auto"/>
        </w:rPr>
        <w:t>”) addressed to Landlord and Landlord’s designees (and, at Tenant’s election, Tenant) by a reputable licensed environmental engineer or certified industrial hygienist that, in either case, is designated by Tenant and acceptable to Landlord in Landlord’s reasonable discretion, which Decommissioning Report shall be based on the environmental engineer’s or industrial hygienist’s inspection of the Leased Premises and shall show: that the Hazardous Materials, to the extent, if any, existing prior to such decommissioning, have been removed as necessary so that the interior surfaces of the Leased Premises (including but not limited to floors, walls, ceilings, and counters), piping, supply lines, waste lines and plumbing, and all such exhaust or other ductwork in and exclusively serving the Leased Premises, may be reused by a subsequent tenant or disposed of in compliance with applicable Environmental Laws without taking any special precautions for Hazardous Materials, without incurring special costs or undertaking special procedures for demolition, disposal, investigation, assessment, cleaning or removal of Hazardous Materials and without incurring regulatory compliance requirements or giving notice in connection with Hazardous Materials; and that the Leased Premises may be reoccupied for office, research and laboratory use, demolished or renovated without taking any special precautions for Hazardous Materials, without incurring special costs or undertaking special procedures for disposal, investigation, assessment, cleaning or removal of Hazardous Materials and without incurring regulatory requirements or giving notice in connection with Environmental Substances. Further, for purposes of this Section 3.5: “special costs” or “special procedures” shall mean costs or procedures, as the case may be, that would not be incurred but for the nature of the Hazardous Materials as Hazardous Materials instead of non-hazardous materials. The Decommissioning Report shall include reasonable detail concerning the clean-up location, the tests run and the analytic results. In addition, to the extent Tenant (or any party taking by or through Tenant) used, stored, generated or disposed of any radioactive or radiological substances on or about the Leased Premises, such decommissioning shall also be conducted in accordance with the regulations of the U.S. Nuclear Regulatory Commission and/or the Massachusetts Department of Public Health for the control of radiation, and cause the Leased Premises to be released for unrestricted use by the Radiation Control Program of the Massachusetts Department of Public Health for the control of radiation, and deliver to Landlord the report of a certified industrial hygienist stating that he or she has examined the Leased Premises (including visual inspection, Geiger counter evaluation and airborne and surface monitoring) and found no evidence that such portion contains Hazardous Materials or is otherwise in violation of any Environmental Law. If Tenant fails to perform its obligations under this Section 3.5, without limiting any other right or remedy, Landlord may, on not less than five (5) Business Days’ prior written notice to Tenant perform such obligations at Tenant’s expense, and Tenant shall promptly reimburse Landlord upon demand for all costs and expenses reasonably incurred together with an administrative charge of 10% of the cost thereof. Tenant’s obligations under this Section 3.5 shall survive the expiration or earlier termination of this Lease. All amounts owed to Landlord under this Section 3.5 shall be payable as Additional Rent, and if not paid on or before the date when due shall incur interest at the rate set forth in Section 7.5 below, until paid in full.</w:t>
      </w:r>
    </w:p>
    <w:p>
      <w:pPr>
        <w:spacing w:after="0" w:line="136" w:lineRule="exact"/>
        <w:rPr>
          <w:rFonts w:ascii="Times New Roman" w:cs="Times New Roman" w:eastAsia="Times New Roman" w:hAnsi="Times New Roman"/>
          <w:sz w:val="18"/>
          <w:szCs w:val="18"/>
          <w:color w:val="auto"/>
        </w:rPr>
      </w:pPr>
    </w:p>
    <w:p>
      <w:pPr>
        <w:ind w:firstLine="1304"/>
        <w:spacing w:after="0" w:line="237" w:lineRule="auto"/>
        <w:tabs>
          <w:tab w:leader="none" w:pos="1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expiration of this Lease (or within thirty (30) days after any earlier termination), Tenant shall provide to Landlord a copy of its most current chemical waste removal manifest.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04" w:right="339" w:bottom="1440" w:gutter="0" w:footer="0" w:header="0"/>
        </w:sectPr>
      </w:pPr>
    </w:p>
    <w:bookmarkStart w:id="229" w:name="page230"/>
    <w:bookmarkEnd w:id="229"/>
    <w:p>
      <w:pPr>
        <w:jc w:val="both"/>
        <w:ind w:left="-660" w:firstLine="1304"/>
        <w:spacing w:after="0" w:line="217" w:lineRule="auto"/>
        <w:tabs>
          <w:tab w:leader="none" w:pos="103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hereby represents and warrants to Landlord that (i) neither Tenant nor any of its legal predecessors has been required by any prior landlord, lender or governmental authority at any time to take remedial action in connection with Hazardous Materials contaminating a property which contamination was permitted by Tenant of such predecessor or resulted from Tenant’s or such predecessor’s action or use of the property in question, and (ii) Tenant is not subject to any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If Landlord determines that this representation and warranty was not true as of the date of this Lease, Landlord shall have the right to terminate this Lease in Landlord’s sole and absolute discretion.</w:t>
      </w:r>
    </w:p>
    <w:p>
      <w:pPr>
        <w:spacing w:after="0" w:line="134" w:lineRule="exact"/>
        <w:rPr>
          <w:rFonts w:ascii="Times New Roman" w:cs="Times New Roman" w:eastAsia="Times New Roman" w:hAnsi="Times New Roman"/>
          <w:sz w:val="18"/>
          <w:szCs w:val="18"/>
          <w:color w:val="auto"/>
        </w:rPr>
      </w:pPr>
    </w:p>
    <w:p>
      <w:pPr>
        <w:jc w:val="both"/>
        <w:ind w:left="-660" w:firstLine="1304"/>
        <w:spacing w:after="0" w:line="215" w:lineRule="auto"/>
        <w:tabs>
          <w:tab w:leader="none" w:pos="104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have the right to conduct annual tests of the Leased Premises to determine whether any contamination of the Leased Premises, the Building or the Project has occurred as a result of Tenant’s use (or more frequently if Landlord has a reasonable basis to suspect that a violation of this Section 3.5 may have occurred). Tenant shall be required to pay the cost of such annual test of the Leased Premises if there is violation of this Section 3.5 or if contamination for which Tenant is responsible under this Section 3.5 is identified; provided, however, that if Tenant conducts its own tests of the Leased Premises using third party contractors and test procedures acceptable to Landlord which tests are certified to Landlord, Landlord shall accept such tests in lieu of seeking payment from Tenant for any corresponding annual test conducted by Landlord. Landlord shall provide Tenant with a copy of all third party, non-confidential reports and tests of the Leased Premises made by or on behalf of Landlord during the Term without representation or warranty and subject to a confidentiality agreement.</w:t>
      </w:r>
    </w:p>
    <w:p>
      <w:pPr>
        <w:spacing w:after="0" w:line="136" w:lineRule="exact"/>
        <w:rPr>
          <w:rFonts w:ascii="Times New Roman" w:cs="Times New Roman" w:eastAsia="Times New Roman" w:hAnsi="Times New Roman"/>
          <w:sz w:val="18"/>
          <w:szCs w:val="18"/>
          <w:color w:val="auto"/>
        </w:rPr>
      </w:pPr>
    </w:p>
    <w:p>
      <w:pPr>
        <w:jc w:val="both"/>
        <w:ind w:left="-660" w:firstLine="1304"/>
        <w:spacing w:after="0" w:line="210" w:lineRule="auto"/>
        <w:tabs>
          <w:tab w:leader="none" w:pos="106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hereby covenants and agrees to indemnify, defend and hold Landlord harmless from any and all liabilities, losses, costs, damages, claims, loss of rents, liens, judgments, penalties, fines, settlement costs, investigation costs, the cost of consultants and experts, reasonable attorney’s fees, court costs and other legal expenses, the effects of environmental contamination, the cost of environmental testing, the removal, remediation and/or abatement of Hazardous Materials or Medical Waste), insurance policy deductibles and other expenses (collectively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arising out of or related to an Indemnified Matter. For purposes of this Section 3.5(j), an “</w:t>
      </w:r>
      <w:r>
        <w:rPr>
          <w:rFonts w:ascii="Times New Roman" w:cs="Times New Roman" w:eastAsia="Times New Roman" w:hAnsi="Times New Roman"/>
          <w:sz w:val="18"/>
          <w:szCs w:val="18"/>
          <w:b w:val="1"/>
          <w:bCs w:val="1"/>
          <w:color w:val="auto"/>
        </w:rPr>
        <w:t>Indemnified Matter</w:t>
      </w:r>
      <w:r>
        <w:rPr>
          <w:rFonts w:ascii="Times New Roman" w:cs="Times New Roman" w:eastAsia="Times New Roman" w:hAnsi="Times New Roman"/>
          <w:sz w:val="18"/>
          <w:szCs w:val="18"/>
          <w:color w:val="auto"/>
        </w:rPr>
        <w:t>” shall mean any matter for which one or more of the Indemnified Parties incurs liability or damages if the liability or damages arise out of or involve, directly or indirectly, (i) the presence of any Hazardous Material or Medical Waste on or about the Leased Premises (or the Building), the presence of which is caused or permitted by Tenant or its employees, agents, contractors or invitees (all of said persons or entities are hereinafter collectively referred to as “</w:t>
      </w:r>
      <w:r>
        <w:rPr>
          <w:rFonts w:ascii="Times New Roman" w:cs="Times New Roman" w:eastAsia="Times New Roman" w:hAnsi="Times New Roman"/>
          <w:sz w:val="18"/>
          <w:szCs w:val="18"/>
          <w:b w:val="1"/>
          <w:bCs w:val="1"/>
          <w:color w:val="auto"/>
        </w:rPr>
        <w:t>Tenant Parties</w:t>
      </w:r>
      <w:r>
        <w:rPr>
          <w:rFonts w:ascii="Times New Roman" w:cs="Times New Roman" w:eastAsia="Times New Roman" w:hAnsi="Times New Roman"/>
          <w:sz w:val="18"/>
          <w:szCs w:val="18"/>
          <w:color w:val="auto"/>
        </w:rPr>
        <w:t>”), (ii) Tenant’s failure to perform any of its obligations under this Section 3.5 or any other provision relating to Hazardous Materials, or (iii) the existence, use or disposal of any Hazardous Substance or Medical Waste brought on to the Building by a Tenant Party. Tenant’s obligations hereunder shall include, but shall not be limited to compensating the Landlord for Losses arising out of Indemnified Matters within ten (10) Business Days after written demand from Landlord and providing a defense, with counsel reasonably satisfactory to the Landlord, at Tenant’s sole expense, within ten (10) Business Days after written demand from Landlord, of any claims, action or proceeding arising out of or relating to an Indemnified Matter whether or not litigated or reduced to judgment. This indemnification of the Landlord by Tenant includes, without limitation, reasonable costs incurred in connection with any investigation of site conditions or any cleanup, remedial, removal or restoration work required by any federal, state or local governmental agency or political subdivision because of Hazardous Material present in the soil or ground water on or under the Leased Premises based upon the circumstances identified herein. Without limiting the foregoing, if the presence of any Hazardous Material in the Building or otherwise in, on, at or under the Land caused or permitted by any Tenant Party results in any contamination of the Leased Premises, Tenant shall promptly take all actions at its sole expense as are necessary to return the Leased Premises to a condition which complies with all Environmental Laws; provided that Landlord’s approval of such actions shall first be obtained, which approval shall not be unreasonably withheld so long as such actions, in Landlord’s reasonable discretion, would not potentially have any materially adverse long-term or short-term effect on the Leased Premises, and, in any event, Landlord shall not withhold its approval of any proposed actions which are required by applicable Environmental Laws. This indemnity is intended to apply to the fullest extent permitted by applicable law.</w:t>
      </w:r>
    </w:p>
    <w:p>
      <w:pPr>
        <w:spacing w:after="0" w:line="146" w:lineRule="exact"/>
        <w:rPr>
          <w:rFonts w:ascii="Times New Roman" w:cs="Times New Roman" w:eastAsia="Times New Roman" w:hAnsi="Times New Roman"/>
          <w:sz w:val="18"/>
          <w:szCs w:val="18"/>
          <w:color w:val="auto"/>
        </w:rPr>
      </w:pPr>
    </w:p>
    <w:p>
      <w:pPr>
        <w:ind w:left="-660" w:firstLine="1304"/>
        <w:spacing w:after="0" w:line="237" w:lineRule="auto"/>
        <w:tabs>
          <w:tab w:leader="none" w:pos="101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3.5 shall survive the expiration or termination of this Lease unless specifically waived in writing by Landlord after said expiration or termination.</w:t>
      </w:r>
    </w:p>
    <w:p>
      <w:pPr>
        <w:spacing w:after="0" w:line="12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6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Section 4.1</w:t>
      </w:r>
      <w:r>
        <w:rPr>
          <w:sz w:val="20"/>
          <w:szCs w:val="20"/>
          <w:color w:val="auto"/>
        </w:rPr>
        <w:tab/>
      </w:r>
      <w:r>
        <w:rPr>
          <w:rFonts w:ascii="Times New Roman" w:cs="Times New Roman" w:eastAsia="Times New Roman" w:hAnsi="Times New Roman"/>
          <w:sz w:val="17"/>
          <w:szCs w:val="17"/>
          <w:u w:val="single" w:color="auto"/>
          <w:color w:val="auto"/>
        </w:rPr>
        <w:t>Operation</w:t>
      </w:r>
      <w:r>
        <w:rPr>
          <w:rFonts w:ascii="Times New Roman" w:cs="Times New Roman" w:eastAsia="Times New Roman" w:hAnsi="Times New Roman"/>
          <w:sz w:val="17"/>
          <w:szCs w:val="17"/>
          <w:color w:val="auto"/>
        </w:rPr>
        <w:t>. Tenant may operate the Leased Premises only for the applicable Permitted Use, consistent with the terms of this Lease.</w:t>
      </w:r>
    </w:p>
    <w:p>
      <w:pPr>
        <w:spacing w:after="0" w:line="14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Section 4.2</w:t>
      </w:r>
      <w:r>
        <w:rPr>
          <w:sz w:val="20"/>
          <w:szCs w:val="20"/>
          <w:color w:val="auto"/>
        </w:rPr>
        <w:tab/>
      </w:r>
      <w:r>
        <w:rPr>
          <w:rFonts w:ascii="Times New Roman" w:cs="Times New Roman" w:eastAsia="Times New Roman" w:hAnsi="Times New Roman"/>
          <w:sz w:val="18"/>
          <w:szCs w:val="18"/>
          <w:u w:val="single" w:color="auto"/>
          <w:color w:val="auto"/>
        </w:rPr>
        <w:t>Alterations, Improvements and Additions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020" w:hanging="376"/>
        <w:spacing w:after="0"/>
        <w:tabs>
          <w:tab w:leader="none" w:pos="10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furnishing, equipping or improving of or other alteration, improvement or addition to the Leased Premises shall be: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ind w:left="4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p>
    <w:p>
      <w:pPr>
        <w:sectPr>
          <w:pgSz w:w="11900" w:h="16838" w:orient="portrait"/>
          <w:cols w:equalWidth="0" w:num="1">
            <w:col w:w="10580"/>
          </w:cols>
          <w:pgMar w:left="980" w:top="1404" w:right="339" w:bottom="1440" w:gutter="0" w:footer="0" w:header="0"/>
        </w:sectPr>
      </w:pPr>
    </w:p>
    <w:bookmarkStart w:id="230" w:name="page231"/>
    <w:bookmarkEnd w:id="230"/>
    <w:p>
      <w:pPr>
        <w:ind w:left="1660" w:hanging="356"/>
        <w:spacing w:after="0"/>
        <w:tabs>
          <w:tab w:leader="none" w:pos="1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and kept at the Leased Premises at Tenant’s sole cost, risk, and expense;</w:t>
      </w:r>
    </w:p>
    <w:p>
      <w:pPr>
        <w:spacing w:after="0" w:line="157" w:lineRule="exact"/>
        <w:rPr>
          <w:rFonts w:ascii="Times New Roman" w:cs="Times New Roman" w:eastAsia="Times New Roman" w:hAnsi="Times New Roman"/>
          <w:sz w:val="18"/>
          <w:szCs w:val="18"/>
          <w:color w:val="auto"/>
        </w:rPr>
      </w:pPr>
    </w:p>
    <w:p>
      <w:pPr>
        <w:ind w:left="660" w:firstLine="644"/>
        <w:spacing w:after="0" w:line="237" w:lineRule="auto"/>
        <w:tabs>
          <w:tab w:leader="none" w:pos="171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in a prompt, good and workmanlike manner with labor and materials of such quality as Landlord may reasonably require in full compliance with all Requirements;</w:t>
      </w:r>
    </w:p>
    <w:p>
      <w:pPr>
        <w:spacing w:after="0" w:line="131" w:lineRule="exact"/>
        <w:rPr>
          <w:rFonts w:ascii="Times New Roman" w:cs="Times New Roman" w:eastAsia="Times New Roman" w:hAnsi="Times New Roman"/>
          <w:sz w:val="18"/>
          <w:szCs w:val="18"/>
          <w:color w:val="auto"/>
        </w:rPr>
      </w:pPr>
    </w:p>
    <w:p>
      <w:pPr>
        <w:jc w:val="both"/>
        <w:ind w:left="660" w:firstLine="644"/>
        <w:spacing w:after="0" w:line="220" w:lineRule="auto"/>
        <w:tabs>
          <w:tab w:leader="none" w:pos="179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constructed in accordance with plans and specifications approved in writing by Landlord prior to the commencement of any such work. Landlord shall not unreasonably withhold, condition or delay its approval of any plans submitted by Tenant and shall respond to the request of Tenant for such approval (or any future iterations of such plans) within ten (10) Business Days after receipt thereof. If Landlord disapproves of said plans, then concurrent therewith Landlord will specify in writing the reason(s) for such disapproval with sufficient specificity so as to allow Tenant to make such changes as Landlord may reasonably require.</w:t>
      </w:r>
    </w:p>
    <w:p>
      <w:pPr>
        <w:spacing w:after="0" w:line="131" w:lineRule="exact"/>
        <w:rPr>
          <w:rFonts w:ascii="Times New Roman" w:cs="Times New Roman" w:eastAsia="Times New Roman" w:hAnsi="Times New Roman"/>
          <w:sz w:val="18"/>
          <w:szCs w:val="18"/>
          <w:color w:val="auto"/>
        </w:rPr>
      </w:pPr>
    </w:p>
    <w:p>
      <w:pPr>
        <w:jc w:val="both"/>
        <w:ind w:left="660" w:firstLine="644"/>
        <w:spacing w:after="0" w:line="226" w:lineRule="auto"/>
        <w:tabs>
          <w:tab w:leader="none" w:pos="178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prosecuted diligently and continuously to completion so as to minimize interference with the normal business operations of other tenants in the Building, the performance of Landlord’s obligations under this Lease or any mortgage or underlying lease covering or affecting all or any part of the Project and any work being done by contractors engaged by Landlord with respect to or in connection with the Building; and</w:t>
      </w:r>
    </w:p>
    <w:p>
      <w:pPr>
        <w:spacing w:after="0" w:line="119"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by contractors approved in writing by Landlord (which approval shall not unreasonably be withheld, conditioned or</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w:t>
      </w:r>
    </w:p>
    <w:p>
      <w:pPr>
        <w:spacing w:after="0" w:line="138" w:lineRule="exact"/>
        <w:rPr>
          <w:sz w:val="20"/>
          <w:szCs w:val="20"/>
          <w:color w:val="auto"/>
        </w:rPr>
      </w:pPr>
    </w:p>
    <w:p>
      <w:pPr>
        <w:jc w:val="both"/>
        <w:ind w:firstLine="1304"/>
        <w:spacing w:after="0" w:line="212" w:lineRule="auto"/>
        <w:tabs>
          <w:tab w:leader="none" w:pos="1715"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the installation of Trade Fixtures, all alterations, improvements and additions constructed by Tenant shall, at Landlord’s election, which shall be provided at the time that Landlord approves plans of the same, remain the property of Landlord at the end of the Lease Term. Tenant shall be entitled to the exclusive right to depreciate and amortize any alterations or improvements that it constructs at its sole cost and take investment tax credits with respect thereto. Notwithstanding anything to the contrary in this Section 4.2 or elsewhere in this Lease, Tenant shall not be required to obtain Landlord’s consent for (a) decorative alterations or improvements such as painting, wall coverings and floor coverings (collectively, “</w:t>
      </w:r>
      <w:r>
        <w:rPr>
          <w:rFonts w:ascii="Times New Roman" w:cs="Times New Roman" w:eastAsia="Times New Roman" w:hAnsi="Times New Roman"/>
          <w:sz w:val="18"/>
          <w:szCs w:val="18"/>
          <w:b w:val="1"/>
          <w:bCs w:val="1"/>
          <w:color w:val="auto"/>
        </w:rPr>
        <w:t>Decorative Alterations</w:t>
      </w:r>
      <w:r>
        <w:rPr>
          <w:rFonts w:ascii="Times New Roman" w:cs="Times New Roman" w:eastAsia="Times New Roman" w:hAnsi="Times New Roman"/>
          <w:sz w:val="18"/>
          <w:szCs w:val="18"/>
          <w:color w:val="auto"/>
        </w:rPr>
        <w:t>”) or (b) alterations or improvements that (i) do not materially and adversely affect any building systems or the Building structure,</w:t>
      </w:r>
    </w:p>
    <w:p>
      <w:pPr>
        <w:spacing w:after="0" w:line="2" w:lineRule="exact"/>
        <w:rPr>
          <w:rFonts w:ascii="Times New Roman" w:cs="Times New Roman" w:eastAsia="Times New Roman" w:hAnsi="Times New Roman"/>
          <w:sz w:val="18"/>
          <w:szCs w:val="18"/>
          <w:color w:val="auto"/>
        </w:rPr>
      </w:pPr>
    </w:p>
    <w:p>
      <w:pPr>
        <w:jc w:val="both"/>
        <w:ind w:firstLine="8"/>
        <w:spacing w:after="0" w:line="215" w:lineRule="auto"/>
        <w:tabs>
          <w:tab w:leader="none" w:pos="27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require the consent of the Prime Lessor based on the terms of the Prime Lease, (iii) are within the Leased Premises and are not exterior changes or otherwise visible from outside of the Leased Premises or the Building, (iii) in all respects, comply with all applicable Requirements, and (iv) cost less than $100,000.00 in each instance (collectively “</w:t>
      </w:r>
      <w:r>
        <w:rPr>
          <w:rFonts w:ascii="Times New Roman" w:cs="Times New Roman" w:eastAsia="Times New Roman" w:hAnsi="Times New Roman"/>
          <w:sz w:val="18"/>
          <w:szCs w:val="18"/>
          <w:b w:val="1"/>
          <w:bCs w:val="1"/>
          <w:color w:val="auto"/>
        </w:rPr>
        <w:t>Permitted Non-Structural Alterations</w:t>
      </w:r>
      <w:r>
        <w:rPr>
          <w:rFonts w:ascii="Times New Roman" w:cs="Times New Roman" w:eastAsia="Times New Roman" w:hAnsi="Times New Roman"/>
          <w:sz w:val="18"/>
          <w:szCs w:val="18"/>
          <w:color w:val="auto"/>
        </w:rPr>
        <w:t>”). Landlord shall cooperate with Tenant as reasonably required to obtain (i) any permits required for alterations or improvements, including by signing building permit applications, and (ii) the consent of Prime Lessor to any alterations or improvements, where applicable, all at no out-of-pocket cost to Landlord.</w:t>
      </w:r>
    </w:p>
    <w:p>
      <w:pPr>
        <w:spacing w:after="0" w:line="132" w:lineRule="exact"/>
        <w:rPr>
          <w:rFonts w:ascii="Times New Roman" w:cs="Times New Roman" w:eastAsia="Times New Roman" w:hAnsi="Times New Roman"/>
          <w:sz w:val="18"/>
          <w:szCs w:val="18"/>
          <w:color w:val="auto"/>
        </w:rPr>
      </w:pPr>
    </w:p>
    <w:p>
      <w:pPr>
        <w:jc w:val="both"/>
        <w:ind w:firstLine="1304"/>
        <w:spacing w:after="0" w:line="231" w:lineRule="auto"/>
        <w:tabs>
          <w:tab w:leader="none" w:pos="1719"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sign may be installed or maintained by Tenant on the exterior of the Leased Premises except with the prior written consent of Landlord, such consent not to be unreasonably withheld, conditioned or delayed, and in accordance with any reasonable rules and regulations therefor adopted from time to time by Landlord.</w:t>
      </w:r>
    </w:p>
    <w:p>
      <w:pPr>
        <w:spacing w:after="0" w:line="117" w:lineRule="exact"/>
        <w:rPr>
          <w:rFonts w:ascii="Times New Roman" w:cs="Times New Roman" w:eastAsia="Times New Roman" w:hAnsi="Times New Roman"/>
          <w:sz w:val="18"/>
          <w:szCs w:val="18"/>
          <w:color w:val="auto"/>
        </w:rPr>
      </w:pPr>
    </w:p>
    <w:p>
      <w:pPr>
        <w:jc w:val="both"/>
        <w:ind w:firstLine="1304"/>
        <w:spacing w:after="0" w:line="231" w:lineRule="auto"/>
        <w:tabs>
          <w:tab w:leader="none" w:pos="1724"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approval which may be given by Landlord to Tenant pursuant to this Lease, if any, shall (i) constitute an approval (or even be deemed to have confirmed Landlord’s review) with respect to compliance with any codes, building laws or other governmental requirements or (ii) relieve Tenant of any of its obligations as set forth in this Lease.</w:t>
      </w:r>
    </w:p>
    <w:p>
      <w:pPr>
        <w:spacing w:after="0" w:line="117" w:lineRule="exact"/>
        <w:rPr>
          <w:rFonts w:ascii="Times New Roman" w:cs="Times New Roman" w:eastAsia="Times New Roman" w:hAnsi="Times New Roman"/>
          <w:sz w:val="18"/>
          <w:szCs w:val="18"/>
          <w:color w:val="auto"/>
        </w:rPr>
      </w:pPr>
    </w:p>
    <w:p>
      <w:pPr>
        <w:jc w:val="both"/>
        <w:ind w:firstLine="1304"/>
        <w:spacing w:after="0" w:line="223" w:lineRule="auto"/>
        <w:tabs>
          <w:tab w:leader="none" w:pos="1699"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employ, or permit the employment of, any contractor, mechanic or laborer, or permit any materials to be delivered to or used in the Project, if, in Landlord’s reasonable judgment, such employment, delivery or use will interfere or cause any conflict with other contractors, mechanics or laborers engaged in the construction, maintenance or operation of the Project by Landlord, Tenant or others. If such interference or conflict occurs, upon Landlord’s request, Tenant shall cause all contractors, mechanics or laborers causing such interference or conflict to leave the Project immediately.</w:t>
      </w:r>
    </w:p>
    <w:p>
      <w:pPr>
        <w:spacing w:after="0" w:line="118" w:lineRule="exact"/>
        <w:rPr>
          <w:rFonts w:ascii="Times New Roman" w:cs="Times New Roman" w:eastAsia="Times New Roman" w:hAnsi="Times New Roman"/>
          <w:sz w:val="18"/>
          <w:szCs w:val="18"/>
          <w:color w:val="auto"/>
        </w:rPr>
      </w:pPr>
    </w:p>
    <w:p>
      <w:pPr>
        <w:jc w:val="both"/>
        <w:ind w:firstLine="1304"/>
        <w:spacing w:after="0" w:line="220" w:lineRule="auto"/>
        <w:tabs>
          <w:tab w:leader="none" w:pos="1721"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submission by the Tenant to the Landlord of the plans for Tenant’s Work, the Landlord shall respond to the Tenant in writing within fourteen (14) days of receipt of such plans with its approval or disapproval (which disapproval shall include comments to Tenant regarding the reasons for such disapproval), but Tenant may submit its building permit application prior to Landlord’s approval of such plans. For all alterations performed by Tenant, including Tenant’s Work, Tenant shall pay to Landlord a construction management fee for Landlord’s oversight of such work in an amount equal to one percent (1%) of the hard costs of such work, which construction management fee shall be paid pro rata as such costs are incurred by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04" w:right="339" w:bottom="1440" w:gutter="0" w:footer="0" w:header="0"/>
        </w:sectPr>
      </w:pPr>
    </w:p>
    <w:bookmarkStart w:id="231" w:name="page232"/>
    <w:bookmarkEnd w:id="231"/>
    <w:p>
      <w:pPr>
        <w:jc w:val="both"/>
        <w:ind w:firstLine="1304"/>
        <w:spacing w:after="0" w:line="231" w:lineRule="auto"/>
        <w:tabs>
          <w:tab w:leader="none" w:pos="172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alterations performed by Landlord on behalf of Tenant, Tenant shall pay to Landlord a construction management fee in an amount equal to three percent (3%) of the hard costs of such work, which construction management fee shall be paid pro rata as such costs are incurred by Tenant.</w:t>
      </w:r>
    </w:p>
    <w:p>
      <w:pPr>
        <w:spacing w:after="0" w:line="117" w:lineRule="exact"/>
        <w:rPr>
          <w:rFonts w:ascii="Times New Roman" w:cs="Times New Roman" w:eastAsia="Times New Roman" w:hAnsi="Times New Roman"/>
          <w:sz w:val="18"/>
          <w:szCs w:val="18"/>
          <w:color w:val="auto"/>
        </w:rPr>
      </w:pPr>
    </w:p>
    <w:p>
      <w:pPr>
        <w:jc w:val="both"/>
        <w:ind w:firstLine="1304"/>
        <w:spacing w:after="0" w:line="223" w:lineRule="auto"/>
        <w:tabs>
          <w:tab w:leader="none" w:pos="174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Section 4.2, if Tenant makes any Alterations that require unusual expense to readapt the Leased Premises to normal use as an office, laboratory and research and development facility (“</w:t>
      </w:r>
      <w:r>
        <w:rPr>
          <w:rFonts w:ascii="Times New Roman" w:cs="Times New Roman" w:eastAsia="Times New Roman" w:hAnsi="Times New Roman"/>
          <w:sz w:val="18"/>
          <w:szCs w:val="18"/>
          <w:b w:val="1"/>
          <w:bCs w:val="1"/>
          <w:color w:val="auto"/>
        </w:rPr>
        <w:t>Specialty Alterations</w:t>
      </w:r>
      <w:r>
        <w:rPr>
          <w:rFonts w:ascii="Times New Roman" w:cs="Times New Roman" w:eastAsia="Times New Roman" w:hAnsi="Times New Roman"/>
          <w:sz w:val="18"/>
          <w:szCs w:val="18"/>
          <w:color w:val="auto"/>
        </w:rPr>
        <w:t>”), then Landlord may elect to require Tenant at the expiration or sooner termination of the Lease Term to remove such Specialty Alterations and repair any damage to the Leased Premises caused by such removal (which election shall be made at the time of Landlord’s approval of such Alterations). Without limiting the foregoing, Alterations associated with the operation of a vivarium in the Premises may, at Landlord’s election, be deemed to be Specialty Alterations.</w:t>
      </w:r>
    </w:p>
    <w:p>
      <w:pPr>
        <w:spacing w:after="0" w:line="118"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4.3</w:t>
      </w:r>
      <w:r>
        <w:rPr>
          <w:sz w:val="20"/>
          <w:szCs w:val="20"/>
          <w:color w:val="auto"/>
        </w:rPr>
        <w:tab/>
      </w:r>
      <w:r>
        <w:rPr>
          <w:rFonts w:ascii="Times New Roman" w:cs="Times New Roman" w:eastAsia="Times New Roman" w:hAnsi="Times New Roman"/>
          <w:sz w:val="18"/>
          <w:szCs w:val="18"/>
          <w:u w:val="single" w:color="auto"/>
          <w:color w:val="auto"/>
        </w:rPr>
        <w:t>Maintenance and Repairs and Cleaning</w:t>
      </w:r>
      <w:r>
        <w:rPr>
          <w:rFonts w:ascii="Times New Roman" w:cs="Times New Roman" w:eastAsia="Times New Roman" w:hAnsi="Times New Roman"/>
          <w:sz w:val="18"/>
          <w:szCs w:val="18"/>
          <w:color w:val="auto"/>
        </w:rPr>
        <w:t>. Subject to reasonable wear and use, having in mind good maintenance practices, damage by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fire or other casualty excepted, Tenant shall maintain the Leased Premises and all Trade Fixtures and other improvements situated therein in first class, clean and safe condition. Tenant shall, prior to employing any person for the purpose of cleaning the Leased Premises, request a bid for the cleaning of the Leased Premises from the company that provides janitorial service for the Common Areas of the Building; provided, however that Tenant shall not be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required to employ such company. Tenant shall be solely responsible for the proper maintenance of all equipment and appliances operated by Tenant, including, without limitation, all refrigerators, coolers, ventilators and hoods, clean areas, and specialty and/or laboratory equipment. Tenant shall maintain (in good working order and repair and in accordance with the applicable manufacturer’s warranty guidelines), repair and replace all systems installed by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on behalf of Tenant or exclusively serving the Leased Premises. In connection with Tenant’s obligations hereunder, Tenant shall enter into and maintain contracts with service and maintenance contractors reasonably approved by Landlord providing for, without limitation, regularly scheduled (monthly or quarterly as reasonably determined by Tenant in consultation with such contractors) preventive maintenance/service contracts with respect to any heating,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ventilation and air conditioning equipment and systems and other Building systems installed by Tenant or exclusively serving the Leased Premises to maintain same in good working order and repair and in accordance with the applicable manufacturer’s warranty guidelines. Tenant shall keep the Leased Premises equipped with all safety appliances required by any Requirements because of any use made of the Leased Premises. Tenant shall make, as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when needed as a result of misuse by, or neglect or improper conduct of, Tenant or Tenant’s servants, employees, agents, contractors, invitees, or licensees or otherwise, all repairs in and about the Leased Premises necessary to preserve them in such repair, order and condition, which repairs shall be in quality and class equal to the original work. Landlord may elect, at the expense of Tenant, to make any such repairs or to repair any damage or injury to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Building or the Leased Premises caused by moving property of Tenant in or out of the Building, or by installation or removal of furniture or other property, or by misuse by, or neglect, or improper conduct of, Tenant or Tenant’s servants, employees, agents, contractors, or licensees. Tenant shall cause all extermination of vermin in the Leased Premises to be performed by companies reasonably approved by Landlord in writing and shall contract and utilize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pest extermination services for the Leased Premises as reasonably necessary.</w:t>
      </w:r>
    </w:p>
    <w:p>
      <w:pPr>
        <w:spacing w:after="0" w:line="124"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4.4</w:t>
      </w:r>
      <w:r>
        <w:rPr>
          <w:sz w:val="20"/>
          <w:szCs w:val="20"/>
          <w:color w:val="auto"/>
        </w:rPr>
        <w:tab/>
      </w:r>
      <w:r>
        <w:rPr>
          <w:rFonts w:ascii="Times New Roman" w:cs="Times New Roman" w:eastAsia="Times New Roman" w:hAnsi="Times New Roman"/>
          <w:sz w:val="18"/>
          <w:szCs w:val="18"/>
          <w:u w:val="single" w:color="auto"/>
          <w:color w:val="auto"/>
        </w:rPr>
        <w:t>Trade Fixtures</w:t>
      </w:r>
      <w:r>
        <w:rPr>
          <w:rFonts w:ascii="Times New Roman" w:cs="Times New Roman" w:eastAsia="Times New Roman" w:hAnsi="Times New Roman"/>
          <w:sz w:val="18"/>
          <w:szCs w:val="18"/>
          <w:color w:val="auto"/>
        </w:rPr>
        <w:t>. Landlord and Tenant agree that all Trade Fixtures in the Leased Premises shall be and remain the property of Tenant</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and, so long as there is no Event of Default hereunder, may be removed by Tenant prior to or upon the expiration of the Lease Term and in any event shall be removed at the request of Landlord. Tenant shall, at its sole cost and expense, repair any damage caused by such removal and restore the Leased Premises to such condition as existed prior to the installation of such Trade Fixtures. Any such repair and restoration shall be performed in accordance with the conditions set forth in Section 4.2(a) hereof. Any Trade Fixtures which are not removed from the Leased Premises shall at Landlord’s election become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property of Landlord or Landlord may remove and dispose of the same, at Tenant’s cost, without necessity of further notice to Tenant. Tenant shall have no (and hereby waives all) rights to payment or compensation for any such item(s).</w:t>
      </w:r>
    </w:p>
    <w:p>
      <w:pPr>
        <w:spacing w:after="0" w:line="130"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Laws and Regulations; Building Rules</w:t>
      </w:r>
      <w:r>
        <w:rPr>
          <w:rFonts w:ascii="Times New Roman" w:cs="Times New Roman" w:eastAsia="Times New Roman" w:hAnsi="Times New Roman"/>
          <w:sz w:val="18"/>
          <w:szCs w:val="18"/>
          <w:color w:val="auto"/>
        </w:rPr>
        <w:t>. Tenant shall comply with all laws, ordinances, rules and regulations of any governmental authority relating to the Leased Premises, including the furnishing, equipping and improving thereof and Tenant’s use therein. Tenant shall, and shall cause its employees, agents, customers and invitees to, comply with the Building Rules.</w:t>
      </w:r>
    </w:p>
    <w:p>
      <w:pPr>
        <w:spacing w:after="0" w:line="13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Landlord’s Access</w:t>
      </w:r>
      <w:r>
        <w:rPr>
          <w:rFonts w:ascii="Times New Roman" w:cs="Times New Roman" w:eastAsia="Times New Roman" w:hAnsi="Times New Roman"/>
          <w:sz w:val="18"/>
          <w:szCs w:val="18"/>
          <w:color w:val="auto"/>
        </w:rPr>
        <w:t>. Landlord and its representatives and contractors shall have the right to enter upon the Leased Premises at any reasonable time, but upon no less than 48-hours prior written notice (except in the event of an emergency, in which case no notice shall be required) for 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reasonable purpose (including, without limitation, the performance of repairs, alterations, modifications, improvements or additions thereto) and at any time for any emergency. Landlord shall make reasonable efforts to enter only during Normal Business Hours and upon advance oral or written notice. Landlord agrees that, to the extent possible, it will not unreasonably interfere with the conduct of Tenant’s business in the exercise of its rights hereunder.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Notwithstanding anything to the contrary in the Lease contained: (i) Landlord, its agents, employees and contractors shall not, except in an emergency and except for normal cleaning and maintenance operations, exercise any right which it has to 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04" w:right="339" w:bottom="1440" w:gutter="0" w:footer="0" w:header="0"/>
        </w:sectPr>
      </w:pPr>
    </w:p>
    <w:bookmarkStart w:id="232" w:name="page233"/>
    <w:bookmarkEnd w:id="232"/>
    <w:p>
      <w:pPr>
        <w:jc w:val="both"/>
        <w:spacing w:after="0" w:line="237" w:lineRule="auto"/>
        <w:rPr>
          <w:sz w:val="20"/>
          <w:szCs w:val="20"/>
          <w:color w:val="auto"/>
        </w:rPr>
      </w:pPr>
      <w:r>
        <w:rPr>
          <w:rFonts w:ascii="Times New Roman" w:cs="Times New Roman" w:eastAsia="Times New Roman" w:hAnsi="Times New Roman"/>
          <w:sz w:val="18"/>
          <w:szCs w:val="18"/>
          <w:color w:val="auto"/>
        </w:rPr>
        <w:t>the Premises without giving Tenant reasonable advance notice; and (ii) in exercising any right which it has to enter the Premises, Landlord shall in no event enter any secure areas, as designated by Tenant in writing to Landlord, without being accompanied by a representative of Tenant.</w:t>
      </w:r>
    </w:p>
    <w:p>
      <w:pPr>
        <w:spacing w:after="0" w:line="13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Tenant’s Access</w:t>
      </w:r>
      <w:r>
        <w:rPr>
          <w:rFonts w:ascii="Times New Roman" w:cs="Times New Roman" w:eastAsia="Times New Roman" w:hAnsi="Times New Roman"/>
          <w:sz w:val="18"/>
          <w:szCs w:val="18"/>
          <w:color w:val="auto"/>
        </w:rPr>
        <w:t>. Subject to terms and conditions of this Lease, emergencies, the Building Rules, and reasonable security requirements as the same may be amended from time to time and of which Tenant has received prior written notice, Tenant shall have access to the Leased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Premises twenty-four (24) hours a day, seven (7) days a week. In addition, Tenant shall have twenty-four (24) hour shared access to the loading dock and freight elevators at the Building at no additional charge to Tenant. Tenant may elect to install an access controlled security system in the Premises; provided, however, any such system shall be compatible with the existing Building security control system and shall be subject to the prior approval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Landlord in all respects. The work to install any such security system shall be considered to be an alteration for all purposes under this Lease and Tenant shall comply with all of the terms and conditions of this Lease. Notwithstanding the foregoing, in no event shall Landlord have any liability or obligation to Tenant arising from any claims for loss, injury or damage to persons or property in connection therewith, excepting only to the extent caused by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negligence or willful misconduct of Landlord.</w:t>
      </w:r>
    </w:p>
    <w:p>
      <w:pPr>
        <w:spacing w:after="0" w:line="124"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4.8</w:t>
      </w:r>
      <w:r>
        <w:rPr>
          <w:sz w:val="20"/>
          <w:szCs w:val="20"/>
          <w:color w:val="auto"/>
        </w:rPr>
        <w:tab/>
      </w:r>
      <w:r>
        <w:rPr>
          <w:rFonts w:ascii="Times New Roman" w:cs="Times New Roman" w:eastAsia="Times New Roman" w:hAnsi="Times New Roman"/>
          <w:sz w:val="17"/>
          <w:szCs w:val="17"/>
          <w:u w:val="single" w:color="auto"/>
          <w:color w:val="auto"/>
        </w:rPr>
        <w:t>Assignment and Subletting by Tenant</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firstLine="1304"/>
        <w:spacing w:after="0" w:line="212" w:lineRule="auto"/>
        <w:tabs>
          <w:tab w:leader="none" w:pos="1685"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Lease, except as expressly set forth herein, Tenant covenants and agrees that it will not assign this Lease or sublet (which term, without limitation, shall include the granting of concessions, licenses, and the like) the whole or any part of the Leased Premises without in each instance having first (i) received the express written consent of Landlord, which consent shall not be unreasonably withheld, delayed or conditioned, and (ii) if such consent is given by Landlord, caused the assignee or transferee to execute and deliver to Landlord an instrument reasonably acceptable to Landlord whereby such assignee or transferee assumes all obligations of Tenant under this Lease. In any case where Landlord shall consent to such assignment or subletting, the tenant named herein shall remain fully liable for the obligations of Tenant hereunder, including, without limitation, the obligation to pay the rent and other amounts provided under this Lease. In connection with any request by Tenant for such consent to assignment or sublet, Tenant shall provide Landlord with all relevant information requested by Landlord concerning the proposed assignee’s or tenant’s financial responsibility, creditworthiness and business experience to enable Landlord to make an informed decision (including, without limitation, a list of Hazardous Materials, certified by the proposed assignee or sublessee to be true and correct, which the proposed assignee or sublessee intends to use, store, handle, treat, generate in or release or dispose of from the Leased Premises, together with copies of all documents relating to such use, storage, handling, treatment, generation, release or disposal of Hazardous Materials by the proposed assignee or subtenant in or about the Leased Premises). Tenant shall reimburse Landlord promptly for all reasonable third party out-of-pocket expenses incurred by Landlord including Landlord’s reasonable third party out of pocket attorneys’ fees in connection with the review of Tenant’s request for approval of any assignment or sublease.</w:t>
      </w:r>
    </w:p>
    <w:p>
      <w:pPr>
        <w:spacing w:after="0" w:line="140" w:lineRule="exact"/>
        <w:rPr>
          <w:rFonts w:ascii="Times New Roman" w:cs="Times New Roman" w:eastAsia="Times New Roman" w:hAnsi="Times New Roman"/>
          <w:sz w:val="18"/>
          <w:szCs w:val="18"/>
          <w:color w:val="auto"/>
        </w:rPr>
      </w:pPr>
    </w:p>
    <w:p>
      <w:pPr>
        <w:jc w:val="both"/>
        <w:ind w:firstLine="1304"/>
        <w:spacing w:after="0" w:line="213" w:lineRule="auto"/>
        <w:tabs>
          <w:tab w:leader="none" w:pos="171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from Tenant of such request and information, Landlord shall have the right, but not the obligation, to be exercised in writing within ten (10) calendar days after its receipt from Tenant of such request and information, (i) if the request is to assign the Lease, to terminate this Lease, or (ii) if the request is to sublet fifty percent (50%) of the Leased Premises for the remainder of the Lease Term, as it may be extended, to release Tenant from its obligations under this Lease with respect to the portion of the Leased Premises subject to the proposed sublet; in either case as of the proposed effective date set forth in Tenant’s proposed transfer notice. In the event of an assignment or a sublet of the Leased Premises where Landlord exercised either of these options, Tenant shall surrender possession of the entire Leased Premises (in the event of an assignment or sublease of all of the Leased Premises) or the portion of the Leased Premises sublet (in the event of a sublet of a portion of the Leased Premises), in accordance with the provisions of this Lease relating to surrender of the Leased Premises at the expiration of the Lease Term. If Landlord shall exercise its option with respect to a sublet of less than the entire Leased Premises, Base Rent payments and Tenant’s Proportionate Share shall be readjusted proportionately according to the ratio of the number of square feet and the portion of the space surrendered compared to the floor area of the portion of the Leased Premises retained by Tenant for the duration of the sublet.</w:t>
      </w:r>
    </w:p>
    <w:p>
      <w:pPr>
        <w:spacing w:after="0" w:line="139" w:lineRule="exact"/>
        <w:rPr>
          <w:rFonts w:ascii="Times New Roman" w:cs="Times New Roman" w:eastAsia="Times New Roman" w:hAnsi="Times New Roman"/>
          <w:sz w:val="18"/>
          <w:szCs w:val="18"/>
          <w:color w:val="auto"/>
        </w:rPr>
      </w:pPr>
    </w:p>
    <w:p>
      <w:pPr>
        <w:jc w:val="both"/>
        <w:ind w:firstLine="1304"/>
        <w:spacing w:after="0" w:line="223" w:lineRule="auto"/>
        <w:tabs>
          <w:tab w:leader="none" w:pos="1689" w:val="left"/>
        </w:tabs>
        <w:numPr>
          <w:ilvl w:val="1"/>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shall not offer to make, or enter into negotiations with respect to an assignment, sublease or transfer to: (i) any entity owned by, or under the common control of, whether directly or indirectly, a tenant in the Building or in any of the following buildings located within the EDIC Park: 21-25 and 27 Drydock Avenue and Innovation Square if Landlord has comparable space to lease to such entities in such buildings; or (ii) any party with whom Landlord has been negotiating with respect to other space in the Building or any other building in the EDIC Park in Boston, Massachusetts owned by Landlord or any affiliates thereof during the prior three (3) months as evidenced by written proposals or letters of intent. Tenant shall not publicly advertise to assign or sublet this Lease for an aggregate consideration of less than 100% of the fixed rent at which Landlord is then offering to lease other space in the Building (the “</w:t>
      </w:r>
      <w:r>
        <w:rPr>
          <w:rFonts w:ascii="Times New Roman" w:cs="Times New Roman" w:eastAsia="Times New Roman" w:hAnsi="Times New Roman"/>
          <w:sz w:val="17"/>
          <w:szCs w:val="17"/>
          <w:b w:val="1"/>
          <w:bCs w:val="1"/>
          <w:color w:val="auto"/>
        </w:rPr>
        <w:t>Market Sub-rent</w:t>
      </w:r>
      <w:r>
        <w:rPr>
          <w:rFonts w:ascii="Times New Roman" w:cs="Times New Roman" w:eastAsia="Times New Roman" w:hAnsi="Times New Roman"/>
          <w:sz w:val="17"/>
          <w:szCs w:val="17"/>
          <w:color w:val="auto"/>
        </w:rPr>
        <w:t>”) determined as though the Leased Premises were vacant and taking into account (1) the length of the term;</w:t>
      </w:r>
    </w:p>
    <w:p>
      <w:pPr>
        <w:spacing w:after="0" w:line="4" w:lineRule="exact"/>
        <w:rPr>
          <w:rFonts w:ascii="Times New Roman" w:cs="Times New Roman" w:eastAsia="Times New Roman" w:hAnsi="Times New Roman"/>
          <w:sz w:val="17"/>
          <w:szCs w:val="17"/>
          <w:color w:val="auto"/>
        </w:rPr>
      </w:pPr>
    </w:p>
    <w:p>
      <w:pPr>
        <w:ind w:firstLine="8"/>
        <w:spacing w:after="0" w:line="226" w:lineRule="auto"/>
        <w:tabs>
          <w:tab w:leader="none" w:pos="27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rent concessions granted, and (3) the cost of any alterations being performed for the transferee (Landlord acknowledging that listing such space with a broker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04" w:right="339" w:bottom="1440" w:gutter="0" w:footer="0" w:header="0"/>
        </w:sectPr>
      </w:pPr>
    </w:p>
    <w:bookmarkStart w:id="233" w:name="page234"/>
    <w:bookmarkEnd w:id="233"/>
    <w:p>
      <w:pPr>
        <w:jc w:val="both"/>
        <w:spacing w:after="0" w:line="222" w:lineRule="auto"/>
        <w:rPr>
          <w:sz w:val="20"/>
          <w:szCs w:val="20"/>
          <w:color w:val="auto"/>
        </w:rPr>
      </w:pPr>
      <w:r>
        <w:rPr>
          <w:rFonts w:ascii="Times New Roman" w:cs="Times New Roman" w:eastAsia="Times New Roman" w:hAnsi="Times New Roman"/>
          <w:sz w:val="18"/>
          <w:szCs w:val="18"/>
          <w:color w:val="auto"/>
        </w:rPr>
        <w:t>real estate marketing service and providing for the quoting of rates upon inquiry is permitted pursuant to the foregoing). In no event shall the Leased Premises be used by any assignee, sublessee, concessionaire, licensee or any other person except for the Permitted Use For the purposes of this Lease,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entering into of any management agreement or any agreement in the nature thereof transferring control of and any substantial percentage of the profits and losses from the business operations of Tenant in the Leased Premises to a person or entity other than Tenant, or otherwise having substantially the same effect, shall be treated for all purposes as an assignment of this Lease and shall be governed by the provisions of this Section.</w:t>
      </w:r>
    </w:p>
    <w:p>
      <w:pPr>
        <w:spacing w:after="0" w:line="131" w:lineRule="exact"/>
        <w:rPr>
          <w:sz w:val="20"/>
          <w:szCs w:val="20"/>
          <w:color w:val="auto"/>
        </w:rPr>
      </w:pPr>
    </w:p>
    <w:p>
      <w:pPr>
        <w:jc w:val="both"/>
        <w:ind w:firstLine="1304"/>
        <w:spacing w:after="0" w:line="220" w:lineRule="auto"/>
        <w:tabs>
          <w:tab w:leader="none" w:pos="177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is a legal entity, the transfer (by one or more transfers), directly or indirectly, by operation of law or otherwise, of a majority of the stock or other beneficial ownership interest in Tenant or of all or substantially all of the assets of Tenant (collectively “</w:t>
      </w:r>
      <w:r>
        <w:rPr>
          <w:rFonts w:ascii="Times New Roman" w:cs="Times New Roman" w:eastAsia="Times New Roman" w:hAnsi="Times New Roman"/>
          <w:sz w:val="18"/>
          <w:szCs w:val="18"/>
          <w:b w:val="1"/>
          <w:bCs w:val="1"/>
          <w:color w:val="auto"/>
        </w:rPr>
        <w:t>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Interests</w:t>
      </w:r>
      <w:r>
        <w:rPr>
          <w:rFonts w:ascii="Times New Roman" w:cs="Times New Roman" w:eastAsia="Times New Roman" w:hAnsi="Times New Roman"/>
          <w:sz w:val="18"/>
          <w:szCs w:val="18"/>
          <w:color w:val="auto"/>
        </w:rPr>
        <w:t>”) shall be deemed a voluntary assignment of this Lease; provided, however, that the provisions of this Section 4.8 shall not apply to the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Ownership Interests in Tenant (i) if and so long as Tenant is publicly traded on a nationally recognized stock exchange, or (ii) between and among the principals or members of Tenant, incident to the admittance of principals or members into, or the exiting of principals or members from, the entity comprising Tenant in the ordinary course of the operations of Tenant.</w:t>
      </w:r>
    </w:p>
    <w:p>
      <w:pPr>
        <w:spacing w:after="0" w:line="117" w:lineRule="exact"/>
        <w:rPr>
          <w:rFonts w:ascii="Times New Roman" w:cs="Times New Roman" w:eastAsia="Times New Roman" w:hAnsi="Times New Roman"/>
          <w:sz w:val="18"/>
          <w:szCs w:val="18"/>
          <w:color w:val="auto"/>
        </w:rPr>
      </w:pPr>
    </w:p>
    <w:p>
      <w:pPr>
        <w:jc w:val="both"/>
        <w:ind w:firstLine="1304"/>
        <w:spacing w:after="0" w:line="213" w:lineRule="auto"/>
        <w:tabs>
          <w:tab w:leader="none" w:pos="174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Section 4.8, the prior consent of Landlord shall not be required with respect to an assignment of this Lease to a Permitted Transferee (as defined in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or a sublease of all or part of the Leased Premises to any Related Entity (as defined in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for the Permitted Uses so long as (i) such transfer was made for a legitimate independent business purpose and not primarily for the purpose of transferring this Lease to avoid Landlord’s consent requirements; (ii) the assignee or subtenant agrees directly with Landlord, by written instrument in form reasonably satisfactory to Landlord, to be bound by all the obligations of Tenant hereunder including, without limitation, the covenant against further assignment and subletting except in accordance with the provisions of this Section 4.8, (iii) in no event shall Tenant be released from its obligations under this Lease, and (iv), as it relates to a transfer to a Permitted Transferee, the involvement by Tenant or its assets in any transaction, or series of transactions (by way of merger, sale, acquisition, financing, refinancing, transfer, leveraged buy-out or otherwise) whether or not a formal assignment or hypothecation of this Lease or Tenant’s assets occurs, will not result in a reduction of the “Net Worth” of Tenant as hereinafter defined, by an amount equal to such Net Worth of Tenant as it is represented to Landlord at the time of the execution by Landlord of this Lease. “Net Worth” of Tenant for purposes of this Section shall be the tangible net worth of Tenant (excluding any guarantors) established under generally accepted accounting principles consistently applied. In the event of a sublease permitted pursuant to this Section 4.8(e), such sublease shall not be deemed to vest in any such Related Entity any right or interest in this Lease nor shall it relieve, release, impair or discharge any of Tenant’s obligations hereunder. Tenant shall provide Landlord with notice of any assignment or sublease pursuant to this Section 4.8(e) within ten (10) days following the effective date of any such transaction.</w:t>
      </w:r>
    </w:p>
    <w:p>
      <w:pPr>
        <w:spacing w:after="0" w:line="128" w:lineRule="exact"/>
        <w:rPr>
          <w:rFonts w:ascii="Times New Roman" w:cs="Times New Roman" w:eastAsia="Times New Roman" w:hAnsi="Times New Roman"/>
          <w:sz w:val="18"/>
          <w:szCs w:val="18"/>
          <w:color w:val="auto"/>
        </w:rPr>
      </w:pPr>
    </w:p>
    <w:p>
      <w:pPr>
        <w:jc w:val="both"/>
        <w:ind w:firstLine="1304"/>
        <w:spacing w:after="0" w:line="216" w:lineRule="auto"/>
        <w:tabs>
          <w:tab w:leader="none" w:pos="171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Tenant assigns this Lease, or sublets the whole or any part of the Leased Premises, in either case in violation of the terms and provisions of this Section 4.8, in addition to and without limiting any of Landlord’s rights and remedies on account of the resulting default hereunder by Tenant, Landlord shall have the right to terminate this Lease by giving Tenant notice of Landlord’s desire so to do, in which event this Lease shall terminate on the date specified by Landlord in such notice as if such date were the date specified herein for the expiration hereof. In the event of any assignment or subletting Tenant shall pay Landlord fifty percent (50%) of all rent and other consideration which Tenant receives as a result thereof that is in excess of the rent payable to Landlord for the portion of the Leased Premises and Term covered by the assignment or sublease. Tenant shall pay Landlord for Landlord’s share of such excess within thirty (30) days after Tenant’s receipt of such excess, after first deducting all reasonable and customary expenses directly incurred by Tenant attributable to the assignment or sublease, which shall include leasehold improvements, architectural and engineering expenses, brokerage fees and reasonable legal fees.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any other provisions of this Lease, neither Tenant nor any direct or indirect assignee or subtenant of Tenant may enter into any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lease, sublease, license, concession or other agreement for use, occupancy or utilization of space in the Leased Premises which would require the payment of rent based on the net profits of any person or of any consideration that would not fall within the definition of “rents from real property”, as that term is defined in Section 856(d) of the Internal Revenue Code of 1986, as amended.</w:t>
      </w:r>
    </w:p>
    <w:p>
      <w:pPr>
        <w:spacing w:after="0" w:line="13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Light, Air and View</w:t>
      </w:r>
      <w:r>
        <w:rPr>
          <w:rFonts w:ascii="Times New Roman" w:cs="Times New Roman" w:eastAsia="Times New Roman" w:hAnsi="Times New Roman"/>
          <w:sz w:val="18"/>
          <w:szCs w:val="18"/>
          <w:color w:val="auto"/>
        </w:rPr>
        <w:t>. Neither the diminution nor the shutting off of any light, air or view nor any other effect on the Leased Premises by any structure or condition now or hereafter existing on property adjacent to the Building shall affect this Lease, abate rent or otherwise impose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on Landlord.</w:t>
      </w:r>
    </w:p>
    <w:p>
      <w:pPr>
        <w:spacing w:after="0" w:line="124"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4.10</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Tenant shall pay all ad valorem and similar taxes or assessments levied upon or applicable to any of Tenant’s Trade Fixtures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or any other equipment, fixtures, furniture and other property situated in the Leased Premises and all license and other fees or charges imposed on the business conducted by Tenant on the Leased Premises. Upon request by Landlord, Tenant will furnish Landlord annually with official tax receipts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04" w:right="339" w:bottom="1440" w:gutter="0" w:footer="0" w:header="0"/>
        </w:sectPr>
      </w:pPr>
    </w:p>
    <w:bookmarkStart w:id="234" w:name="page235"/>
    <w:bookmarkEnd w:id="234"/>
    <w:p>
      <w:pPr>
        <w:jc w:val="both"/>
        <w:spacing w:after="0" w:line="237" w:lineRule="auto"/>
        <w:rPr>
          <w:sz w:val="20"/>
          <w:szCs w:val="20"/>
          <w:color w:val="auto"/>
        </w:rPr>
      </w:pPr>
      <w:r>
        <w:rPr>
          <w:rFonts w:ascii="Times New Roman" w:cs="Times New Roman" w:eastAsia="Times New Roman" w:hAnsi="Times New Roman"/>
          <w:sz w:val="18"/>
          <w:szCs w:val="18"/>
          <w:color w:val="auto"/>
        </w:rPr>
        <w:t>other official receipts showing payment of such taxes, assessments, fees and charges. If Landlord shall be required to pay a higher ad valorem tax as a result of Tenant’s leasehold improvements, then Tenant shall pay to Landlord, upon demand, the amount of such increase in ad valorem taxes.</w:t>
      </w:r>
    </w:p>
    <w:p>
      <w:pPr>
        <w:spacing w:after="0" w:line="13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Tenant shall not place or permit to be placed any lien, affidavit, charge or other encumbrance or order upon the Building or the Leased Premises or any part thereof or any interest therein. In the event that any such lien, affidavit, charge, encumbrance or order upon the Building or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Leased Premises or any part thereof or any interest therein attaches, regardless of the validity or enforceability thereof, Tenant shall, within fifteen (15) Business Days, cause the same to be discharged of record by payment, bonding or otherwise.</w:t>
      </w:r>
    </w:p>
    <w:p>
      <w:pPr>
        <w:spacing w:after="0" w:line="130"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Subordination to Mortgages and Leases</w:t>
      </w:r>
      <w:r>
        <w:rPr>
          <w:rFonts w:ascii="Times New Roman" w:cs="Times New Roman" w:eastAsia="Times New Roman" w:hAnsi="Times New Roman"/>
          <w:sz w:val="18"/>
          <w:szCs w:val="18"/>
          <w:color w:val="auto"/>
        </w:rPr>
        <w:t>. This Lease shall be subject and subordinated at all times to (a) all underlying leases now existing or which may hereinafter be executed affecting the Building, including but not limited to the Prime Lease, (b) the lien or liens of all mortgages and deeds of trust in any amount or amounts whatsoever now or hereafter placed on the Building or Landlord’s interest or estate therein or on or against such</w:t>
      </w:r>
    </w:p>
    <w:p>
      <w:pPr>
        <w:spacing w:after="0" w:line="1"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8"/>
          <w:szCs w:val="18"/>
          <w:color w:val="auto"/>
        </w:rPr>
        <w:t>underlying leases and (c) all renewals, modifications, consolidations, replacements and extensions thereof. The subordinations set forth herein shall be self-operative and effective without the necessity of execution of any further instruments by any party; provided, however, that with respect to liens set forth in</w:t>
      </w:r>
    </w:p>
    <w:p>
      <w:pPr>
        <w:spacing w:after="0" w:line="1" w:lineRule="exact"/>
        <w:rPr>
          <w:sz w:val="20"/>
          <w:szCs w:val="20"/>
          <w:color w:val="auto"/>
        </w:rPr>
      </w:pPr>
    </w:p>
    <w:p>
      <w:pPr>
        <w:jc w:val="both"/>
        <w:ind w:firstLine="8"/>
        <w:spacing w:after="0" w:line="214" w:lineRule="auto"/>
        <w:tabs>
          <w:tab w:leader="none" w:pos="24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above, the subordination of this Lease shall be conditioned upon Tenant’s receipt of an agreement from the holder of such lease, lien or renewal thereof, in form and content reasonably acceptable to Tenant, stating that so long as Tenant is not in default under any of the terms, covenants, conditions, or agreements of this Lease beyond applicable notice and cure periods, this Lease and all of the terms, provisions, and conditions of this Lease, shall remain in full force and effect, and neither this Lease, nor Tenant’s rights nor Tenant’s possession of the Leased Premises will be disturbed during the Term of this Lease or any extension thereof (the “</w:t>
      </w:r>
      <w:r>
        <w:rPr>
          <w:rFonts w:ascii="Times New Roman" w:cs="Times New Roman" w:eastAsia="Times New Roman" w:hAnsi="Times New Roman"/>
          <w:sz w:val="18"/>
          <w:szCs w:val="18"/>
          <w:b w:val="1"/>
          <w:bCs w:val="1"/>
          <w:color w:val="auto"/>
        </w:rPr>
        <w:t>SNDA</w:t>
      </w:r>
      <w:r>
        <w:rPr>
          <w:rFonts w:ascii="Times New Roman" w:cs="Times New Roman" w:eastAsia="Times New Roman" w:hAnsi="Times New Roman"/>
          <w:sz w:val="18"/>
          <w:szCs w:val="18"/>
          <w:color w:val="auto"/>
        </w:rPr>
        <w:t>”). Provided the foregoing conditions have been met, Tenant shall execute and deliver within twenty (20) days of request therefore any instruments, releases or other documents requested by any lessor or mortgagee for the purpose of confirming the provisions hereof or further subjecting and subordinating this Lease to such underlying leases, mortgages or deeds of trust.</w:t>
      </w:r>
    </w:p>
    <w:p>
      <w:pPr>
        <w:spacing w:after="0" w:line="13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At any time and from time to time during the Lease Term, upon fifteen (15) Business Days after written request by Landlord, Tenant will execute, acknowledge and deliver to Landlord and any other persons specified by Landlord a certificate certifying (i) that this Lease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is in full force and effect, (ii) the date and nature of each modification to this Lease, (iii), the date to which rental and other sums payable under this Lease have been paid, (iv) that Tenant is not, to Tenant’s knowledge, aware of any default under this Lease which has not been cured, except such defaults as may be specified in said certificate, and (v) such other matters as may be reasonably requested by Landlord. Any such certificate may be relied upon 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Landlord and by any other person to whom it is delivered for such purpose.</w:t>
      </w:r>
    </w:p>
    <w:p>
      <w:pPr>
        <w:spacing w:after="0" w:line="124"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Limitation on Weight</w:t>
      </w:r>
      <w:r>
        <w:rPr>
          <w:rFonts w:ascii="Times New Roman" w:cs="Times New Roman" w:eastAsia="Times New Roman" w:hAnsi="Times New Roman"/>
          <w:sz w:val="18"/>
          <w:szCs w:val="18"/>
          <w:color w:val="auto"/>
        </w:rPr>
        <w:t>. Tenant shall not permit upon the floor of the Leased Premises any weight exceeding three hundred (300) pounds per square foot of floor area covered.</w:t>
      </w:r>
    </w:p>
    <w:p>
      <w:pPr>
        <w:spacing w:after="0" w:line="10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4.15</w:t>
      </w:r>
      <w:r>
        <w:rPr>
          <w:sz w:val="20"/>
          <w:szCs w:val="20"/>
          <w:color w:val="auto"/>
        </w:rPr>
        <w:tab/>
      </w:r>
      <w:r>
        <w:rPr>
          <w:rFonts w:ascii="Times New Roman" w:cs="Times New Roman" w:eastAsia="Times New Roman" w:hAnsi="Times New Roman"/>
          <w:sz w:val="18"/>
          <w:szCs w:val="18"/>
          <w:u w:val="single" w:color="auto"/>
          <w:color w:val="auto"/>
        </w:rPr>
        <w:t>Access to Books and Records</w:t>
      </w:r>
      <w:r>
        <w:rPr>
          <w:rFonts w:ascii="Times New Roman" w:cs="Times New Roman" w:eastAsia="Times New Roman" w:hAnsi="Times New Roman"/>
          <w:sz w:val="18"/>
          <w:szCs w:val="18"/>
          <w:color w:val="auto"/>
        </w:rPr>
        <w:t>. Tenant will permit Landlord and its duly authorized agents to examine, and shall make available for</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 xml:space="preserve">audit, copy and inspection, at any reasonable time, by Landlord and its duly authorized agents, Tenant’s books, contracts and records relating to its employment practices with respect to compliance with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attached hereto. Tenant agrees that if, as a result of any audit, copy or inspection of such books, contracts, records or other papers, Landlord becomes aware of any default by Tenant hereunder, Tenant shall pay all costs and expenses incurred by Landlord in connection with such audit, copy or inspection. Landlord shall not disclose such information to third parties except as may be required by the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Prime Lease with respect to employment practices, or by law or legal process or order of any governmental authority or agency, or except to Landlord’s lenders and prospective purchasers. Upon request by Landlord, Tenant will furnish to Landlord a copy of Tenant’s and each guarantor’s most recent year-end financial statement, including a profit and loss statement from operations, balance sheet, income statement and sales reports which request shall be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made no more often than once in any calendar year unless Tenant is in default hereunder. All such financial information provided by Tenant shall be treated by Landlord as confidential and shall not be disclosed by Landlord to any third party, other than to lenders, investors and legal and financial advisors on the same condition of confidentiality.</w:t>
      </w:r>
    </w:p>
    <w:p>
      <w:pPr>
        <w:spacing w:after="0" w:line="13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Restorative Work; Renovations</w:t>
      </w:r>
      <w:r>
        <w:rPr>
          <w:rFonts w:ascii="Times New Roman" w:cs="Times New Roman" w:eastAsia="Times New Roman" w:hAnsi="Times New Roman"/>
          <w:sz w:val="18"/>
          <w:szCs w:val="18"/>
          <w:color w:val="auto"/>
        </w:rPr>
        <w:t>. Landlord reserves the right to make all changes, alterations, additions, improvements, repairs or replacements to the Project, including changing the arrangement or location of entrances or passageways, doors and doorways, corridors, elevators, stairs,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toilets or other Common Areas (collectively, “</w:t>
      </w:r>
      <w:r>
        <w:rPr>
          <w:rFonts w:ascii="Times New Roman" w:cs="Times New Roman" w:eastAsia="Times New Roman" w:hAnsi="Times New Roman"/>
          <w:sz w:val="18"/>
          <w:szCs w:val="18"/>
          <w:b w:val="1"/>
          <w:bCs w:val="1"/>
          <w:color w:val="auto"/>
        </w:rPr>
        <w:t>Restorative Work</w:t>
      </w:r>
      <w:r>
        <w:rPr>
          <w:rFonts w:ascii="Times New Roman" w:cs="Times New Roman" w:eastAsia="Times New Roman" w:hAnsi="Times New Roman"/>
          <w:sz w:val="18"/>
          <w:szCs w:val="18"/>
          <w:color w:val="auto"/>
        </w:rPr>
        <w:t>”), as Landlord deems necessary or desirable, provided that (a) the level of any Landlord Service shall not decrease in any material respect from the level required of Landlord in this Lease as a result thereof (other than temporary changes in the level of such services during the performance of any such Restorative Work), and (b) Tenant is not deprived of access to the Leased Premises. There shall</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be no rent abatement or allowance to Tenant for a diminution of rental value, no actual or constructive eviction of Tenant, in whole or in part, no relief from any of Tenant’s other obligations under this Lease, and no liability on the part of Landlord by reason of inconvenience, annoyance or injury to business arising from Landlord, Tenant or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04" w:right="339" w:bottom="1440" w:gutter="0" w:footer="0" w:header="0"/>
        </w:sectPr>
      </w:pPr>
    </w:p>
    <w:bookmarkStart w:id="235" w:name="page236"/>
    <w:bookmarkEnd w:id="235"/>
    <w:p>
      <w:pPr>
        <w:jc w:val="both"/>
        <w:spacing w:after="0" w:line="222" w:lineRule="auto"/>
        <w:rPr>
          <w:sz w:val="20"/>
          <w:szCs w:val="20"/>
          <w:color w:val="auto"/>
        </w:rPr>
      </w:pPr>
      <w:r>
        <w:rPr>
          <w:rFonts w:ascii="Times New Roman" w:cs="Times New Roman" w:eastAsia="Times New Roman" w:hAnsi="Times New Roman"/>
          <w:sz w:val="18"/>
          <w:szCs w:val="18"/>
          <w:color w:val="auto"/>
        </w:rPr>
        <w:t>performing, or failing to perform, any Restorative Work. Notwithstanding anything to the contrary contained herein, Landlord shall make a commercially reasonable effort not to unreasonably interfere with Tenant’s use of the Premises for the Permitted Use in its exercise of the rights set forth in this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4.16.</w:t>
      </w:r>
    </w:p>
    <w:p>
      <w:pPr>
        <w:spacing w:after="0" w:line="124"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color w:val="auto"/>
        </w:rPr>
        <w:t>Section 4.17</w:t>
      </w:r>
      <w:r>
        <w:rPr>
          <w:sz w:val="20"/>
          <w:szCs w:val="20"/>
          <w:color w:val="auto"/>
        </w:rPr>
        <w:tab/>
      </w:r>
      <w:r>
        <w:rPr>
          <w:rFonts w:ascii="Times New Roman" w:cs="Times New Roman" w:eastAsia="Times New Roman" w:hAnsi="Times New Roman"/>
          <w:sz w:val="18"/>
          <w:szCs w:val="18"/>
          <w:u w:val="single" w:color="auto"/>
          <w:color w:val="auto"/>
        </w:rPr>
        <w:t>Boston Marine Industrial Park</w:t>
      </w:r>
      <w:r>
        <w:rPr>
          <w:rFonts w:ascii="Times New Roman" w:cs="Times New Roman" w:eastAsia="Times New Roman" w:hAnsi="Times New Roman"/>
          <w:sz w:val="18"/>
          <w:szCs w:val="18"/>
          <w:color w:val="auto"/>
        </w:rPr>
        <w:t>. Tenant hereby acknowledges that: (1) the Leased Premises are located in a working industrial port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within the South Boston Designated Port Area and the Boston Marine Industrial Park and adjacent to the Massport Black Falcon Cruise Terminal, all of which are served by designated truck routes, potential rail routes, waterborne trade routes, and flight paths into Logan International Airport, and all of which are essential priorities in serving the public interest and the working port area; (2) such Leased Premises are in close proximity to active general</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industrial, marine industrial, and cruiseport operations that may occur on an episodic, 24-hour per day, 365-days per year basis and are of vital importance to the economy of the area and the region; and (3) such routes, infrastructure, and working industrial port activities may from time-to-time lawfully generate noise, dust, odor, truck traffic, and other conditions not ordinarily found in traditional office and retail districts.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62"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Condemnation</w:t>
      </w:r>
      <w:r>
        <w:rPr>
          <w:rFonts w:ascii="Times New Roman" w:cs="Times New Roman" w:eastAsia="Times New Roman" w:hAnsi="Times New Roman"/>
          <w:sz w:val="18"/>
          <w:szCs w:val="18"/>
          <w:color w:val="auto"/>
        </w:rPr>
        <w:t>. If the Leased Premises shall be taken or condemned (or conveyed in lieu of any such taking or condemnation) for any public purpose or access thereto shall be so taken to such an extent as to render the Leased Premises untenantable, this Lease, at the option of either Landlord or Tenant, shall terminate effective as of the date upon which possession of the Leased Premises is taken by such authority, and all rent accrued to</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time of such termination shall be paid by Tenant to Landlord. In the event of any such taking or condemnation (or conveyance in lieu thereof) of twenty-five percent (25%) or more of the square footage of the Building, Landlord may elect to terminate this Lease effective as of the date upon which possession to such portion of the Building is taken, and all rent accrued to the time of such termination shall be paid by Tenant to Landlord. All proceeds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any taking, condemnation or conveyance in lieu thereof of the Leased Premises, the Building or any part thereof shall belong to and be paid to Landlord; provided, however, Tenant shall be entitled to claim, prove and receive in a condemnation proceeding such awards as may be allowed for damages to or the taking of fixtures, equipment and other personal property installed by it which it is herein permitted to remove from the Leased Premises at the end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Term, but only such awards as shall be separately awarded in addition to (and not out of or in diminishment of) the award made to Landlord.</w:t>
      </w:r>
    </w:p>
    <w:p>
      <w:pPr>
        <w:spacing w:after="0" w:line="124"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5.2</w:t>
      </w:r>
      <w:r>
        <w:rPr>
          <w:sz w:val="20"/>
          <w:szCs w:val="20"/>
          <w:color w:val="auto"/>
        </w:rPr>
        <w:tab/>
      </w:r>
      <w:r>
        <w:rPr>
          <w:rFonts w:ascii="Times New Roman" w:cs="Times New Roman" w:eastAsia="Times New Roman" w:hAnsi="Times New Roman"/>
          <w:sz w:val="18"/>
          <w:szCs w:val="18"/>
          <w:u w:val="single" w:color="auto"/>
          <w:color w:val="auto"/>
        </w:rPr>
        <w:t>Casualty Damage</w:t>
      </w:r>
      <w:r>
        <w:rPr>
          <w:rFonts w:ascii="Times New Roman" w:cs="Times New Roman" w:eastAsia="Times New Roman" w:hAnsi="Times New Roman"/>
          <w:sz w:val="18"/>
          <w:szCs w:val="18"/>
          <w:color w:val="auto"/>
        </w:rPr>
        <w:t>. If the Leased Premises shall be destroyed or damaged by fire or any other casualty, Tenant shall immediately give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notice thereof to Landlord. If the Leased Premises shall be damaged by fire or other insured casualty, so as to render the Leased Premises or access thereto untenantable in whole or in part and to such an extent that Landlord determines that such damage can be repaired with the application of reasonable diligence within two hundred forty (240) days, Tenant shall each be entitled to terminate this Lease whereupon all rent accrued up to the time of such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casualty shall be paid by Tenant to Landlord. If the Leased Premises or access thereto, shall be destroyed or damaged by fire or any other casualty, and if the Leased Premises are rendered untenantable in whole or in part by reason of such casualty, then Tenant shall be entitled to a fair diminution of the rent hereunder from the time of such casualty until such time as the Leased Premises are made tenantable as reasonably determined by Landlord. In addition to</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the foregoing, if for any cause the Leased Premises or Building shall be so damaged that Landlord shall in its sole judgment decide not to rebuild, then by notice in writing to Tenant, this Lease shall forthwith terminate and all rent owed up to the time of such casualty as set forth in such notice shall be paid by Tenant to Landlord. In no event shall Landlord have any obligation to repair or restore any of Tenant’s goods, Trade Fixtures, furniture or other property placed in or incorporated in the Leased Premises which is destroyed or damaged by fire or any other casualty.</w:t>
      </w:r>
    </w:p>
    <w:p>
      <w:pPr>
        <w:spacing w:after="0" w:line="133"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5.3</w:t>
      </w:r>
      <w:r>
        <w:rPr>
          <w:sz w:val="20"/>
          <w:szCs w:val="20"/>
          <w:color w:val="auto"/>
        </w:rPr>
        <w:tab/>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firstLine="1304"/>
        <w:spacing w:after="0" w:line="224" w:lineRule="auto"/>
        <w:tabs>
          <w:tab w:leader="none" w:pos="169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agrees to maintain in full force and effect throughout the Lease Term the insurance required by the Prime Lessor and any mortgagee holding a first mortgage on the Project or, in absence of any such mortgagee, as would be required by an institutional mortgagee holding a first mortgage on the Project. Landlord shall not be obligated to insure any of Tenant’s goods, Trade Fixtures, furniture or any other property placed in or incorporated in the Leased Premises.</w:t>
      </w:r>
    </w:p>
    <w:p>
      <w:pPr>
        <w:spacing w:after="0" w:line="118" w:lineRule="exact"/>
        <w:rPr>
          <w:rFonts w:ascii="Times New Roman" w:cs="Times New Roman" w:eastAsia="Times New Roman" w:hAnsi="Times New Roman"/>
          <w:sz w:val="18"/>
          <w:szCs w:val="18"/>
          <w:color w:val="auto"/>
        </w:rPr>
      </w:pPr>
    </w:p>
    <w:p>
      <w:pPr>
        <w:jc w:val="both"/>
        <w:ind w:firstLine="1304"/>
        <w:spacing w:after="0" w:line="220" w:lineRule="auto"/>
        <w:tabs>
          <w:tab w:leader="none" w:pos="170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at its sole cost and expense, procure, and maintain during the Lease Term (a) Commercial General Liability Insurance applicable to the Leased Premises and its appurtenances to provide contractual liability, personal injury liability, and property damage coverages, with limits of not less than One Million Dollars ($1,000,000) per occurrence and Two Million Dollars ($2,000,000) general aggregate; (b) Property Insurance written on a Special Perils form, with coverage for broad form water damage including earthquake, sprinkler leakage, at 100% replacement cost value covering all of Tenant’s business and Trade Fixtures, equipment, movable partitions, furniture, merchandise and other personal property within the Leased Premises and any Leasehold Improvements performed by or for the benefit of Tenant; whether paid by Tenant or Landlord;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04" w:right="339" w:bottom="1440" w:gutter="0" w:footer="0" w:header="0"/>
        </w:sectPr>
      </w:pPr>
    </w:p>
    <w:bookmarkStart w:id="236" w:name="page237"/>
    <w:bookmarkEnd w:id="236"/>
    <w:p>
      <w:pPr>
        <w:jc w:val="both"/>
        <w:spacing w:after="0" w:line="222" w:lineRule="auto"/>
        <w:rPr>
          <w:sz w:val="20"/>
          <w:szCs w:val="20"/>
          <w:color w:val="auto"/>
        </w:rPr>
      </w:pPr>
      <w:r>
        <w:rPr>
          <w:rFonts w:ascii="Times New Roman" w:cs="Times New Roman" w:eastAsia="Times New Roman" w:hAnsi="Times New Roman"/>
          <w:sz w:val="18"/>
          <w:szCs w:val="18"/>
          <w:color w:val="auto"/>
        </w:rPr>
        <w:t>Business Interruption Insurance for a period of twelve (12) months; (d) If alcohol or other distilled beverages are provided, or otherwise available in the Leased Premises, Tenant shall carry host liquor liability coverage in amounts reasonably required by Landlord; (e) Workers’ Compensation Insurance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amounts required by Law; and (f) Employers Liability Coverage of at least $1,000,000 (One Million Dollars) bodily injury for each accident, $1,000,000 (One Million Dollars) bodily injury by disease for each employee, and $1,000,000 (One Million Dollars) bodily injury disease aggregate; (g) Automobile Liability Insurance with a minimum combined single limit of liability of at least One Million Dollars ($1,000,000) including coverage for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owned, non-owned and hired vehicles; and (h) Umbrella Insurance excess of all liability insurance listed above, except for workers compensation, with limits of not less than Five Million Dollars ($5,000,000) annual aggregate. In addition to the foregoing, Tenant shall procure and maintain during the Lease Term and for no fewer than three (3) years thereafter, a stand-alone (covering pollution conditions on, at, under or migrating from the Project) pollution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legal liability insurance policy covering Tenant’s operations for claims relating to clean-up, bodily injury, and property damage, with limits of not less than Two Million Dollars ($2,000,000) per occurrence and in the aggregate with a deductible of not more than Twenty Five Thousand ($25,000), with respect to environmental contamination and pollution caused by Tenant. Such coverage shall have no exclusions for medical, special or biohazardous waste, mold,</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microbial matter, bacteria, viruses, or fungi particles expected to be handled and/or generated by Tenant in the course of Tenant’s operations and occupancy. Such policy shall include (i) full terrorism coverage, (ii) coverage for any above-ground storage tanks, where applicable, and (iii) coverage for radioactive materials if such materials are part of Tenant’s operations; and (iv) that this Lease and the indemnification requirements herein are included and scheduled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as an insured contract on the pollution legal liability policy. Tenant’s Insurance shall be issued by a company that is licensed to do business in the Commonwealth of Massachusetts and have an A.M. Best rating of not less than A-VIII. All such policies of insurance shall name Landlord and parties designated in writing by Landlord as additional insureds with respect to the liability insurance coverage, and as loss payees, as their interests may appear,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with respect to the property insurance and shall be primary and non-contributory with respect to any policies carried by Landlord or any additional insureds.</w:t>
      </w:r>
    </w:p>
    <w:p>
      <w:pPr>
        <w:spacing w:after="0" w:line="130" w:lineRule="exact"/>
        <w:rPr>
          <w:sz w:val="20"/>
          <w:szCs w:val="20"/>
          <w:color w:val="auto"/>
        </w:rPr>
      </w:pPr>
    </w:p>
    <w:p>
      <w:pPr>
        <w:jc w:val="both"/>
        <w:ind w:firstLine="1304"/>
        <w:spacing w:after="0" w:line="224" w:lineRule="auto"/>
        <w:tabs>
          <w:tab w:leader="none" w:pos="167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policies of insurance required to be maintained by Tenant shall provide that the Landlord shall be given at least thirty (30) days’ prior written notice of any cancellation or non-renewal of any such policy. A duly executed certificate of insurance with respect to each such policy will be deposited with Landlord by Tenant on or before the Commencement Date, and a duly executed certificate of insurance with respect to each subsequent policy shall be deposited with the Landlord at least fifteen (15) days prior to the expiration of the preceding such policy.</w:t>
      </w:r>
    </w:p>
    <w:p>
      <w:pPr>
        <w:spacing w:after="0" w:line="118" w:lineRule="exact"/>
        <w:rPr>
          <w:rFonts w:ascii="Times New Roman" w:cs="Times New Roman" w:eastAsia="Times New Roman" w:hAnsi="Times New Roman"/>
          <w:sz w:val="18"/>
          <w:szCs w:val="18"/>
          <w:color w:val="auto"/>
        </w:rPr>
      </w:pPr>
    </w:p>
    <w:p>
      <w:pPr>
        <w:jc w:val="both"/>
        <w:ind w:firstLine="1304"/>
        <w:spacing w:after="0" w:line="217" w:lineRule="auto"/>
        <w:tabs>
          <w:tab w:leader="none" w:pos="17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do or permit anything to be done in or about the Leased Premises nor bring nor keep nor permit anything to be brought to or kept therein, which will in any way increase the existing rate of or affect any fire or other insurance which Landlord carries upon any part of the Building or any of its contents, or cause the cancellation or invalidation of any such insurance. If the annual premium to be paid by Landlord with respect to any insurance obtained by Landlord covering any part of the Building or any of its contents shall exceed the standard rates because Tenant’s operations, contents of the Leased Premises or improvements with respect to the Leased Premises result in extra hazardous exposure, Tenant shall pay the excess amount of the premium within thirty (30) days after demand by Landlord. Notwithstanding anything to the contrary contained herein, in no event shall Tenant’s use of the Leased Premises for the Permitted Use as contemplated herein, constitute in itself a violation of this Section 5.3(d).</w:t>
      </w:r>
    </w:p>
    <w:p>
      <w:pPr>
        <w:spacing w:after="0" w:line="134" w:lineRule="exact"/>
        <w:rPr>
          <w:rFonts w:ascii="Times New Roman" w:cs="Times New Roman" w:eastAsia="Times New Roman" w:hAnsi="Times New Roman"/>
          <w:sz w:val="18"/>
          <w:szCs w:val="18"/>
          <w:color w:val="auto"/>
        </w:rPr>
      </w:pPr>
    </w:p>
    <w:p>
      <w:pPr>
        <w:jc w:val="both"/>
        <w:ind w:firstLine="1304"/>
        <w:spacing w:after="0" w:line="215" w:lineRule="auto"/>
        <w:tabs>
          <w:tab w:leader="none" w:pos="167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insurance carried by either Landlord or Tenant covering losses arising out of destruction or damage to the Leased Premises or its contents or to other portions of the Building, or to Tenant’s occupancy and operation of the Leased Premises shall provide for a waiver of rights of subrogation against Prime Lessor, Landlord and Tenant on the part of the insurance carrier, to the extent that the same is permitted under the laws and regulations governing the writing of insurance within the Commonwealth of Massachusetts. Anything in this Lease to the contrary notwithstanding and so long as the following does not invalidate any policy of insurance, Landlord and Tenant each hereby waive to the extent of insurance carried by either party any and all rights of recovery, claims, actions, or causes of action against the other, its agent, officers or employees, or any loss or damage that may occur to the Leased Premises or the Building, or any improvements thereto, which is insured against or should have been insured against under the terms of any insurance policy required to be maintained pursuant to this Section. The waivers set forth in the immediately preceding sentence shall be in addition to, and not in substitution for, any other waivers, indemnities or exclusions of liability set forth in this Lease, including without limitation Sections 5.5 and 5.6 of this Lease.</w:t>
      </w:r>
    </w:p>
    <w:p>
      <w:pPr>
        <w:spacing w:after="0" w:line="117" w:lineRule="exact"/>
        <w:rPr>
          <w:sz w:val="20"/>
          <w:szCs w:val="20"/>
          <w:color w:val="auto"/>
        </w:rPr>
      </w:pPr>
    </w:p>
    <w:p>
      <w:pPr>
        <w:ind w:left="66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5.4</w:t>
      </w:r>
      <w:r>
        <w:rPr>
          <w:sz w:val="20"/>
          <w:szCs w:val="20"/>
          <w:color w:val="auto"/>
        </w:rPr>
        <w:tab/>
      </w:r>
      <w:r>
        <w:rPr>
          <w:rFonts w:ascii="Times New Roman" w:cs="Times New Roman" w:eastAsia="Times New Roman" w:hAnsi="Times New Roman"/>
          <w:sz w:val="18"/>
          <w:szCs w:val="18"/>
          <w:u w:val="single" w:color="auto"/>
          <w:color w:val="auto"/>
        </w:rPr>
        <w:t>Surrender of Leased Premises</w:t>
      </w:r>
      <w:r>
        <w:rPr>
          <w:rFonts w:ascii="Times New Roman" w:cs="Times New Roman" w:eastAsia="Times New Roman" w:hAnsi="Times New Roman"/>
          <w:sz w:val="18"/>
          <w:szCs w:val="18"/>
          <w:color w:val="auto"/>
        </w:rPr>
        <w:t>. Upon termination of this Lease or Tenant’s right to possession of the Leased Premises, Tenant shall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peaceably and quietly surrender the Leased Premises to Landlord, broom-clean and in a good state of repair and condition, excepting only ordinary wear and tear (subject to good maintenance practices), or damage due to fire or other casualty and otherwise in the condition required by this Lease including, without limitation, Section 3.5 hereof. Tenant shall demolish or remove all or any portion of any Trade Fixtures and other property and any alterations,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improvements, additions or changes made by Tenant, whether or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04" w:right="339" w:bottom="1440" w:gutter="0" w:footer="0" w:header="0"/>
        </w:sectPr>
      </w:pPr>
    </w:p>
    <w:bookmarkStart w:id="237" w:name="page238"/>
    <w:bookmarkEnd w:id="237"/>
    <w:p>
      <w:pPr>
        <w:jc w:val="both"/>
        <w:spacing w:after="0" w:line="222" w:lineRule="auto"/>
        <w:rPr>
          <w:sz w:val="20"/>
          <w:szCs w:val="20"/>
          <w:color w:val="auto"/>
        </w:rPr>
      </w:pPr>
      <w:r>
        <w:rPr>
          <w:rFonts w:ascii="Times New Roman" w:cs="Times New Roman" w:eastAsia="Times New Roman" w:hAnsi="Times New Roman"/>
          <w:sz w:val="18"/>
          <w:szCs w:val="18"/>
          <w:color w:val="auto"/>
        </w:rPr>
        <w:t>the same were constructed with the consent of Landlord, and Tenant shall restore the Leased Premises to such condition as existed prior to the installation of such Trade Fixtures or other property or the making of any such alteration, improvement, addition or change, all such demolition, removal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restoration to be performed in accordance with the conditions set forth in Section 4.2. In addition, in the event required pursuant to any Regulations, upon termination of this Lease or Tenant’s right to possession of the Leased Premises, Tenant shall remove any data cabling, all other low voltage wiring from the Leased Premises installed by Tenant, and any specialty build-out installations and shall repair any damage to the Premises or the Building caused by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such installation or by such removal. Upon termination of this Lease, Tenant will also surrender to Landlord all keys to the Leased Premises and inform Landlord of all combinations on locks, safes and vaults, if any, at the Leased Premises.</w:t>
      </w:r>
    </w:p>
    <w:p>
      <w:pPr>
        <w:spacing w:after="0" w:line="130"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Damages from Certain Causes</w:t>
      </w:r>
      <w:r>
        <w:rPr>
          <w:rFonts w:ascii="Times New Roman" w:cs="Times New Roman" w:eastAsia="Times New Roman" w:hAnsi="Times New Roman"/>
          <w:sz w:val="18"/>
          <w:szCs w:val="18"/>
          <w:color w:val="auto"/>
        </w:rPr>
        <w:t>. To the fullest extent permitted by law, Landlord and Landlord’s agents and employees shall not be liable or responsible to Tenant or any person claiming through Tenant for any loss or damage or injury to any property or person in, upon or about the Leased Premises or any other portion of the Building arising at any time from any cause other than to the extent by reason of the negligence or willful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misconduct of Landlord or of Landlord’s employees, contractors or agents.</w:t>
      </w:r>
    </w:p>
    <w:p>
      <w:pPr>
        <w:spacing w:after="0" w:line="124"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5.6</w:t>
      </w:r>
      <w:r>
        <w:rPr>
          <w:sz w:val="20"/>
          <w:szCs w:val="20"/>
          <w:color w:val="auto"/>
        </w:rPr>
        <w:tab/>
      </w:r>
      <w:r>
        <w:rPr>
          <w:rFonts w:ascii="Times New Roman" w:cs="Times New Roman" w:eastAsia="Times New Roman" w:hAnsi="Times New Roman"/>
          <w:sz w:val="18"/>
          <w:szCs w:val="18"/>
          <w:u w:val="single" w:color="auto"/>
          <w:color w:val="auto"/>
        </w:rPr>
        <w:t>Hold Harmless</w:t>
      </w:r>
      <w:r>
        <w:rPr>
          <w:rFonts w:ascii="Times New Roman" w:cs="Times New Roman" w:eastAsia="Times New Roman" w:hAnsi="Times New Roman"/>
          <w:sz w:val="18"/>
          <w:szCs w:val="18"/>
          <w:color w:val="auto"/>
        </w:rPr>
        <w:t>. Neither Prime Lessor nor Landlord shall be liable to Tenant, or to Tenant’s agents, employees, contractors,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customers or invitees or to any other person whomsoever for any injury or damage to person or property caused by or arising out of any act, omission or neglect of Tenant, its agents, contractors, subtenants, employees, customers, licensees, concessionaires or invitees or any other person entering the Building under express or implied invitation of Tenant, and Tenant agrees to indemnify and hold Landlord and Prime Lessor harmless from all liability and claims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for any such damage and from all claims, costs, damages or liabilities arising out of any of the foregoing, including without limitation reasonable attorneys’ fees and all other out-of-pocket expenses incurred in connection therewith. In any case in which Tenant has agreed to indemnify Prime Lessor or Landlord or any other person, such indemnity shall be deemed to include an obligation on the part of Tenant to appear on behalf of the indemnified party in any and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all proceedings involving a claim or cause of action covered by such indemnity and to defend the indemnified party against such claim or cause of action, all at Tenant’s cost; provided, however, at the option of any party indemnified hereunder, such party shall have the right to appear on its own behalf, employ its own legal counsel and defend any claim or cause of action indemnified in this Section, all at Tenant’s cost.</w:t>
      </w:r>
    </w:p>
    <w:p>
      <w:pPr>
        <w:spacing w:after="0" w:line="13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Tenant shall not be liable to Landlord, or to Landlord’s agents, employees, contractors, customers or invitees or to any other person whomsoever for any injury or damage to person or property to the extent caused by or arising out of any negligent or wrongful act or omission of Landlord, its agents,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contractors, subtenants, employees, customers, licensees, concessionaires or invitee, and Landlord agrees to indemnify and hold Tenant harmless from all liability and claims for any such damage and from all claims, costs, damages or liabilities arising out of any of the foregoing, including without limitation reasonable attorneys’ fees and all other out-of-pocket expenses incurred in connection therewith. In any case in which Landlord has agreed to indemnify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Tenant or any other person, such indemnity shall be deemed to include an obligation on the part of Landlord to appear on behalf of the indemnified party in any and all proceedings involving a claim or cause of action covered by such indemnity and to defend the indemnified party against such claim or cause of action, all at Landlord’s cost; provided, however, at the option of any party indemnified hereunder, such party shall have the right to appear on its own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behalf, employ its own legal counsel and defend any claim or cause of action indemnified in this Section, all at Landlord’s cost.</w:t>
      </w:r>
    </w:p>
    <w:p>
      <w:pPr>
        <w:spacing w:after="0" w:line="12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46" w:lineRule="exact"/>
        <w:rPr>
          <w:sz w:val="20"/>
          <w:szCs w:val="20"/>
          <w:color w:val="auto"/>
        </w:rPr>
      </w:pPr>
    </w:p>
    <w:p>
      <w:pPr>
        <w:ind w:left="66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6.1</w:t>
      </w:r>
      <w:r>
        <w:rPr>
          <w:sz w:val="20"/>
          <w:szCs w:val="20"/>
          <w:color w:val="auto"/>
        </w:rPr>
        <w:tab/>
      </w:r>
      <w:r>
        <w:rPr>
          <w:rFonts w:ascii="Times New Roman" w:cs="Times New Roman" w:eastAsia="Times New Roman" w:hAnsi="Times New Roman"/>
          <w:sz w:val="18"/>
          <w:szCs w:val="18"/>
          <w:u w:val="single" w:color="auto"/>
          <w:color w:val="auto"/>
        </w:rPr>
        <w:t>Default by Tenant</w:t>
      </w:r>
      <w:r>
        <w:rPr>
          <w:rFonts w:ascii="Times New Roman" w:cs="Times New Roman" w:eastAsia="Times New Roman" w:hAnsi="Times New Roman"/>
          <w:sz w:val="18"/>
          <w:szCs w:val="18"/>
          <w:color w:val="auto"/>
        </w:rPr>
        <w:t>. The occurrence of any one or more of the following shall constitute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by Tenant under this</w:t>
      </w:r>
    </w:p>
    <w:p>
      <w:pPr>
        <w:spacing w:after="0"/>
        <w:rPr>
          <w:sz w:val="20"/>
          <w:szCs w:val="20"/>
          <w:color w:val="auto"/>
        </w:rPr>
      </w:pPr>
      <w:r>
        <w:rPr>
          <w:rFonts w:ascii="Times New Roman" w:cs="Times New Roman" w:eastAsia="Times New Roman" w:hAnsi="Times New Roman"/>
          <w:sz w:val="18"/>
          <w:szCs w:val="18"/>
          <w:color w:val="auto"/>
        </w:rPr>
        <w:t>Lease:</w:t>
      </w:r>
    </w:p>
    <w:p>
      <w:pPr>
        <w:spacing w:after="0" w:line="138" w:lineRule="exact"/>
        <w:rPr>
          <w:sz w:val="20"/>
          <w:szCs w:val="20"/>
          <w:color w:val="auto"/>
        </w:rPr>
      </w:pPr>
    </w:p>
    <w:p>
      <w:pPr>
        <w:jc w:val="both"/>
        <w:ind w:firstLine="1304"/>
        <w:spacing w:after="0" w:line="226" w:lineRule="auto"/>
        <w:tabs>
          <w:tab w:leader="none" w:pos="172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Tenant to timely pay rent or any other amounts payable under this Lease as and when first due and payable; provided, however, that Landlord will give Tenant written notice and an opportunity to cure any failure to pay Rent within 5 business days of any such written notice not more than twice in any 12 month period;</w:t>
      </w:r>
    </w:p>
    <w:p>
      <w:pPr>
        <w:spacing w:after="0" w:line="130"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Tenant to perform, observe or comply with any negative covenant or agreement set forth in Section 4.8 of this Lease;</w:t>
      </w:r>
    </w:p>
    <w:p>
      <w:pPr>
        <w:spacing w:after="0" w:line="157" w:lineRule="exact"/>
        <w:rPr>
          <w:rFonts w:ascii="Times New Roman" w:cs="Times New Roman" w:eastAsia="Times New Roman" w:hAnsi="Times New Roman"/>
          <w:sz w:val="18"/>
          <w:szCs w:val="18"/>
          <w:color w:val="auto"/>
        </w:rPr>
      </w:pPr>
    </w:p>
    <w:p>
      <w:pPr>
        <w:jc w:val="both"/>
        <w:ind w:firstLine="1304"/>
        <w:spacing w:after="0" w:line="224" w:lineRule="auto"/>
        <w:tabs>
          <w:tab w:leader="none" w:pos="169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Tenant to perform, observe, or comply with any of the terms, covenants, conditions or provisions contained in this Lease including, without limitation, the Building Rules, as the same may be reasonably modified from time to time (other than covenants to pay rent, which shall be governed by (a) above) if such failure or default is not cured to Landlord’s satisfaction within thirty (30) calendar days after Landlord has given Tenant written notice thereof or such longer period as may reasonably be required, provided that Tenant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04"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color w:val="auto"/>
        </w:rPr>
        <w:t>commence to cure such default within said thirty (30) day period and thereafter diligently prosecute the same to conclusion;</w:t>
      </w:r>
    </w:p>
    <w:p>
      <w:pPr>
        <w:spacing w:after="0" w:line="158" w:lineRule="exact"/>
        <w:rPr>
          <w:sz w:val="20"/>
          <w:szCs w:val="20"/>
          <w:color w:val="auto"/>
        </w:rPr>
      </w:pPr>
    </w:p>
    <w:p>
      <w:pPr>
        <w:ind w:left="1700" w:hanging="396"/>
        <w:spacing w:after="0"/>
        <w:tabs>
          <w:tab w:leader="none" w:pos="17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of Tenant under this Lease shall be levied on under execution or other legal process;</w:t>
      </w:r>
    </w:p>
    <w:p>
      <w:pPr>
        <w:spacing w:after="0" w:line="144" w:lineRule="exact"/>
        <w:rPr>
          <w:rFonts w:ascii="Times New Roman" w:cs="Times New Roman" w:eastAsia="Times New Roman" w:hAnsi="Times New Roman"/>
          <w:sz w:val="18"/>
          <w:szCs w:val="18"/>
          <w:color w:val="auto"/>
        </w:rPr>
      </w:pPr>
    </w:p>
    <w:p>
      <w:pPr>
        <w:jc w:val="both"/>
        <w:ind w:firstLine="1304"/>
        <w:spacing w:after="0" w:line="223" w:lineRule="auto"/>
        <w:tabs>
          <w:tab w:leader="none" w:pos="167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petition in bankruptcy or other insolvency proceedings shall be filed by or against Tenant or any guarantor of this Lease, or any petition shall be filed or other action taken to declare Tenant or any such guarantor a bankrupt or to delay, reduce or modify Tenant’s or any such guarantor’s debts or obligations or to reorganize or modify Tenant’s or any such guarantor’s capital structure of indebtedness or to appoint a trustee, receiver or liquidator of Tenant or such guarantor or of any property of Tenant or such guarantor, or any proceeding or other action shall be commenced or taken by any governmental authority for the dissolution or liquidation of Tenant or any such guarantor; or</w:t>
      </w:r>
    </w:p>
    <w:p>
      <w:pPr>
        <w:spacing w:after="0" w:line="11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68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Tenant shall become insolvent or otherwise fail to pay its monetary obligations in due course as they mature, or (ii) Tenant shall make an assignment for the benefit of creditors, or (iii) a receiver or trustee shall be appointed for Tenant or any of its properties and not discharged within five (5) Business Days.</w:t>
      </w:r>
    </w:p>
    <w:p>
      <w:pPr>
        <w:spacing w:after="0" w:line="131"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Landlord’s Remedies</w:t>
      </w:r>
      <w:r>
        <w:rPr>
          <w:rFonts w:ascii="Times New Roman" w:cs="Times New Roman" w:eastAsia="Times New Roman" w:hAnsi="Times New Roman"/>
          <w:sz w:val="18"/>
          <w:szCs w:val="18"/>
          <w:color w:val="auto"/>
        </w:rPr>
        <w:t>. Upon the occurrence of any Event of Default by Tenant under this Lease, Landlord may, at its sole option, do any one or more of the following:</w:t>
      </w:r>
    </w:p>
    <w:p>
      <w:pPr>
        <w:spacing w:after="0" w:line="131" w:lineRule="exact"/>
        <w:rPr>
          <w:sz w:val="20"/>
          <w:szCs w:val="20"/>
          <w:color w:val="auto"/>
        </w:rPr>
      </w:pPr>
    </w:p>
    <w:p>
      <w:pPr>
        <w:jc w:val="both"/>
        <w:ind w:firstLine="1304"/>
        <w:spacing w:after="0" w:line="210" w:lineRule="auto"/>
        <w:tabs>
          <w:tab w:leader="none" w:pos="1804"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may terminate this Lease and/or Tenant’s right to possession of the Leased Premises, whereupon Tenant’s right of possession shall thereupon cease and terminate and Landlord shall be entitled to the possession of the Leased Premises, any process of law, any notice to quit, or of intention to re-enter being hereby exercised by entry, or in lieu thereof, by written notice to Tenant terminating this Lease and Tenant’s right to possession. Tenant hereby expressly waives any and all rights of redemption granted by or under any present or future laws in the event of Tenant being evicted or dispossessed for any cause or in the event Landlord terminates this Lease or Tenant’s right of possession as provided in this Section 6.2. In the event of such re-entry by process of law or otherwise, Tenant nevertheless shall remain liable for any and all damage, deficiency or loss and Landlord shall have the power and right, which is hereby acceded to by Tenant, to re-let the Leased Premises, and whether or not there has been such re-letting, Landlord shall have the right each month to sue for and recover all sums previously due and not previously paid as well as all sums thereafter due and payable including, without limitation, any loss of rents (or monthly deficit) with the right reserved to Landlord to bring any action(s) or proceeding(s) for the recovery of any deficit(s) remaining unpaid without being obligated to await the expiration of the Lease Term for a final determination of Tenant’s account. Additionally, Landlord may elect at any time, upon notice to Tenant, to accelerate the payment of Base Rent, Additional Rent and all other sums due or to become due under the Lease, as reasonably estimated by Landlord, in which case Tenant shall forthwith pay such sums to Landlord after receiving a credit for (i) such sums as may previously have been paid under this Section 6.2 net of such expenses as may be deducted under clause (b) of this Section 6.2; and</w:t>
      </w:r>
    </w:p>
    <w:p>
      <w:pPr>
        <w:spacing w:after="0" w:line="1" w:lineRule="exact"/>
        <w:rPr>
          <w:rFonts w:ascii="Times New Roman" w:cs="Times New Roman" w:eastAsia="Times New Roman" w:hAnsi="Times New Roman"/>
          <w:sz w:val="18"/>
          <w:szCs w:val="18"/>
          <w:color w:val="auto"/>
        </w:rPr>
      </w:pPr>
    </w:p>
    <w:p>
      <w:pPr>
        <w:jc w:val="both"/>
        <w:ind w:firstLine="8"/>
        <w:spacing w:after="0" w:line="210" w:lineRule="auto"/>
        <w:tabs>
          <w:tab w:leader="none" w:pos="29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rent of Tenant’s leasehold estate for the balance of the Lease Term. Except as expressly set forth herein, the commencement or maintenance of any one or more actions shall not bar Landlord from bringing other or subsequent actions for future accruals pursuant to provisions of this Section 6.2. It is further understood that no waiver of any breach of any covenant, condition or agreements herein contained shall operate as a waiver of the covenant, condition or agreement itself or of any subsequent breach thereof. No provision of this Lease shall be deemed to have been waived by either party unless such waiver shall be in writing signed by the party against whom the waiver is being enforced. No payment by Tenant or receipt by Landlord of a lesser amount than the monthly installment of rent herein stipulated or otherwise payable under this Lease shall be deemed to be other than on account of the earliest stipulated rent nor shall any endorsement or statement on any check or any letter accompanying any check or payment as rent be deemed an accord and satisfaction. Landlord may accept such check or payment without prejudice to Landlord’s right to pursue or continue to pursue any of Landlord’s rights or remedies provided for in this Lease. The proceeds of any such re-letting shall first be applied to the expenses thereof, including all costs in refitting and redecorating the Leased Premises, leasing commissions and other costs and expenses incurred therein. The remaining proceeds resulting therefrom, if any, shall then be applied to Tenant’s liability under this Lease. Landlord’s re-letting of the Leased Premises following an Event of Default by Tenant under this Lease may be on such terms, provisions and conditions as Landlord shall deem reasonably appropriate and may be for such term (or terms) as Landlord may select whether longer or shorter than the remaining Lease Term. Tenant shall, following an Event of Default under this Lease, reimburse Landlord for interest upon all sums due to Landlord (from the date such sums shall have been due to the date of payment thereof) at the Interest Rate (as hereinafter defined).</w:t>
      </w:r>
    </w:p>
    <w:p>
      <w:pPr>
        <w:spacing w:after="0" w:line="13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Landlord’s Right to Perform Certain Obligations</w:t>
      </w:r>
      <w:r>
        <w:rPr>
          <w:rFonts w:ascii="Times New Roman" w:cs="Times New Roman" w:eastAsia="Times New Roman" w:hAnsi="Times New Roman"/>
          <w:sz w:val="18"/>
          <w:szCs w:val="18"/>
          <w:color w:val="auto"/>
        </w:rPr>
        <w:t>. Should Tenant fail to perform any of its obligations hereunder, which failure continues after expiration of any applicable grace period and notice, or should Landlord reasonably determine that immediate action is needed to prevent</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damage to either the Leased Premises or the Building, Landlord may (but shall not be obligated to) enter upon the Leased Premises and perform all or any part of such obligations and/or take such action as it deems necessary to prevent or limit such damage,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04" w:right="339" w:bottom="1440" w:gutter="0" w:footer="0" w:header="0"/>
        </w:sectPr>
      </w:pPr>
    </w:p>
    <w:bookmarkStart w:id="239" w:name="page240"/>
    <w:bookmarkEnd w:id="239"/>
    <w:p>
      <w:pPr>
        <w:jc w:val="both"/>
        <w:spacing w:after="0" w:line="222" w:lineRule="auto"/>
        <w:rPr>
          <w:sz w:val="20"/>
          <w:szCs w:val="20"/>
          <w:color w:val="auto"/>
        </w:rPr>
      </w:pPr>
      <w:r>
        <w:rPr>
          <w:rFonts w:ascii="Times New Roman" w:cs="Times New Roman" w:eastAsia="Times New Roman" w:hAnsi="Times New Roman"/>
          <w:sz w:val="18"/>
          <w:szCs w:val="18"/>
          <w:color w:val="auto"/>
        </w:rPr>
        <w:t>Within thirty (30) days of Landlord’s written demand, Tenant shall reimburse Landlord for the cost to Landlord of performing such obligations. No action taken by Landlord under this Section shall relieve Tenant from any of its obligations under this Lease or from any consequences or liabilities arising from</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the failure to perform such obligations. The expiration of applicable grace periods as aforesaid shall not be required if payment or other action is in the opinion of Landlord, necessary to protect Landlord’s property and interest.</w:t>
      </w:r>
    </w:p>
    <w:p>
      <w:pPr>
        <w:spacing w:after="0" w:line="130"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rights and remedies of Landlord under this Article shall be non-exclusive and shall be in addition to and cumulative of all other remedies available to Landlord under this Lease or at law or in equity.</w:t>
      </w:r>
    </w:p>
    <w:p>
      <w:pPr>
        <w:spacing w:after="0" w:line="131"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Security Deposit</w:t>
      </w:r>
      <w:r>
        <w:rPr>
          <w:rFonts w:ascii="Times New Roman" w:cs="Times New Roman" w:eastAsia="Times New Roman" w:hAnsi="Times New Roman"/>
          <w:sz w:val="18"/>
          <w:szCs w:val="18"/>
          <w:color w:val="auto"/>
        </w:rPr>
        <w:t>. Concurrent with the execution of this Lease, Tenant has delivered to Landlord a Letter of Credit (as hereinafter defined) in the amount specified in the Basic Lease Information, as security for the faithful performance and observance by Tenant of the terms, covenants and conditions of this Lease. The Letter of Credit shall be in the form of a clean, irrevocable, non-documentary and unconditional letter of credit (the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issued by and drawable upon a commercial bank which is reasonably satisfactory to Landlord (the “</w:t>
      </w:r>
      <w:r>
        <w:rPr>
          <w:rFonts w:ascii="Times New Roman" w:cs="Times New Roman" w:eastAsia="Times New Roman" w:hAnsi="Times New Roman"/>
          <w:sz w:val="18"/>
          <w:szCs w:val="18"/>
          <w:b w:val="1"/>
          <w:bCs w:val="1"/>
          <w:color w:val="auto"/>
        </w:rPr>
        <w:t>Issuing Bank</w:t>
      </w:r>
      <w:r>
        <w:rPr>
          <w:rFonts w:ascii="Times New Roman" w:cs="Times New Roman" w:eastAsia="Times New Roman" w:hAnsi="Times New Roman"/>
          <w:sz w:val="18"/>
          <w:szCs w:val="18"/>
          <w:color w:val="auto"/>
        </w:rPr>
        <w:t>”), which has outstanding unsecured, uninsured and unguaranteed indebtedness, or shall have issued a letter of credit or other credit facility that constitutes the primary security for any outstanding indebtedness (which is otherwise uninsured and unguaranteed), that is then rated, without regard to qualification of such rating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by symbols such as “+” or “-” or numerical notation, “Aa” or better by Moody’s Investors Service and “AA” or better by Standard &amp; Poor’s Rating Service, and has combined capital, surplus and undivided profits of not less than $2,000,000,000. For the avoidance of doubt, the Landlord acknowledges that Silicon Valley Bank is an acceptable Issuing Bank. The Letter of Credit shall (a) name Landlord as beneficiary, (b) have a term of not less than one (1)</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year, (c) permit multiple drawings, (d) be fully transferable by Landlord without the payment of any fees or charges by Landlord, and (e) otherwise be in form and content reasonably satisfactory to Landlord. The Letter of Credit, if in the form attached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shall be satisfactory. If upon any transfer of the Letter of Credit, any fees or charges shall be so imposed, then such fees or charges shall be payable solely by Tenant and the Letter of Credit shall so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specify. The Letter of Credit shall provide that it shall be deemed automatically renewed, without amendment, for consecutive periods of one (1) year each thereafter during the Lease Term (and in no event shall the Letter of Credit expire prior to the 60th day following the Expiration Date) unless the Issuing Bank sends duplicate notices (the “</w:t>
      </w:r>
      <w:r>
        <w:rPr>
          <w:rFonts w:ascii="Times New Roman" w:cs="Times New Roman" w:eastAsia="Times New Roman" w:hAnsi="Times New Roman"/>
          <w:sz w:val="18"/>
          <w:szCs w:val="18"/>
          <w:b w:val="1"/>
          <w:bCs w:val="1"/>
          <w:color w:val="auto"/>
        </w:rPr>
        <w:t>Non-Renewal Notice</w:t>
      </w:r>
      <w:r>
        <w:rPr>
          <w:rFonts w:ascii="Times New Roman" w:cs="Times New Roman" w:eastAsia="Times New Roman" w:hAnsi="Times New Roman"/>
          <w:sz w:val="18"/>
          <w:szCs w:val="18"/>
          <w:color w:val="auto"/>
        </w:rPr>
        <w:t>”) to Landlord not less than 60 days next preceding the then expiration date of the Letter of Credit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stating that the Issuing Bank has elected not to renew the Letter of Credit. The Issuing Bank shall agree with all drawers, endorsers and bona fide holders that drafts drawn under and in compliance with the terms of the Letter of Credit will be duly honored upon presentation to the Issuing Bank at an office location in Boston, Massachusetts or otherwise by facsimile presentment. Except as otherwise expressly stated herein, this Letter of Credit is governed 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subject to the “International Standby Practices of ISP 98 (1998 Revision), International Chamber of Commerce Publication No. 590.”</w:t>
      </w:r>
    </w:p>
    <w:p>
      <w:pPr>
        <w:spacing w:after="0" w:line="124" w:lineRule="exact"/>
        <w:rPr>
          <w:sz w:val="20"/>
          <w:szCs w:val="20"/>
          <w:color w:val="auto"/>
        </w:rPr>
      </w:pPr>
    </w:p>
    <w:p>
      <w:pPr>
        <w:jc w:val="both"/>
        <w:ind w:firstLine="1304"/>
        <w:spacing w:after="0" w:line="213" w:lineRule="auto"/>
        <w:tabs>
          <w:tab w:leader="none" w:pos="168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Security</w:t>
      </w:r>
      <w:r>
        <w:rPr>
          <w:rFonts w:ascii="Times New Roman" w:cs="Times New Roman" w:eastAsia="Times New Roman" w:hAnsi="Times New Roman"/>
          <w:sz w:val="18"/>
          <w:szCs w:val="18"/>
          <w:color w:val="auto"/>
        </w:rPr>
        <w:t>. If (a) an Event of Default by Tenant occurs and is continuing in the payment or performance of any of the terms, covenants or conditions of this Lease, including the payment of Rent, or (b) Landlord receives a Non-Renewal Notice, or (c) Tenant files a voluntary petition under any Federal or state bankruptcy or insolvency code, law or proceeding, then Landlord shall have the right by sight draft to draw, at its election, all or a portion of the proceeds of the Letter of Credit and thereafter hold, use, apply, or retain the whole or any part of such proceeds, as the case may be, (x) to the extent required for the payment of any Base Rent or any other sum as to which Tenant is in default including (i) any sum which Landlord may expend or may be required to expend by reason of Tenant’s default beyond any applicable cure periods, and/or (ii) any damages to which Landlord is entitled pursuant to this Lease, whether such damages accrue before or after summary proceedings or other reentry by Landlord, and/or (y) as a cash security deposit, unless and until, in the case of clause (c) above, Tenant delivers to Landlord a substitute Letter of Credit which meets the requirements of this Section 6.5. If Landlord applies any part of the proceeds of the Letter of Credit, Tenant shall, within ten (10) days, amend the Letter of Credit to increase the amount thereof by the amount so applied or provide Landlord with an additional Letter of Credit in the amount so applied so that Landlord shall have the full amount thereof on hand at all times during the Lease Term. The Letter of Credit or cash security, as the case may be, or balance thereof shall be returned to Tenant after the Expiration Date and after delivery of possession of the Leased Premises to Landlord in the manner required by this Lease and the curing of any outstanding Events of Default under this Lease.</w:t>
      </w:r>
    </w:p>
    <w:p>
      <w:pPr>
        <w:spacing w:after="0" w:line="136" w:lineRule="exact"/>
        <w:rPr>
          <w:rFonts w:ascii="Times New Roman" w:cs="Times New Roman" w:eastAsia="Times New Roman" w:hAnsi="Times New Roman"/>
          <w:sz w:val="18"/>
          <w:szCs w:val="18"/>
          <w:color w:val="auto"/>
        </w:rPr>
      </w:pPr>
    </w:p>
    <w:p>
      <w:pPr>
        <w:jc w:val="both"/>
        <w:ind w:firstLine="1304"/>
        <w:spacing w:after="0" w:line="217" w:lineRule="auto"/>
        <w:tabs>
          <w:tab w:leader="none" w:pos="172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The Letter of Credit shall also provide that Landlord, its successors and assigns, may, at any time and without notice to Tenant and without first obtaining Tenant’s consent thereto, transfer (one or more times) all of its interest in and to the Letter of Credit to the holder of any mortgage upon the Building or the successor landlord in connection with a transfer of the Building, from or as a part of the assignment by Landlord of its rights and interests in and to this Lease. In the event of a transfer of Landlord’s interest in the Building, Landlord shall transfer the Letter of Credit to the transferee and thereupon Landlord shall without any further agreement between the parties, be released by Tenant from all liability therefor. The provisions of this Section 6.5(b) shall apply to every transfer or assignment of the whole of said Letter of Credit to a new landlord. In connection with any such transfer of the Letter of Credit by Landlord, Tenant shall, at Tenant’s sole cost and expense, execute and submit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04" w:right="339" w:bottom="1440" w:gutter="0" w:footer="0" w:header="0"/>
        </w:sectPr>
      </w:pPr>
    </w:p>
    <w:bookmarkStart w:id="240" w:name="page241"/>
    <w:bookmarkEnd w:id="240"/>
    <w:p>
      <w:pPr>
        <w:spacing w:after="0" w:line="237" w:lineRule="auto"/>
        <w:rPr>
          <w:sz w:val="20"/>
          <w:szCs w:val="20"/>
          <w:color w:val="auto"/>
        </w:rPr>
      </w:pPr>
      <w:r>
        <w:rPr>
          <w:rFonts w:ascii="Times New Roman" w:cs="Times New Roman" w:eastAsia="Times New Roman" w:hAnsi="Times New Roman"/>
          <w:sz w:val="18"/>
          <w:szCs w:val="18"/>
          <w:color w:val="auto"/>
        </w:rPr>
        <w:t>to the Bank such applications, documents and instruments as may be necessary to effectuate such transfer, and Tenant shall be responsible for paying the Bank’s transfer and processing fees in connection therewith.</w:t>
      </w:r>
    </w:p>
    <w:p>
      <w:pPr>
        <w:spacing w:after="0" w:line="131" w:lineRule="exact"/>
        <w:rPr>
          <w:sz w:val="20"/>
          <w:szCs w:val="20"/>
          <w:color w:val="auto"/>
        </w:rPr>
      </w:pPr>
    </w:p>
    <w:p>
      <w:pPr>
        <w:jc w:val="both"/>
        <w:ind w:firstLine="1304"/>
        <w:spacing w:after="0" w:line="215" w:lineRule="auto"/>
        <w:tabs>
          <w:tab w:leader="none" w:pos="172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Letter of Credit by Tenant</w:t>
      </w:r>
      <w:r>
        <w:rPr>
          <w:rFonts w:ascii="Times New Roman" w:cs="Times New Roman" w:eastAsia="Times New Roman" w:hAnsi="Times New Roman"/>
          <w:sz w:val="18"/>
          <w:szCs w:val="18"/>
          <w:color w:val="auto"/>
        </w:rPr>
        <w:t>. If, as a result of any drawing by Landlord on the Letter of Credit, the amount of the Letter of Credit shall be less than the Letter of Credit Amount, Tenant shall, within ten (10) days thereafter, provide Landlord with additional letter(s) of credit in an amount equal to the deficiency, and any such additional letter(s) of credit shall comply with all of the provisions of this Section 6.5. Tenant further covenants and warrants that it will neither assign nor encumber the Letter of Credit or any part thereof and that neither Landlord nor its successors or assigns will be bound by any such assignment, encumbrance, attempted assignment or attempted encumbrance. Without limiting the generality of the foregoing, if the Letter of Credit expires earlier than the date which is sixty (60) days after the Expiration Date, or if Tenant otherwise fails to maintain the Letter of Credit in the amount and in accordance with the terms set forth in this Section 6.5, Landlord shall have the right to present the Letter of Credit to the Issuing Bank in accordance with the terms of this Section 6.5, and the proceeds of the Letter of Credit may be applied by Landlord against any Rent payable by Tenant under this Lease that is not paid when due and/or to pay for all losses and damages that Landlord has suffered as a result of any Event of Default by Tenant under this Lease.</w:t>
      </w:r>
    </w:p>
    <w:p>
      <w:pPr>
        <w:spacing w:after="0" w:line="130" w:lineRule="exact"/>
        <w:rPr>
          <w:rFonts w:ascii="Times New Roman" w:cs="Times New Roman" w:eastAsia="Times New Roman" w:hAnsi="Times New Roman"/>
          <w:sz w:val="18"/>
          <w:szCs w:val="18"/>
          <w:color w:val="auto"/>
        </w:rPr>
      </w:pPr>
    </w:p>
    <w:p>
      <w:pPr>
        <w:jc w:val="both"/>
        <w:ind w:firstLine="1304"/>
        <w:spacing w:after="0" w:line="212" w:lineRule="auto"/>
        <w:tabs>
          <w:tab w:leader="none" w:pos="168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Landlord’s Right to Draw Upon Letter of Credit</w:t>
      </w:r>
      <w:r>
        <w:rPr>
          <w:rFonts w:ascii="Times New Roman" w:cs="Times New Roman" w:eastAsia="Times New Roman" w:hAnsi="Times New Roman"/>
          <w:sz w:val="18"/>
          <w:szCs w:val="18"/>
          <w:color w:val="auto"/>
        </w:rPr>
        <w:t>. Tenant hereby acknowledges and agrees that Landlord is entering into this Lease in material reliance upon the ability of Landlord to draw upon the Letter of Credit upon the occurrence of any breach or default on the part of Tenant under this Lease which continues beyond applicable notice and cure periods. If Tenant shall breach any provision of this Lease or otherwise be in default hereunder beyond any applicable grace or cure periods, Landlord may, but without obligation to do so, and without notice to Tenant, draw upon the Letter of Credit, in part or in whole, to cure any breach or default of Tenant and/or to compensate Landlord for any and all damages of any kind or nature sustained resulting from such Tenant’s breach or default. The use, application or retention of the Letter of Credit, or any portion thereof, by Landlord shall not prevent Landlord from exercising any other right or remedy provided by this Lease or by any applicable law, it being intended that Landlord shall not first be required to proceed against the Letter of Credit, and shall not operate as a limitation on any recovery to which Landlord may otherwise be entitled. Tenant agrees not to interfere in any way with payment to Landlord of the proceeds of the Letter of Credit, either prior to or following a “draw” by Landlord of any portion of the Letter of Credit, regardless of whether any dispute exists between Tenant and Landlord as to Landlord’s right to draw upon the Letter of Credit. No condition or term of this Lease shall be deemed to render the Letter of Credit conditional to justify the issuer of the Letter of Credit in failing to honor a drawing upon such Letter of Credit in a timely manner. Tenant agrees and acknowledges that (a) the Letter of Credit constitutes a separate and independent contract between Landlord and the Bank, (b) Tenant is not a third party beneficiary of such contract, (c) Tenant has no property interest whatsoever in the Letter of Credit or the proceeds thereof, and (d) in the event Tenant becomes a debtor under any chapter of the Bankruptcy Code, neither Tenant, any trustee, nor Tenant’s bankruptcy estate shall have any right to restrict or limit Landlord’s claim and/or rights to the Letter of Credit and/or the proceeds thereof by application of Section 502(b)(6) of the U.S. Bankruptcy Code or otherwise.</w:t>
      </w:r>
    </w:p>
    <w:p>
      <w:pPr>
        <w:spacing w:after="0" w:line="125" w:lineRule="exact"/>
        <w:rPr>
          <w:rFonts w:ascii="Times New Roman" w:cs="Times New Roman" w:eastAsia="Times New Roman" w:hAnsi="Times New Roman"/>
          <w:sz w:val="18"/>
          <w:szCs w:val="18"/>
          <w:color w:val="auto"/>
        </w:rPr>
      </w:pPr>
    </w:p>
    <w:p>
      <w:pPr>
        <w:jc w:val="both"/>
        <w:ind w:firstLine="1304"/>
        <w:spacing w:after="0" w:line="201" w:lineRule="auto"/>
        <w:tabs>
          <w:tab w:leader="none" w:pos="17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hereof, the “Reduction Conditions” shall mean the following: (i) no Event of Default by Tenant shall have occurred during the term of the Lease and no Event of Default by Tenant shall have occurred and be continuing, and (ii) this Lease is in full force and effect. Provided that the Reduction Conditions have been met, the Security Deposit may be reduced to $3,291,614.10 effective as of the third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anniversary of the Rent Commencement Date and $2,633,291.30 effective as of the fifth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anniversary of the Rent Commencement Date. The reduction in the Letter of Credit shall be accomplished as follows: Tenant shall request such reduction in a written notice to Landlord, and if Landlord determines that the Reduction Conditions have been met, Landlord shall so notify Tenant, whereupon Tenant shall provide Landlord with a substitute Letter of Credit in the reduced amount, or an amendment to the Letter of Credit reducing it to the reduced amount.</w:t>
      </w:r>
    </w:p>
    <w:p>
      <w:pPr>
        <w:spacing w:after="0" w:line="1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48" w:lineRule="exact"/>
        <w:rPr>
          <w:sz w:val="20"/>
          <w:szCs w:val="20"/>
          <w:color w:val="auto"/>
        </w:rPr>
      </w:pPr>
    </w:p>
    <w:p>
      <w:pPr>
        <w:ind w:left="66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7.1</w:t>
      </w:r>
      <w:r>
        <w:rPr>
          <w:sz w:val="20"/>
          <w:szCs w:val="20"/>
          <w:color w:val="auto"/>
        </w:rPr>
        <w:tab/>
      </w:r>
      <w:r>
        <w:rPr>
          <w:rFonts w:ascii="Times New Roman" w:cs="Times New Roman" w:eastAsia="Times New Roman" w:hAnsi="Times New Roman"/>
          <w:sz w:val="18"/>
          <w:szCs w:val="18"/>
          <w:u w:val="single" w:color="auto"/>
          <w:color w:val="auto"/>
        </w:rPr>
        <w:t>Attorneys’ Fees and Other Expenses</w:t>
      </w:r>
      <w:r>
        <w:rPr>
          <w:rFonts w:ascii="Times New Roman" w:cs="Times New Roman" w:eastAsia="Times New Roman" w:hAnsi="Times New Roman"/>
          <w:sz w:val="18"/>
          <w:szCs w:val="18"/>
          <w:color w:val="auto"/>
        </w:rPr>
        <w:t>. Unless prohibited by applicable law, in the event that either Landlord or Tenant should bring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suit for the possession of the Premises, for the recovery of any sum due under this Lease, or because of the breach of any provision of this Lease or for any other relief against the other, then all costs and expenses, including reasonable attorneys’ fees, incurred by the prevailing party therein shall be paid by the other party, which obligation on the part of the other party shall be deemed to have accrued on the date of the commencement of such action and shall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enforceable whether or not the action is prosecuted to judgment..</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Further, if Tenant shall request Landlord’s consent to or joinder in any instrument pertaining to this Lease, Tenant agrees promptly to reimburse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Landlord for the reasonable third party out of pocket legal fees and expenses and such fees as are required to be paid by any mortgagee or other lender incurred by Landlord in processing such request, whether or not Landlord complies therewith; and if Tenant shall fail promptly so to reimburse Landlord, same shall be deemed to be a default in Tenant’s monetary obligations under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04" w:right="339" w:bottom="1440" w:gutter="0" w:footer="0" w:header="0"/>
        </w:sectPr>
      </w:pPr>
    </w:p>
    <w:bookmarkStart w:id="241" w:name="page242"/>
    <w:bookmarkEnd w:id="241"/>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Whenever Tenant shall request approval by Landlord or Landlord’s architect of plans, drawings, specifications, installation of signs including subsequent changes thereof, or the like, Tenant specifically agrees promptly to pay to Landlord’s architect (or reimburse Landlord for the payment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Landlord makes to said architect for) all reasonable third party out of pocket charges involved in the review (and re-review, if necessary) and approval or disapproval thereof whether or not approval shall ultimately be given.</w:t>
      </w:r>
    </w:p>
    <w:p>
      <w:pPr>
        <w:spacing w:after="0" w:line="130" w:lineRule="exact"/>
        <w:rPr>
          <w:sz w:val="20"/>
          <w:szCs w:val="20"/>
          <w:color w:val="auto"/>
        </w:rPr>
      </w:pPr>
    </w:p>
    <w:p>
      <w:pPr>
        <w:ind w:left="660" w:right="20"/>
        <w:spacing w:after="0" w:line="324"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Alteration</w:t>
      </w:r>
      <w:r>
        <w:rPr>
          <w:rFonts w:ascii="Times New Roman" w:cs="Times New Roman" w:eastAsia="Times New Roman" w:hAnsi="Times New Roman"/>
          <w:sz w:val="18"/>
          <w:szCs w:val="18"/>
          <w:color w:val="auto"/>
        </w:rPr>
        <w:t xml:space="preserve">. This Lease may not be altered, changed or amended, except by an instrument in writing signed by both parties hereto. Section 7.3 </w:t>
      </w:r>
      <w:r>
        <w:rPr>
          <w:rFonts w:ascii="Times New Roman" w:cs="Times New Roman" w:eastAsia="Times New Roman" w:hAnsi="Times New Roman"/>
          <w:sz w:val="18"/>
          <w:szCs w:val="18"/>
          <w:u w:val="single" w:color="auto"/>
          <w:color w:val="auto"/>
        </w:rPr>
        <w:t>Non-Waiver</w:t>
      </w:r>
      <w:r>
        <w:rPr>
          <w:rFonts w:ascii="Times New Roman" w:cs="Times New Roman" w:eastAsia="Times New Roman" w:hAnsi="Times New Roman"/>
          <w:sz w:val="18"/>
          <w:szCs w:val="18"/>
          <w:color w:val="auto"/>
        </w:rPr>
        <w:t>. No course of dealing between Landlord and Tenant or any other person, nor any delay on the part of Landlord in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exercising any rights under this Lease, nor any failure to enforce any provisions of this Lease, nor the acceptance of rental by Landlord shall operate as a waiver of any rights of Landlord, except to the extent, if any, expressly waived in writing by Landlord. The waiver by Landlord of any agreement, condition or provision herein contained shall not be deemed a waiver of any subsequent breach of the same or any other agreement, condition or provision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contained.</w:t>
      </w:r>
    </w:p>
    <w:p>
      <w:pPr>
        <w:spacing w:after="0" w:line="124"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7.4</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otherwise expressly provided in this Lease, all consents, notices, demands, requests, approvals or other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communications given under this Lease shall be in writing and shall be deemed sufficiently given or rendered if delivered by hand (provided a signed receipt is obtained) or if sent by registered or certified mail (return receipt requested) or by a nationally recognized overnight delivery service making receipted deliveries, addressed to Landlord and Tenant as set forth below, and to any mortgagee or Prime Lessor who shall require copies of notices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whose address is provided to Tenant, or to such other address(es) as Landlord, Tenant or any mortgagee or Prime Lessor may designate as its new address(es) for such purpose by notice given to the other in accordance with the provisions of this Section 7.4. Any such approval, consent, notice, demand, request or other communication shall be deemed to have been given on the date of receipted delivery, refusal to accept delivery or when delivery is first</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attempted but cannot be made due to a change of address for which no notice is given or three (3) Business Days after it shall have been mailed as provided in this Section 7.4, whichever is earlier.</w:t>
      </w:r>
    </w:p>
    <w:p>
      <w:pPr>
        <w:spacing w:after="0" w:line="119"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color w:val="auto"/>
        </w:rPr>
        <w:t>If to Landlord:</w:t>
      </w:r>
      <w:r>
        <w:rPr>
          <w:sz w:val="20"/>
          <w:szCs w:val="20"/>
          <w:color w:val="auto"/>
        </w:rPr>
        <w:tab/>
      </w:r>
      <w:r>
        <w:rPr>
          <w:rFonts w:ascii="Times New Roman" w:cs="Times New Roman" w:eastAsia="Times New Roman" w:hAnsi="Times New Roman"/>
          <w:sz w:val="17"/>
          <w:szCs w:val="17"/>
          <w:color w:val="auto"/>
        </w:rPr>
        <w:t>c/o Related Fund Management</w:t>
      </w:r>
    </w:p>
    <w:p>
      <w:pPr>
        <w:ind w:left="1960"/>
        <w:spacing w:after="0" w:line="203" w:lineRule="auto"/>
        <w:rPr>
          <w:sz w:val="20"/>
          <w:szCs w:val="20"/>
          <w:color w:val="auto"/>
        </w:rPr>
      </w:pPr>
      <w:r>
        <w:rPr>
          <w:rFonts w:ascii="Times New Roman" w:cs="Times New Roman" w:eastAsia="Times New Roman" w:hAnsi="Times New Roman"/>
          <w:sz w:val="18"/>
          <w:szCs w:val="18"/>
          <w:color w:val="auto"/>
        </w:rPr>
        <w:t>30 Hudson Yards</w:t>
      </w:r>
    </w:p>
    <w:p>
      <w:pPr>
        <w:ind w:left="1960"/>
        <w:spacing w:after="0" w:line="219" w:lineRule="auto"/>
        <w:rPr>
          <w:sz w:val="20"/>
          <w:szCs w:val="20"/>
          <w:color w:val="auto"/>
        </w:rPr>
      </w:pPr>
      <w:r>
        <w:rPr>
          <w:rFonts w:ascii="Times New Roman" w:cs="Times New Roman" w:eastAsia="Times New Roman" w:hAnsi="Times New Roman"/>
          <w:sz w:val="18"/>
          <w:szCs w:val="18"/>
          <w:color w:val="auto"/>
        </w:rPr>
        <w:t>New York, NY 10001</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Patrick Sweeney Email: [***]</w:t>
      </w:r>
    </w:p>
    <w:p>
      <w:pPr>
        <w:spacing w:after="0" w:line="16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and –</w:t>
      </w:r>
    </w:p>
    <w:p>
      <w:pPr>
        <w:spacing w:after="0" w:line="14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 JAMESTOWN, L.P.</w:t>
      </w:r>
    </w:p>
    <w:p>
      <w:pPr>
        <w:ind w:left="1960"/>
        <w:spacing w:after="0" w:line="203" w:lineRule="auto"/>
        <w:rPr>
          <w:sz w:val="20"/>
          <w:szCs w:val="20"/>
          <w:color w:val="auto"/>
        </w:rPr>
      </w:pPr>
      <w:r>
        <w:rPr>
          <w:rFonts w:ascii="Times New Roman" w:cs="Times New Roman" w:eastAsia="Times New Roman" w:hAnsi="Times New Roman"/>
          <w:sz w:val="18"/>
          <w:szCs w:val="18"/>
          <w:color w:val="auto"/>
        </w:rPr>
        <w:t>Ponce City Market 675</w:t>
      </w:r>
    </w:p>
    <w:p>
      <w:pPr>
        <w:ind w:left="1960"/>
        <w:spacing w:after="0" w:line="219" w:lineRule="auto"/>
        <w:rPr>
          <w:sz w:val="20"/>
          <w:szCs w:val="20"/>
          <w:color w:val="auto"/>
        </w:rPr>
      </w:pPr>
      <w:r>
        <w:rPr>
          <w:rFonts w:ascii="Times New Roman" w:cs="Times New Roman" w:eastAsia="Times New Roman" w:hAnsi="Times New Roman"/>
          <w:sz w:val="18"/>
          <w:szCs w:val="18"/>
          <w:color w:val="auto"/>
        </w:rPr>
        <w:t>Ponce de Leon Avenue NE</w:t>
      </w:r>
    </w:p>
    <w:p>
      <w:pPr>
        <w:ind w:left="1960"/>
        <w:spacing w:after="0" w:line="204" w:lineRule="auto"/>
        <w:rPr>
          <w:sz w:val="20"/>
          <w:szCs w:val="20"/>
          <w:color w:val="auto"/>
        </w:rPr>
      </w:pPr>
      <w:r>
        <w:rPr>
          <w:rFonts w:ascii="Times New Roman" w:cs="Times New Roman" w:eastAsia="Times New Roman" w:hAnsi="Times New Roman"/>
          <w:sz w:val="18"/>
          <w:szCs w:val="18"/>
          <w:color w:val="auto"/>
        </w:rPr>
        <w:t>7th Floor</w:t>
      </w:r>
    </w:p>
    <w:p>
      <w:pPr>
        <w:ind w:left="1960"/>
        <w:spacing w:after="0" w:line="203" w:lineRule="auto"/>
        <w:rPr>
          <w:sz w:val="20"/>
          <w:szCs w:val="20"/>
          <w:color w:val="auto"/>
        </w:rPr>
      </w:pPr>
      <w:r>
        <w:rPr>
          <w:rFonts w:ascii="Times New Roman" w:cs="Times New Roman" w:eastAsia="Times New Roman" w:hAnsi="Times New Roman"/>
          <w:sz w:val="18"/>
          <w:szCs w:val="18"/>
          <w:color w:val="auto"/>
        </w:rPr>
        <w:t>Atlanta, Georgia 30308</w:t>
      </w:r>
    </w:p>
    <w:p>
      <w:pPr>
        <w:ind w:left="1960"/>
        <w:spacing w:after="0" w:line="204" w:lineRule="auto"/>
        <w:rPr>
          <w:sz w:val="20"/>
          <w:szCs w:val="20"/>
          <w:color w:val="auto"/>
        </w:rPr>
      </w:pPr>
      <w:r>
        <w:rPr>
          <w:rFonts w:ascii="Times New Roman" w:cs="Times New Roman" w:eastAsia="Times New Roman" w:hAnsi="Times New Roman"/>
          <w:sz w:val="18"/>
          <w:szCs w:val="18"/>
          <w:color w:val="auto"/>
        </w:rPr>
        <w:t>Attention: General Counsel; Asset Manager, IDB Seaport</w:t>
      </w: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16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With a copy to:</w:t>
        <w:tab/>
        <w:t>IDB 17-19 Drydock Limited Partnership</w:t>
      </w:r>
    </w:p>
    <w:p>
      <w:pPr>
        <w:ind w:left="1960"/>
        <w:spacing w:after="0" w:line="203" w:lineRule="auto"/>
        <w:rPr>
          <w:sz w:val="20"/>
          <w:szCs w:val="20"/>
          <w:color w:val="auto"/>
        </w:rPr>
      </w:pPr>
      <w:r>
        <w:rPr>
          <w:rFonts w:ascii="Times New Roman" w:cs="Times New Roman" w:eastAsia="Times New Roman" w:hAnsi="Times New Roman"/>
          <w:sz w:val="18"/>
          <w:szCs w:val="18"/>
          <w:color w:val="auto"/>
        </w:rPr>
        <w:t>c/o Related Beal</w:t>
      </w:r>
    </w:p>
    <w:p>
      <w:pPr>
        <w:ind w:left="1960"/>
        <w:spacing w:after="0" w:line="219" w:lineRule="auto"/>
        <w:rPr>
          <w:sz w:val="20"/>
          <w:szCs w:val="20"/>
          <w:color w:val="auto"/>
        </w:rPr>
      </w:pPr>
      <w:r>
        <w:rPr>
          <w:rFonts w:ascii="Times New Roman" w:cs="Times New Roman" w:eastAsia="Times New Roman" w:hAnsi="Times New Roman"/>
          <w:sz w:val="18"/>
          <w:szCs w:val="18"/>
          <w:color w:val="auto"/>
        </w:rPr>
        <w:t>177 Milk Street, 2nd Floor</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Boston, MA 02109</w:t>
      </w:r>
    </w:p>
    <w:p>
      <w:pPr>
        <w:spacing w:after="0" w:line="16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And</w:t>
      </w:r>
    </w:p>
    <w:p>
      <w:pPr>
        <w:spacing w:after="0" w:line="18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Goulston &amp; Storrs PC</w:t>
      </w:r>
    </w:p>
    <w:p>
      <w:pPr>
        <w:ind w:left="1960"/>
        <w:spacing w:after="0" w:line="205" w:lineRule="auto"/>
        <w:rPr>
          <w:sz w:val="20"/>
          <w:szCs w:val="20"/>
          <w:color w:val="auto"/>
        </w:rPr>
      </w:pPr>
      <w:r>
        <w:rPr>
          <w:rFonts w:ascii="Times New Roman" w:cs="Times New Roman" w:eastAsia="Times New Roman" w:hAnsi="Times New Roman"/>
          <w:sz w:val="18"/>
          <w:szCs w:val="18"/>
          <w:color w:val="auto"/>
        </w:rPr>
        <w:t>400 Atlantic Avenue</w:t>
      </w:r>
    </w:p>
    <w:p>
      <w:pPr>
        <w:ind w:left="1960"/>
        <w:spacing w:after="0" w:line="204" w:lineRule="auto"/>
        <w:rPr>
          <w:sz w:val="20"/>
          <w:szCs w:val="20"/>
          <w:color w:val="auto"/>
        </w:rPr>
      </w:pPr>
      <w:r>
        <w:rPr>
          <w:rFonts w:ascii="Times New Roman" w:cs="Times New Roman" w:eastAsia="Times New Roman" w:hAnsi="Times New Roman"/>
          <w:sz w:val="18"/>
          <w:szCs w:val="18"/>
          <w:color w:val="auto"/>
        </w:rPr>
        <w:t>Boston, Massachusetts 02110-3333</w:t>
      </w:r>
    </w:p>
    <w:p>
      <w:pPr>
        <w:ind w:left="1960"/>
        <w:spacing w:after="0" w:line="219" w:lineRule="auto"/>
        <w:rPr>
          <w:sz w:val="20"/>
          <w:szCs w:val="20"/>
          <w:color w:val="auto"/>
        </w:rPr>
      </w:pPr>
      <w:r>
        <w:rPr>
          <w:rFonts w:ascii="Times New Roman" w:cs="Times New Roman" w:eastAsia="Times New Roman" w:hAnsi="Times New Roman"/>
          <w:sz w:val="18"/>
          <w:szCs w:val="18"/>
          <w:color w:val="auto"/>
        </w:rPr>
        <w:t>Attention: Amy Moody McGrath, Esq.</w:t>
      </w: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124"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18"/>
          <w:szCs w:val="18"/>
          <w:color w:val="auto"/>
        </w:rPr>
        <w:t>If to Tenant:</w:t>
        <w:tab/>
        <w:t>Prior to the Rent Commencement Date:</w:t>
      </w:r>
    </w:p>
    <w:p>
      <w:pPr>
        <w:ind w:left="1960"/>
        <w:spacing w:after="0" w:line="205" w:lineRule="auto"/>
        <w:rPr>
          <w:sz w:val="20"/>
          <w:szCs w:val="20"/>
          <w:color w:val="auto"/>
        </w:rPr>
      </w:pPr>
      <w:r>
        <w:rPr>
          <w:rFonts w:ascii="Times New Roman" w:cs="Times New Roman" w:eastAsia="Times New Roman" w:hAnsi="Times New Roman"/>
          <w:sz w:val="18"/>
          <w:szCs w:val="18"/>
          <w:color w:val="auto"/>
        </w:rPr>
        <w:t>Entrada Therapeutics, Inc.</w:t>
      </w:r>
    </w:p>
    <w:p>
      <w:pPr>
        <w:ind w:left="1960"/>
        <w:spacing w:after="0" w:line="204" w:lineRule="auto"/>
        <w:rPr>
          <w:sz w:val="20"/>
          <w:szCs w:val="20"/>
          <w:color w:val="auto"/>
        </w:rPr>
      </w:pPr>
      <w:r>
        <w:rPr>
          <w:rFonts w:ascii="Times New Roman" w:cs="Times New Roman" w:eastAsia="Times New Roman" w:hAnsi="Times New Roman"/>
          <w:sz w:val="18"/>
          <w:szCs w:val="18"/>
          <w:color w:val="auto"/>
        </w:rPr>
        <w:t>6 Tide Street</w:t>
      </w:r>
    </w:p>
    <w:p>
      <w:pPr>
        <w:ind w:left="1960"/>
        <w:spacing w:after="0" w:line="219" w:lineRule="auto"/>
        <w:rPr>
          <w:sz w:val="20"/>
          <w:szCs w:val="20"/>
          <w:color w:val="auto"/>
        </w:rPr>
      </w:pPr>
      <w:r>
        <w:rPr>
          <w:rFonts w:ascii="Times New Roman" w:cs="Times New Roman" w:eastAsia="Times New Roman" w:hAnsi="Times New Roman"/>
          <w:sz w:val="18"/>
          <w:szCs w:val="18"/>
          <w:color w:val="auto"/>
        </w:rPr>
        <w:t>Boston, MA 02210</w:t>
      </w:r>
    </w:p>
    <w:p>
      <w:pPr>
        <w:ind w:left="1960"/>
        <w:spacing w:after="0" w:line="203" w:lineRule="auto"/>
        <w:rPr>
          <w:sz w:val="20"/>
          <w:szCs w:val="20"/>
          <w:color w:val="auto"/>
        </w:rPr>
      </w:pPr>
      <w:r>
        <w:rPr>
          <w:rFonts w:ascii="Times New Roman" w:cs="Times New Roman" w:eastAsia="Times New Roman" w:hAnsi="Times New Roman"/>
          <w:sz w:val="18"/>
          <w:szCs w:val="18"/>
          <w:color w:val="auto"/>
        </w:rPr>
        <w:t>Attn: Nathan Dowden</w:t>
      </w:r>
    </w:p>
    <w:p>
      <w:pPr>
        <w:ind w:left="1960"/>
        <w:spacing w:after="0" w:line="204" w:lineRule="auto"/>
        <w:rPr>
          <w:sz w:val="20"/>
          <w:szCs w:val="20"/>
          <w:color w:val="auto"/>
        </w:rPr>
      </w:pPr>
      <w:r>
        <w:rPr>
          <w:rFonts w:ascii="Times New Roman" w:cs="Times New Roman" w:eastAsia="Times New Roman" w:hAnsi="Times New Roman"/>
          <w:sz w:val="18"/>
          <w:szCs w:val="18"/>
          <w:color w:val="auto"/>
        </w:rPr>
        <w:t>Following the Rent Commencement Date:</w:t>
      </w:r>
    </w:p>
    <w:p>
      <w:pPr>
        <w:ind w:left="1960"/>
        <w:spacing w:after="0"/>
        <w:rPr>
          <w:sz w:val="20"/>
          <w:szCs w:val="20"/>
          <w:color w:val="auto"/>
        </w:rPr>
      </w:pPr>
      <w:r>
        <w:rPr>
          <w:rFonts w:ascii="Times New Roman" w:cs="Times New Roman" w:eastAsia="Times New Roman" w:hAnsi="Times New Roman"/>
          <w:sz w:val="18"/>
          <w:szCs w:val="18"/>
          <w:color w:val="auto"/>
        </w:rPr>
        <w:t>17-19 Drydock Avenue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04" w:right="339" w:bottom="1440" w:gutter="0" w:footer="0" w:header="0"/>
        </w:sectPr>
      </w:pPr>
    </w:p>
    <w:bookmarkStart w:id="242" w:name="page243"/>
    <w:bookmarkEnd w:id="242"/>
    <w:p>
      <w:pPr>
        <w:spacing w:after="0" w:line="1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Boston, MA 02210</w:t>
      </w:r>
    </w:p>
    <w:p>
      <w:pPr>
        <w:ind w:left="1960"/>
        <w:spacing w:after="0" w:line="219" w:lineRule="auto"/>
        <w:rPr>
          <w:sz w:val="20"/>
          <w:szCs w:val="20"/>
          <w:color w:val="auto"/>
        </w:rPr>
      </w:pPr>
      <w:r>
        <w:rPr>
          <w:rFonts w:ascii="Times New Roman" w:cs="Times New Roman" w:eastAsia="Times New Roman" w:hAnsi="Times New Roman"/>
          <w:sz w:val="18"/>
          <w:szCs w:val="18"/>
          <w:color w:val="auto"/>
        </w:rPr>
        <w:t>Attn: Nathan Dowden</w:t>
      </w:r>
    </w:p>
    <w:p>
      <w:pPr>
        <w:ind w:left="1960"/>
        <w:spacing w:after="0" w:line="203" w:lineRule="auto"/>
        <w:rPr>
          <w:sz w:val="20"/>
          <w:szCs w:val="20"/>
          <w:color w:val="auto"/>
        </w:rPr>
      </w:pPr>
      <w:r>
        <w:rPr>
          <w:rFonts w:ascii="Times New Roman" w:cs="Times New Roman" w:eastAsia="Times New Roman" w:hAnsi="Times New Roman"/>
          <w:sz w:val="18"/>
          <w:szCs w:val="18"/>
          <w:color w:val="auto"/>
        </w:rPr>
        <w:t>In every instance with a copy to:</w:t>
      </w:r>
    </w:p>
    <w:p>
      <w:pPr>
        <w:ind w:left="1960"/>
        <w:spacing w:after="0" w:line="204" w:lineRule="auto"/>
        <w:rPr>
          <w:sz w:val="20"/>
          <w:szCs w:val="20"/>
          <w:color w:val="auto"/>
        </w:rPr>
      </w:pPr>
      <w:r>
        <w:rPr>
          <w:rFonts w:ascii="Times New Roman" w:cs="Times New Roman" w:eastAsia="Times New Roman" w:hAnsi="Times New Roman"/>
          <w:sz w:val="18"/>
          <w:szCs w:val="18"/>
          <w:color w:val="auto"/>
        </w:rPr>
        <w:t>Email: [***]</w:t>
      </w: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138"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All amounts of money payable by Tenant to Landlord under this Lease shall bear interest from the date due until paid at a rate equal to the lower of (a) twelve percent (12%) per annum, or (b) the maximum rate permitted by law, if any (such rate, the “Interest Rate”).</w:t>
      </w:r>
    </w:p>
    <w:p>
      <w:pPr>
        <w:spacing w:after="0" w:line="13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Merger of Estates</w:t>
      </w:r>
      <w:r>
        <w:rPr>
          <w:rFonts w:ascii="Times New Roman" w:cs="Times New Roman" w:eastAsia="Times New Roman" w:hAnsi="Times New Roman"/>
          <w:sz w:val="18"/>
          <w:szCs w:val="18"/>
          <w:color w:val="auto"/>
        </w:rPr>
        <w:t>. The voluntary or other surrender of this Lease by Tenant or a mutual cancellation thereof, shall not constitute a merger and shall, at the option of Landlord, either terminate all or any existing subleases or subtenancies, or operate as an assignment to Landlord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Tenant’s interest in any or all such subleases or subtenancies.</w:t>
      </w:r>
    </w:p>
    <w:p>
      <w:pPr>
        <w:spacing w:after="0" w:line="1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Other Tenants of Building</w:t>
      </w:r>
      <w:r>
        <w:rPr>
          <w:rFonts w:ascii="Times New Roman" w:cs="Times New Roman" w:eastAsia="Times New Roman" w:hAnsi="Times New Roman"/>
          <w:sz w:val="18"/>
          <w:szCs w:val="18"/>
          <w:color w:val="auto"/>
        </w:rPr>
        <w:t>. Neither this Lease nor Tenant’s continued occupancy of the Leased Premises is conditioned upon the opening of any store or business in the Building, nor upon the continued operation of any store or business.</w:t>
      </w:r>
    </w:p>
    <w:p>
      <w:pPr>
        <w:spacing w:after="0" w:line="109"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18"/>
          <w:szCs w:val="18"/>
          <w:color w:val="auto"/>
        </w:rPr>
        <w:t>Section 7.8</w:t>
      </w:r>
      <w:r>
        <w:rPr>
          <w:sz w:val="20"/>
          <w:szCs w:val="20"/>
          <w:color w:val="auto"/>
        </w:rPr>
        <w:tab/>
      </w:r>
      <w:r>
        <w:rPr>
          <w:rFonts w:ascii="Times New Roman" w:cs="Times New Roman" w:eastAsia="Times New Roman" w:hAnsi="Times New Roman"/>
          <w:sz w:val="18"/>
          <w:szCs w:val="18"/>
          <w:u w:val="single" w:color="auto"/>
          <w:color w:val="auto"/>
        </w:rPr>
        <w:t>Consent by Landlord</w:t>
      </w:r>
      <w:r>
        <w:rPr>
          <w:rFonts w:ascii="Times New Roman" w:cs="Times New Roman" w:eastAsia="Times New Roman" w:hAnsi="Times New Roman"/>
          <w:sz w:val="18"/>
          <w:szCs w:val="18"/>
          <w:color w:val="auto"/>
        </w:rPr>
        <w:t>. In all circumstances under this Lease where the prior consent or permission of Landlord is required before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Tenant is authorized to take any particular type of action, such consent must be in writing and unless this Lease expressly provides that such consent or permission is not to be unreasonably withheld, conditioned or delayed, the matter of whether to grant such consent of permission shall be within the sole and exclusive judgment and discretion of Landlord, and it shall not constitute any nature of breach by Landlord under this Lease or any defense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of any covenant, duty or obligation of Tenant under this Lease that Landlord delayed or withheld the granting of such consent of permission.</w:t>
      </w:r>
    </w:p>
    <w:p>
      <w:pPr>
        <w:spacing w:after="0" w:line="124" w:lineRule="exact"/>
        <w:rPr>
          <w:sz w:val="20"/>
          <w:szCs w:val="20"/>
          <w:color w:val="auto"/>
        </w:rPr>
      </w:pPr>
    </w:p>
    <w:p>
      <w:pPr>
        <w:ind w:left="66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7.9</w:t>
      </w:r>
      <w:r>
        <w:rPr>
          <w:sz w:val="20"/>
          <w:szCs w:val="20"/>
          <w:color w:val="auto"/>
        </w:rPr>
        <w:tab/>
      </w:r>
      <w:r>
        <w:rPr>
          <w:rFonts w:ascii="Times New Roman" w:cs="Times New Roman" w:eastAsia="Times New Roman" w:hAnsi="Times New Roman"/>
          <w:sz w:val="18"/>
          <w:szCs w:val="18"/>
          <w:u w:val="single" w:color="auto"/>
          <w:color w:val="auto"/>
        </w:rPr>
        <w:t>Legal Interpretation</w:t>
      </w:r>
      <w:r>
        <w:rPr>
          <w:rFonts w:ascii="Times New Roman" w:cs="Times New Roman" w:eastAsia="Times New Roman" w:hAnsi="Times New Roman"/>
          <w:sz w:val="18"/>
          <w:szCs w:val="18"/>
          <w:color w:val="auto"/>
        </w:rPr>
        <w:t>. This Lease and the rights and obligations of the parties hereto shall be interpreted, construed and enforced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accordance with the laws of the Commonwealth of Massachusetts and the United States. All obligations of the parties hereto are independent and shall be performable in, and all legal actions to enforce or construe this Lease shall be instituted in the courts of, Suffolk County, Massachusetts. The determination that one or more provisions of this Lease is invalid, void, illegal or unenforceable shall not affect or invalidate the remainder. All obligations of either party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requiring any performance after the expiration of the Lease Term shall survive the expiration of the Lease Term and shall be fully enforceable in accordance with those provisions pertaining thereto. Section titles appearing in this Lease are for convenient reference only and shall not be used to interpret or limit the meaning of any provision of this Lease.</w:t>
      </w:r>
    </w:p>
    <w:p>
      <w:pPr>
        <w:spacing w:after="0" w:line="13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Tenant agrees that this Lease supersedes and cancels any and all previous letters of intent, statements, negotiations, arrangements, brochures, agreements and understandings, if any, between Landlord and Tenant or displayed by Landlord to Tenant with</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respect to the subject matter of this Lease, the Leased Premises or the Building, and that there are no representations, agreements, or warranties (express or implied, oral or written) between Landlord and Tenant with respect to the subject matter of this Lease, the Leased Premises or the Building other than contained in this Lease.</w:t>
      </w:r>
    </w:p>
    <w:p>
      <w:pPr>
        <w:spacing w:after="0" w:line="131"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Assignment by Landlord</w:t>
      </w:r>
      <w:r>
        <w:rPr>
          <w:rFonts w:ascii="Times New Roman" w:cs="Times New Roman" w:eastAsia="Times New Roman" w:hAnsi="Times New Roman"/>
          <w:sz w:val="18"/>
          <w:szCs w:val="18"/>
          <w:color w:val="auto"/>
        </w:rPr>
        <w:t>. Landlord shall have the right at any time to transfer and assign in whole or in part, by operation of law or otherwise, its rights, benefits, privileges, duties and obligations hereunder or in the Building. Tenant agrees to look only to the Landlord hereunder for performance of such of Landlord’s obligations hereunder as arise during its period of ownership of the tenant’s interest in the Prime Lease.</w:t>
      </w:r>
    </w:p>
    <w:p>
      <w:pPr>
        <w:spacing w:after="0" w:line="13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Each of Landlord and Tenant represents and warrants to the other that it has the full right, power and authority to enter into this Lease and to perform its obligations hereunder, and that upon execution of this Lease by such party, this Lease shall constitute a valid and legally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binding obligation of such party. If Tenant signs as a corporation or other entity, each of the persons executing this Lease on behalf of Tenant does hereby covenant and warrant that Tenant is a duly and validly existing corporation or entity, that the execution of this Lease by such persons on behalf of Tenant has been duly authorized by all necessary corporate action and that Tenant is qualified to do business in the Commonwealth of Massachusetts.</w:t>
      </w:r>
    </w:p>
    <w:p>
      <w:pPr>
        <w:spacing w:after="0" w:line="13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Any provisions of this Lease to the contrary notwithstanding, Tenant hereby agrees that no personal, partnership or corporate liability of any kind or character whatsoever now attaches or at any time hereafter under any condition shall attach to Landlord or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its partners or venturers for payment of any amounts payable under this Lease or for the performance of any obligation under this Lease. The exclusive legal remedies of Tenant for the failure of Landlord to perform any of its obligations under this Lease shall be to proceed against the interest of Landlord in the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243" w:name="page244"/>
    <w:bookmarkEnd w:id="243"/>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Any provisions of this Lease to the contrary notwithstanding, Landlord hereby agrees that (i) no personal, partnership or corporate liability of any kind or character whatsoever now attaches or at any time hereafter under any condition shall attach to Tenant or its partners or venturers for payment of any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amounts payable under this Lease or for the performance of any obligation under this Lease, and (ii) except as expressly set forth in Section 7.22, in no event shall Tenant be responsible for any loss of business or any other indirect or consequential damages suffered by Landlord or any of its partners, subpartners and their respective officers, agents, servants, employees, lenders, any property manager and independent contractors, from whatever cause.</w:t>
      </w:r>
    </w:p>
    <w:p>
      <w:pPr>
        <w:spacing w:after="0" w:line="13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Time of the Essence</w:t>
      </w:r>
      <w:r>
        <w:rPr>
          <w:rFonts w:ascii="Times New Roman" w:cs="Times New Roman" w:eastAsia="Times New Roman" w:hAnsi="Times New Roman"/>
          <w:sz w:val="18"/>
          <w:szCs w:val="18"/>
          <w:color w:val="auto"/>
        </w:rPr>
        <w:t>. In all instances where Tenant is required under this Lease to pay any sum or do any act at a particular time or within a particular period, it is understood that time is of the essence with respect to such obligation of Tenant.</w:t>
      </w:r>
    </w:p>
    <w:p>
      <w:pPr>
        <w:spacing w:after="0" w:line="131" w:lineRule="exact"/>
        <w:rPr>
          <w:sz w:val="20"/>
          <w:szCs w:val="20"/>
          <w:color w:val="auto"/>
        </w:rPr>
      </w:pPr>
    </w:p>
    <w:p>
      <w:pPr>
        <w:jc w:val="both"/>
        <w:ind w:right="20"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7.15 </w:t>
      </w:r>
      <w:r>
        <w:rPr>
          <w:rFonts w:ascii="Times New Roman" w:cs="Times New Roman" w:eastAsia="Times New Roman" w:hAnsi="Times New Roman"/>
          <w:sz w:val="18"/>
          <w:szCs w:val="18"/>
          <w:u w:val="single" w:color="auto"/>
          <w:color w:val="auto"/>
        </w:rPr>
        <w:t>Instruments and Evidence Required to Be Submitted to Landlord</w:t>
      </w:r>
      <w:r>
        <w:rPr>
          <w:rFonts w:ascii="Times New Roman" w:cs="Times New Roman" w:eastAsia="Times New Roman" w:hAnsi="Times New Roman"/>
          <w:sz w:val="18"/>
          <w:szCs w:val="18"/>
          <w:color w:val="auto"/>
        </w:rPr>
        <w:t>. Each written instrument and all evidence of the existence or non-existence of any circumstances or conditions which is required by this Lease to be furnished to Landlord shall in all respects be in form and substance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satisfactory to Landlord, and the duty to furnish such written instrument or evidence shall not be considered satisfied until Landlord shall have acknowledged that it is satisfied therewith.</w:t>
      </w:r>
    </w:p>
    <w:p>
      <w:pPr>
        <w:spacing w:after="0" w:line="130"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Section 7.16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Lease is executed in any number of counterparts, each copy of which is identical, and any one of which shall be deemed to be complete in itself and may be introduced in evidence or used for any purpose without the production of the other copies. This Lease may be executed by electronic signature, which shall be considered as an original signature for all purposes and shall have the same force and effect as an original</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signature. Without limitation, in addition to electronically produced signatures, “electronic signature” shall include faxed versions of an original signature or electronically scanned and transmitted versions (e.g., via pdf or any electronic signature process complying with the U.S. federal ESIGN Act of 2000) of an original signature.</w:t>
      </w:r>
    </w:p>
    <w:p>
      <w:pPr>
        <w:spacing w:after="0" w:line="131"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7.17</w:t>
      </w:r>
      <w:r>
        <w:rPr>
          <w:sz w:val="20"/>
          <w:szCs w:val="20"/>
          <w:color w:val="auto"/>
        </w:rPr>
        <w:tab/>
      </w:r>
      <w:r>
        <w:rPr>
          <w:rFonts w:ascii="Times New Roman" w:cs="Times New Roman" w:eastAsia="Times New Roman" w:hAnsi="Times New Roman"/>
          <w:sz w:val="17"/>
          <w:szCs w:val="17"/>
          <w:u w:val="single" w:color="auto"/>
          <w:color w:val="auto"/>
        </w:rPr>
        <w:t>Gender</w:t>
      </w:r>
      <w:r>
        <w:rPr>
          <w:rFonts w:ascii="Times New Roman" w:cs="Times New Roman" w:eastAsia="Times New Roman" w:hAnsi="Times New Roman"/>
          <w:sz w:val="17"/>
          <w:szCs w:val="17"/>
          <w:color w:val="auto"/>
        </w:rPr>
        <w:t>. The pronouns of any gender shall include the other gender and either the singular or the plural shall include the other.</w:t>
      </w:r>
    </w:p>
    <w:p>
      <w:pPr>
        <w:spacing w:after="0" w:line="15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 xml:space="preserve">Section 7.18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Whenever a period of time is herein described for the taking of any action by Landlord or Tenant except for the payment of money, Landlord or Tenant, as the case may be, shall not be liable or responsible for, and there shall be excluded from the computation of such period of time, any delays due to Force Majeure.</w:t>
      </w:r>
    </w:p>
    <w:p>
      <w:pPr>
        <w:spacing w:after="0" w:line="13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 xml:space="preserve">Section 7.19 </w:t>
      </w:r>
      <w:r>
        <w:rPr>
          <w:rFonts w:ascii="Times New Roman" w:cs="Times New Roman" w:eastAsia="Times New Roman" w:hAnsi="Times New Roman"/>
          <w:sz w:val="18"/>
          <w:szCs w:val="18"/>
          <w:u w:val="single" w:color="auto"/>
          <w:color w:val="auto"/>
        </w:rPr>
        <w:t>Recordation</w:t>
      </w:r>
      <w:r>
        <w:rPr>
          <w:rFonts w:ascii="Times New Roman" w:cs="Times New Roman" w:eastAsia="Times New Roman" w:hAnsi="Times New Roman"/>
          <w:sz w:val="18"/>
          <w:szCs w:val="18"/>
          <w:color w:val="auto"/>
        </w:rPr>
        <w:t>. Except as otherwise agreed to by Landlord, Tenant agrees not to record this Lease, but upon the request of Tenant, Landlord shall execute a statutory notice of lease in form reasonably acceptable to Landlord.</w:t>
      </w:r>
    </w:p>
    <w:p>
      <w:pPr>
        <w:spacing w:after="0" w:line="13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7.20 </w:t>
      </w:r>
      <w:r>
        <w:rPr>
          <w:rFonts w:ascii="Times New Roman" w:cs="Times New Roman" w:eastAsia="Times New Roman" w:hAnsi="Times New Roman"/>
          <w:sz w:val="18"/>
          <w:szCs w:val="18"/>
          <w:u w:val="single" w:color="auto"/>
          <w:color w:val="auto"/>
        </w:rPr>
        <w:t>Prime Lease</w:t>
      </w:r>
      <w:r>
        <w:rPr>
          <w:rFonts w:ascii="Times New Roman" w:cs="Times New Roman" w:eastAsia="Times New Roman" w:hAnsi="Times New Roman"/>
          <w:sz w:val="18"/>
          <w:szCs w:val="18"/>
          <w:color w:val="auto"/>
        </w:rPr>
        <w:t>. Tenant recognizes and acknowledges the existence of the Prime Lease and that this Lease is a sublease of a portion of Landlord’s leasehold estate created by the Prime Lease. The termination of the Prime Lease for any reason whatsoever shall never constitute a default by</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 xml:space="preserve">Landlord hereunder nor shall such termination entitle Tenant to terminate this Lease or the payment of any rent or other sums due by Tenant hereunder. Tenant further agrees that this Lease is subject to all of the terms and provisions of the Prime Lease and hereby agrees to be bound by provisions thereof, including but not limited to the provisions relating to employment and non-discrimination. By execution hereof, Tenant hereby acknowledges that it has received a copy of all provisions of the Prime Lease relating to employment and non-discrimination all as set forth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attached hereto provided,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however, that the execution of this Lease by Landlord shall never be construed to be an approval hereof by the Prime Lessor, it being understood that the Prime Lessor cannot be bound by any act or omission of Landlord. If Prime Lessor shall request a modification of this Lease, Tenant shall not unreasonably withhold or delay its consent to a modification which does not adversely affect Tenant’s rights and privileges hereunder or impose material burdens on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Tenant. Tenant hereby acknowledges and agrees that all communications with Prime Lessor relating to this Lease shall be directed through Landlord and that Tenant shall not seek any approvals or otherwise communicate with Prime Lessor regarding this Lease without the approval of Landlord.</w:t>
      </w:r>
    </w:p>
    <w:p>
      <w:pPr>
        <w:spacing w:after="0" w:line="130"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Section 7.21 </w:t>
      </w:r>
      <w:r>
        <w:rPr>
          <w:rFonts w:ascii="Times New Roman" w:cs="Times New Roman" w:eastAsia="Times New Roman" w:hAnsi="Times New Roman"/>
          <w:sz w:val="18"/>
          <w:szCs w:val="18"/>
          <w:u w:val="single" w:color="auto"/>
          <w:color w:val="auto"/>
        </w:rPr>
        <w:t>Commissions</w:t>
      </w:r>
      <w:r>
        <w:rPr>
          <w:rFonts w:ascii="Times New Roman" w:cs="Times New Roman" w:eastAsia="Times New Roman" w:hAnsi="Times New Roman"/>
          <w:sz w:val="18"/>
          <w:szCs w:val="18"/>
          <w:color w:val="auto"/>
        </w:rPr>
        <w:t>. Tenant warrants and represents to Landlord that it has dealt with no broker except as described in Article I hereof. Tenant hereby agrees to defend, indemnify, and hold harmless Landlord, from and against any claim by third parties for brokerage, commissions, finders or other fees relative to this Lease or the leasing of space in the Building, and any court costs, attorneys’ fees or other costs or expenses arising therefrom,</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alleged to be due by any broker other than as described in Article I hereof. Landlord warrants and represents to Tenant that it has dealt with no broker except as described in Article I hereof. Landlord hereby agrees to defend, indemnify, and hold harmless Tenant, from and against any claim by third parties for brokerage, commissions, finders or other fees relative to this Lease or the leasing of space in the Building, and any court costs, attorneys’ fees or other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or expenses arising therefrom, alleged to be due by any broker.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04" w:right="339" w:bottom="1440" w:gutter="0" w:footer="0" w:header="0"/>
        </w:sectPr>
      </w:pPr>
    </w:p>
    <w:bookmarkStart w:id="244" w:name="page245"/>
    <w:bookmarkEnd w:id="244"/>
    <w:p>
      <w:pPr>
        <w:jc w:val="both"/>
        <w:ind w:firstLine="648"/>
        <w:spacing w:after="0" w:line="236" w:lineRule="auto"/>
        <w:rPr>
          <w:sz w:val="20"/>
          <w:szCs w:val="20"/>
          <w:color w:val="auto"/>
        </w:rPr>
      </w:pPr>
      <w:r>
        <w:rPr>
          <w:rFonts w:ascii="Times New Roman" w:cs="Times New Roman" w:eastAsia="Times New Roman" w:hAnsi="Times New Roman"/>
          <w:sz w:val="17"/>
          <w:szCs w:val="17"/>
          <w:color w:val="auto"/>
        </w:rPr>
        <w:t xml:space="preserve">Section 7.22 </w:t>
      </w:r>
      <w:r>
        <w:rPr>
          <w:rFonts w:ascii="Times New Roman" w:cs="Times New Roman" w:eastAsia="Times New Roman" w:hAnsi="Times New Roman"/>
          <w:sz w:val="17"/>
          <w:szCs w:val="17"/>
          <w:u w:val="single" w:color="auto"/>
          <w:color w:val="auto"/>
        </w:rPr>
        <w:t>Surrender of Premises and Holding Over</w:t>
      </w:r>
      <w:r>
        <w:rPr>
          <w:rFonts w:ascii="Times New Roman" w:cs="Times New Roman" w:eastAsia="Times New Roman" w:hAnsi="Times New Roman"/>
          <w:sz w:val="17"/>
          <w:szCs w:val="17"/>
          <w:color w:val="auto"/>
        </w:rPr>
        <w:t>. If Tenant shall remain in possession of the Leased Premises without extension after the expiration of the Lease Term, Tenant shall hold as a tenant at sufferance, at a charge for use and occupancy, and not as rent, of the Leased Premises (x) with</w:t>
      </w:r>
    </w:p>
    <w:p>
      <w:pPr>
        <w:jc w:val="both"/>
        <w:spacing w:after="0" w:line="208" w:lineRule="auto"/>
        <w:rPr>
          <w:sz w:val="20"/>
          <w:szCs w:val="20"/>
          <w:color w:val="auto"/>
        </w:rPr>
      </w:pPr>
      <w:r>
        <w:rPr>
          <w:rFonts w:ascii="Times New Roman" w:cs="Times New Roman" w:eastAsia="Times New Roman" w:hAnsi="Times New Roman"/>
          <w:sz w:val="18"/>
          <w:szCs w:val="18"/>
          <w:color w:val="auto"/>
        </w:rPr>
        <w:t>respect to any holdover period up to sixty (60) days after the Expiration Date, equal to one hundred and fifty percent (150%) of the highest monthly installment of Base Rent applicable during the Lease Term plus all Additional Rent during such period of time; and (y) with respect to any holdover period after such initial sixty (60) day period, equal to two hundred percent (200%) of the highest monthly installment of Base Rent applicable during the Lease</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Term plus all Additional Rent during such period of time. In all other respects Landlord and Tenant shall be subject to the terms, provisions and conditions of this Lease, provided in the event such holdover continues for more than sixty (60) days, Tenant shall be liable for all damages incurred by Landlord as a result of Tenant holding over. No surrender to Landlord of this Lease or of the Leased Premises or any part thereof or of any interest therein by Tenant shall</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be valid or effective unless required by the provisions of this Lease or unless agreed to and accepted in writing by Landlord. No act on the part of any representative or agent of Landlord, and no act on the part of Landlord other than such a written agreement acceptance by Landlord, shall constitute or be deemed an acceptance of any such surrender.</w:t>
      </w:r>
    </w:p>
    <w:p>
      <w:pPr>
        <w:spacing w:after="0" w:line="131" w:lineRule="exact"/>
        <w:rPr>
          <w:sz w:val="20"/>
          <w:szCs w:val="20"/>
          <w:color w:val="auto"/>
        </w:rPr>
      </w:pPr>
    </w:p>
    <w:p>
      <w:pPr>
        <w:jc w:val="both"/>
        <w:ind w:firstLine="648"/>
        <w:spacing w:after="0" w:line="195" w:lineRule="auto"/>
        <w:rPr>
          <w:sz w:val="20"/>
          <w:szCs w:val="20"/>
          <w:color w:val="auto"/>
        </w:rPr>
      </w:pPr>
      <w:r>
        <w:rPr>
          <w:rFonts w:ascii="Times New Roman" w:cs="Times New Roman" w:eastAsia="Times New Roman" w:hAnsi="Times New Roman"/>
          <w:sz w:val="18"/>
          <w:szCs w:val="18"/>
          <w:color w:val="auto"/>
        </w:rPr>
        <w:t xml:space="preserve">Section 7.23 </w:t>
      </w:r>
      <w:r>
        <w:rPr>
          <w:rFonts w:ascii="Times New Roman" w:cs="Times New Roman" w:eastAsia="Times New Roman" w:hAnsi="Times New Roman"/>
          <w:sz w:val="18"/>
          <w:szCs w:val="18"/>
          <w:u w:val="single" w:color="auto"/>
          <w:color w:val="auto"/>
        </w:rPr>
        <w:t>Relocation of Premises</w:t>
      </w:r>
      <w:r>
        <w:rPr>
          <w:rFonts w:ascii="Times New Roman" w:cs="Times New Roman" w:eastAsia="Times New Roman" w:hAnsi="Times New Roman"/>
          <w:sz w:val="18"/>
          <w:szCs w:val="18"/>
          <w:color w:val="auto"/>
        </w:rPr>
        <w:t>. Landlord reserves the unrestricted and unconditional right, upon one hundred eighty (180) days’ notice from Landlord to Tenant (a “Relocation Notice”), to relocate the portion of the Leased Premises located on the sixth (6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floor as of the date hereof (as the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same may be relocated from time to time, the “Relocation Premises”) and to provide and furnish Tenant with replacement premises for such Relocation Premises elsewhere within the Building with such replacement premises to be approximately the same size, same configuration and buildout as the Relocation Premises and located vertically or horizontally contiguous to the remainder of the Leased Premises (such replacement premises being referred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as the “Substitute Premises”), and to thereafter relocate Tenant from the Relocation Premises to the Substitute Premises. If Landlord relocates Tenant to the Substitute Premises, then Landlord shall, at its sole cost and expense, improve the Substitute Premises in a manner substantially comparable to the Relocation Premises immediately preceding such relocation, and on the date specified on the Relocation Notice Landlord shall move the equipment,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personal property and personnel of Tenant to the Substitute Premises and shall reinstall and reconstruct such improvements, equipment and personal property in the Substitute Premises in a manner and fashion reasonably comparable to the Relocation Premises. Upon the exercise by Landlord of the foregoing relocation right, this Lease and each of the terms, covenants and conditions hereof shall remain in full force and effect and be applicable to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Substitute Premises, including, no increase in (a) the Base Rent payable by Tenant or (b) Tenant’s Proportionate Share. In such event, effective as of the date specified in the Relocation Notice, Tenant shall vacate and surrender the Relocation Premises in accordance with the terms and conditions of this Lease, and the Substitute Premises shall thereafter be deemed to be substituted for the Relocation Premises and Tenant shall have no further rights or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interests in or to the Relocation Premises. After delivery of a Relocation Notice, the provisions of this Section 7.23 shall be self-operative; however, at either party’s request, Landlord and Tenant shall enter into an amendment of this Lease confirming the relocation of the Relocation Premises.</w:t>
      </w:r>
    </w:p>
    <w:p>
      <w:pPr>
        <w:spacing w:after="0" w:line="130"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 xml:space="preserve">Section 7.24 </w:t>
      </w:r>
      <w:r>
        <w:rPr>
          <w:rFonts w:ascii="Times New Roman" w:cs="Times New Roman" w:eastAsia="Times New Roman" w:hAnsi="Times New Roman"/>
          <w:sz w:val="18"/>
          <w:szCs w:val="18"/>
          <w:u w:val="single" w:color="auto"/>
          <w:color w:val="auto"/>
        </w:rPr>
        <w:t>When Lease Becomes Binding</w:t>
      </w:r>
      <w:r>
        <w:rPr>
          <w:rFonts w:ascii="Times New Roman" w:cs="Times New Roman" w:eastAsia="Times New Roman" w:hAnsi="Times New Roman"/>
          <w:sz w:val="18"/>
          <w:szCs w:val="18"/>
          <w:color w:val="auto"/>
        </w:rPr>
        <w:t>. The submission of this document for examination and negotiation does not constitute an offer to lease, or a reservation of, or option for, the Leased Premises, and this document shall become effective and binding only upon the execution and delivery hereof by both Landlord and Tenant.</w:t>
      </w:r>
    </w:p>
    <w:p>
      <w:pPr>
        <w:spacing w:after="0" w:line="131"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 xml:space="preserve">Section 7.25 </w:t>
      </w:r>
      <w:r>
        <w:rPr>
          <w:rFonts w:ascii="Times New Roman" w:cs="Times New Roman" w:eastAsia="Times New Roman" w:hAnsi="Times New Roman"/>
          <w:sz w:val="18"/>
          <w:szCs w:val="18"/>
          <w:u w:val="single" w:color="auto"/>
          <w:color w:val="auto"/>
        </w:rPr>
        <w:t>No Construction Against Drafting Party</w:t>
      </w:r>
      <w:r>
        <w:rPr>
          <w:rFonts w:ascii="Times New Roman" w:cs="Times New Roman" w:eastAsia="Times New Roman" w:hAnsi="Times New Roman"/>
          <w:sz w:val="18"/>
          <w:szCs w:val="18"/>
          <w:color w:val="auto"/>
        </w:rPr>
        <w:t>. Landlord and Tenant acknowledge that each of them and their counsel have had an opportunity to review this Lease and that this Lease will not be construed against either party merely because its counsel has prepared it.</w:t>
      </w:r>
    </w:p>
    <w:p>
      <w:pPr>
        <w:spacing w:after="0" w:line="131"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Section 7.26 </w:t>
      </w:r>
      <w:r>
        <w:rPr>
          <w:rFonts w:ascii="Times New Roman" w:cs="Times New Roman" w:eastAsia="Times New Roman" w:hAnsi="Times New Roman"/>
          <w:sz w:val="18"/>
          <w:szCs w:val="18"/>
          <w:u w:val="single" w:color="auto"/>
          <w:color w:val="auto"/>
        </w:rPr>
        <w:t>OFAC List</w:t>
      </w:r>
      <w:r>
        <w:rPr>
          <w:rFonts w:ascii="Times New Roman" w:cs="Times New Roman" w:eastAsia="Times New Roman" w:hAnsi="Times New Roman"/>
          <w:sz w:val="18"/>
          <w:szCs w:val="18"/>
          <w:color w:val="auto"/>
        </w:rPr>
        <w:t>. Tenant represents and warrants that it is not listed, nor is it owned or controlled by, or acting for or on behalf of any person or entity, on the list of Specially Designated Nationals and Blocked Persons maintained by the Office of Foreign Assets Control of the United States Department of the Treasury, or any other list of persons or entities with whom Landlord is restricted from doing business with (“OFAC List”).</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Notwithstanding anything to the contrary herein contained, Tenant shall not permit the Leased Premises or any portion thereof to be used, occupied or operated by or for the benefit of any person or entity that is on the OFAC List. Tenant shall provide documentary and other evidence of Tenant’s identity and ownership as may be reasonably requested by Landlord at any time to enable Landlord to verify Tenant’s identity or to comply with any Requirement.</w:t>
      </w:r>
    </w:p>
    <w:p>
      <w:pPr>
        <w:spacing w:after="0" w:line="13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7.27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Tenant and Landlord acknowledge that the terms and conditions of this Lease are to remain confidential for both parties’ benefit and may not be disclosed by either party to anyone, by any manner or means, directly or indirectly, without the other party’s prior written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consent, except (i) in litigation between Landlord and Tenant, (ii) if required by court order, or (iii) as required by applicable law or regulation. Notwithstanding the immediately preceding sentence, each party shall have the right to disclose such information to its lenders or investors, and potential lenders or investors, attorneys, accountants, and consultants, provided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04" w:right="339" w:bottom="1440" w:gutter="0" w:footer="0" w:header="0"/>
        </w:sectPr>
      </w:pPr>
    </w:p>
    <w:bookmarkStart w:id="245" w:name="page246"/>
    <w:bookmarkEnd w:id="245"/>
    <w:p>
      <w:pPr>
        <w:jc w:val="both"/>
        <w:spacing w:after="0" w:line="237" w:lineRule="auto"/>
        <w:rPr>
          <w:sz w:val="20"/>
          <w:szCs w:val="20"/>
          <w:color w:val="auto"/>
        </w:rPr>
      </w:pPr>
      <w:r>
        <w:rPr>
          <w:rFonts w:ascii="Times New Roman" w:cs="Times New Roman" w:eastAsia="Times New Roman" w:hAnsi="Times New Roman"/>
          <w:sz w:val="18"/>
          <w:szCs w:val="18"/>
          <w:color w:val="auto"/>
        </w:rPr>
        <w:t>disclosing party instructs such persons to keep such information confidential. Nothing contained in this Lease is intended to prohibit Tenant from filing this Lease with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to the extent that Tenant is required to do so pursuant to applicable SEC requirements.</w:t>
      </w:r>
    </w:p>
    <w:p>
      <w:pPr>
        <w:spacing w:after="0" w:line="13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7.28 </w:t>
      </w:r>
      <w:r>
        <w:rPr>
          <w:rFonts w:ascii="Times New Roman" w:cs="Times New Roman" w:eastAsia="Times New Roman" w:hAnsi="Times New Roman"/>
          <w:sz w:val="18"/>
          <w:szCs w:val="18"/>
          <w:u w:val="single" w:color="auto"/>
          <w:color w:val="auto"/>
        </w:rPr>
        <w:t>Sustainability</w:t>
      </w:r>
      <w:r>
        <w:rPr>
          <w:rFonts w:ascii="Times New Roman" w:cs="Times New Roman" w:eastAsia="Times New Roman" w:hAnsi="Times New Roman"/>
          <w:sz w:val="18"/>
          <w:szCs w:val="18"/>
          <w:color w:val="auto"/>
        </w:rPr>
        <w:t>. Tenant acknowledges that the Building is or may be in the future certified/rated pursuant to or operated to meet one or more Green Building Standards. As and when requested by Landlord during the Lease Term, Tenant shall provide Landlord (in the format reasonably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requested by Landlord and reasonably necessary or desirable to comply with the requirements of the applicable Green Building Standards or any commissioning or re-commissioning of Building systems) with data concerning Tenant’s energy consumption, water consumption, waste recycling, and the operation of Building systems, to the extent such information is not readily available by Landlord. Such data may include, but shall not be limited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Tenant’s operating hours, the number of on-site personnel, the types of equipment used at the Building (including computer equipment, if applicable), office supply purchases, light bulb purchases, waste and recycling manifests (including gross waste generated and diverted to landfill), cleaning product materials (both chemicals and paper products), environmental characteristics (e.g. landscaping, bicycle racks), as applicable, and energy use and cost.</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Landlord shall have no liability to Tenant if, once obtained, any such Green Building Standards rating or certification lapses and is not reinstated by Landlord. Tenant and any occupants of the Leased Premises shall comply with the Building’s Sustainability Practices and the applicable Green Building Standards, if any, so long as the foregoing shall not interfere with Tenant’s use of the Premises for the Permitted Uses hereunder. Landlord and Tenant agree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to share data needed for third party rating systems such as LEED, GRESB and ENERGY STAR, and Tenant agrees that Landlord may provide data from Tenant to Landlord’s consultants, lenders or prospective lenders, purchasers or prospective purchasers, or other third parties having a reasonable need to know such information.</w:t>
      </w:r>
    </w:p>
    <w:p>
      <w:pPr>
        <w:spacing w:after="0" w:line="12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As used in this Lease, the term “</w:t>
      </w:r>
      <w:r>
        <w:rPr>
          <w:rFonts w:ascii="Times New Roman" w:cs="Times New Roman" w:eastAsia="Times New Roman" w:hAnsi="Times New Roman"/>
          <w:sz w:val="18"/>
          <w:szCs w:val="18"/>
          <w:b w:val="1"/>
          <w:bCs w:val="1"/>
          <w:color w:val="auto"/>
        </w:rPr>
        <w:t>Building’s Sustainability Practices</w:t>
      </w:r>
      <w:r>
        <w:rPr>
          <w:rFonts w:ascii="Times New Roman" w:cs="Times New Roman" w:eastAsia="Times New Roman" w:hAnsi="Times New Roman"/>
          <w:sz w:val="18"/>
          <w:szCs w:val="18"/>
          <w:color w:val="auto"/>
        </w:rPr>
        <w:t>” means the operations and maintenance practices for the Building, whether incorporated into the Building Rules, separate written sustainability policies or otherwise reasonably implemented by Landlord with respect to the Project,</w:t>
      </w:r>
    </w:p>
    <w:p>
      <w:pPr>
        <w:jc w:val="both"/>
        <w:spacing w:after="0" w:line="208" w:lineRule="auto"/>
        <w:rPr>
          <w:sz w:val="20"/>
          <w:szCs w:val="20"/>
          <w:color w:val="auto"/>
        </w:rPr>
      </w:pPr>
      <w:r>
        <w:rPr>
          <w:rFonts w:ascii="Times New Roman" w:cs="Times New Roman" w:eastAsia="Times New Roman" w:hAnsi="Times New Roman"/>
          <w:sz w:val="18"/>
          <w:szCs w:val="18"/>
          <w:color w:val="auto"/>
        </w:rPr>
        <w:t>as the same may be revised from time to time, addressing, among other things: energy efficiency; energy measurement and reporting; water usage; recycling, composting, and waste management; indoor air quality; and cleaning chemical use. As used in this Lease, the term “</w:t>
      </w:r>
      <w:r>
        <w:rPr>
          <w:rFonts w:ascii="Times New Roman" w:cs="Times New Roman" w:eastAsia="Times New Roman" w:hAnsi="Times New Roman"/>
          <w:sz w:val="18"/>
          <w:szCs w:val="18"/>
          <w:b w:val="1"/>
          <w:bCs w:val="1"/>
          <w:color w:val="auto"/>
        </w:rPr>
        <w:t>Green Building Standards</w:t>
      </w:r>
      <w:r>
        <w:rPr>
          <w:rFonts w:ascii="Times New Roman" w:cs="Times New Roman" w:eastAsia="Times New Roman" w:hAnsi="Times New Roman"/>
          <w:sz w:val="18"/>
          <w:szCs w:val="18"/>
          <w:color w:val="auto"/>
        </w:rPr>
        <w:t>” means one or more of the following: the U.S. EPA’s Energy Star® Portfolio Manager, the Green Building Initiative’s Green Globes™ building rating</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system, the U.S. Green Building Council’s Leadership in Energy and Environmental Design (LEED®) building rating system, the ASHRAE Building Energy Quotient (BEQ), the Global Real Estate Sustainability Benchmark (GRESB), or other standard for high performance buildings adopted by Landlord with respect to the Project, as the same may be revised from time to time.</w:t>
      </w:r>
    </w:p>
    <w:p>
      <w:pPr>
        <w:spacing w:after="0" w:line="131"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7.29</w:t>
      </w:r>
      <w:r>
        <w:rPr>
          <w:sz w:val="20"/>
          <w:szCs w:val="20"/>
          <w:color w:val="auto"/>
        </w:rPr>
        <w:tab/>
      </w:r>
      <w:r>
        <w:rPr>
          <w:rFonts w:ascii="Times New Roman" w:cs="Times New Roman" w:eastAsia="Times New Roman" w:hAnsi="Times New Roman"/>
          <w:sz w:val="17"/>
          <w:szCs w:val="17"/>
          <w:u w:val="single" w:color="auto"/>
          <w:color w:val="auto"/>
        </w:rPr>
        <w:t>Intentionally omitted</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Section 7.30 </w:t>
      </w:r>
      <w:r>
        <w:rPr>
          <w:rFonts w:ascii="Times New Roman" w:cs="Times New Roman" w:eastAsia="Times New Roman" w:hAnsi="Times New Roman"/>
          <w:sz w:val="18"/>
          <w:szCs w:val="18"/>
          <w:u w:val="single" w:color="auto"/>
          <w:color w:val="auto"/>
        </w:rPr>
        <w:t>Parking</w:t>
      </w:r>
      <w:r>
        <w:rPr>
          <w:rFonts w:ascii="Times New Roman" w:cs="Times New Roman" w:eastAsia="Times New Roman" w:hAnsi="Times New Roman"/>
          <w:sz w:val="18"/>
          <w:szCs w:val="18"/>
          <w:color w:val="auto"/>
        </w:rPr>
        <w:t>. Subject to the provisions hereof, during the Lease Term, Tenant shall have the right to one (1) parking space per 5,000 rentable square feet of the Leased Premises (i.e., sixteen (16) parking spaces based on 81,442 rentable square feet of the Leased Premises) (collectively, the “</w:t>
      </w:r>
      <w:r>
        <w:rPr>
          <w:rFonts w:ascii="Times New Roman" w:cs="Times New Roman" w:eastAsia="Times New Roman" w:hAnsi="Times New Roman"/>
          <w:sz w:val="18"/>
          <w:szCs w:val="18"/>
          <w:b w:val="1"/>
          <w:bCs w:val="1"/>
          <w:color w:val="auto"/>
        </w:rPr>
        <w:t>Parking Spaces</w:t>
      </w:r>
      <w:r>
        <w:rPr>
          <w:rFonts w:ascii="Times New Roman" w:cs="Times New Roman" w:eastAsia="Times New Roman" w:hAnsi="Times New Roman"/>
          <w:sz w:val="18"/>
          <w:szCs w:val="18"/>
          <w:color w:val="auto"/>
        </w:rPr>
        <w:t>”) in the BMIP parking garage (“</w:t>
      </w:r>
      <w:r>
        <w:rPr>
          <w:rFonts w:ascii="Times New Roman" w:cs="Times New Roman" w:eastAsia="Times New Roman" w:hAnsi="Times New Roman"/>
          <w:sz w:val="18"/>
          <w:szCs w:val="18"/>
          <w:b w:val="1"/>
          <w:bCs w:val="1"/>
          <w:color w:val="auto"/>
        </w:rPr>
        <w:t>BMIP Garage</w:t>
      </w:r>
      <w:r>
        <w:rPr>
          <w:rFonts w:ascii="Times New Roman" w:cs="Times New Roman" w:eastAsia="Times New Roman" w:hAnsi="Times New Roman"/>
          <w:sz w:val="18"/>
          <w:szCs w:val="18"/>
          <w:color w:val="auto"/>
        </w:rPr>
        <w:t>”) located at 12 Drydock Avenue. Tenant shall pay, as Additional Rent, (i) a monthly</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parking charge for the Parking Spaces, which charge is currently $450.00 per month, per space, which rate may be increased from time to time. The Parking Spaces shall be used only for parking duly registered and operating private passenger motor vehicles owned and operated by Tenant or its employees and for visitor parking. Except to the extent resulting from the gross negligence or willful misconduct of Landlord or any of Landlord’s agents, employees or contractors, neither the Landlord nor any operator shall be liable for any loss, injury or damage to persons using the Parking Spaces 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automobiles or other property therein, and, to the fullest extent permitted by law, the use of the Parking Spaces shall be at the sole risk of Tenant and its employees. Visitor parking is available in the BMIP Garage, on a first come, first serve basis for parking for all tenants in the Marine Industrial Park, at hourly parking rates, but, except as expressly set forth herein, Tenant has no particular rights in such garage except for the rights of the general public to</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park in such garage and the right to utilize any spaces in the BMIP garage that are available to Landlord under the Prime Lease on a first-come, first serve basis.</w:t>
      </w:r>
    </w:p>
    <w:p>
      <w:pPr>
        <w:spacing w:after="0" w:line="12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48" w:lineRule="exact"/>
        <w:rPr>
          <w:sz w:val="20"/>
          <w:szCs w:val="20"/>
          <w:color w:val="auto"/>
        </w:rPr>
      </w:pPr>
    </w:p>
    <w:p>
      <w:pPr>
        <w:ind w:left="66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8.1</w:t>
      </w:r>
      <w:r>
        <w:rPr>
          <w:sz w:val="20"/>
          <w:szCs w:val="20"/>
          <w:color w:val="auto"/>
        </w:rPr>
        <w:tab/>
      </w:r>
      <w:r>
        <w:rPr>
          <w:rFonts w:ascii="Times New Roman" w:cs="Times New Roman" w:eastAsia="Times New Roman" w:hAnsi="Times New Roman"/>
          <w:sz w:val="18"/>
          <w:szCs w:val="18"/>
          <w:u w:val="single" w:color="auto"/>
          <w:color w:val="auto"/>
        </w:rPr>
        <w:t>Renewal Term</w:t>
      </w:r>
      <w:r>
        <w:rPr>
          <w:rFonts w:ascii="Times New Roman" w:cs="Times New Roman" w:eastAsia="Times New Roman" w:hAnsi="Times New Roman"/>
          <w:sz w:val="18"/>
          <w:szCs w:val="18"/>
          <w:color w:val="auto"/>
        </w:rPr>
        <w:t>. Tenant shall have the right to renew the Lease Term for all of the Leased Premises for one (1) renewal term of five</w:t>
      </w:r>
    </w:p>
    <w:p>
      <w:pPr>
        <w:spacing w:after="0" w:line="2" w:lineRule="exact"/>
        <w:rPr>
          <w:sz w:val="20"/>
          <w:szCs w:val="20"/>
          <w:color w:val="auto"/>
        </w:rPr>
      </w:pPr>
    </w:p>
    <w:p>
      <w:pPr>
        <w:jc w:val="both"/>
        <w:ind w:firstLine="8"/>
        <w:spacing w:after="0" w:line="213" w:lineRule="auto"/>
        <w:tabs>
          <w:tab w:leader="none" w:pos="25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(the “</w:t>
      </w:r>
      <w:r>
        <w:rPr>
          <w:rFonts w:ascii="Times New Roman" w:cs="Times New Roman" w:eastAsia="Times New Roman" w:hAnsi="Times New Roman"/>
          <w:sz w:val="18"/>
          <w:szCs w:val="18"/>
          <w:b w:val="1"/>
          <w:bCs w:val="1"/>
          <w:color w:val="auto"/>
        </w:rPr>
        <w:t>Renewal Term</w:t>
      </w:r>
      <w:r>
        <w:rPr>
          <w:rFonts w:ascii="Times New Roman" w:cs="Times New Roman" w:eastAsia="Times New Roman" w:hAnsi="Times New Roman"/>
          <w:sz w:val="18"/>
          <w:szCs w:val="18"/>
          <w:color w:val="auto"/>
        </w:rPr>
        <w:t>”) commencing on the day after the expiration of the initial Term (the “Renewal Term Commencement Date”) and ending on the day preceding the fifth (5th) anniversary of the Renewal Term Commencement Date, unless the Renewal Term shall sooner terminate pursuant to any of the terms of this Lease or otherwise. The Renewal Term shall commence only if (a) Tenant notifies Landlord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of Tenant’s exercise of such renewal right not later than twelve (12) months prior to the Expiration Date and no earlier than fifteen (15) months prior to the Expiration Date, (b) at the time of the exercise of such right and immediately prior to the Renewal Term Commencement Date, no Event of Default shall have occurred and be continuing hereunder, and (c) Tenant or a Permitted Transferee occupies not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04" w:right="339" w:bottom="1440" w:gutter="0" w:footer="0" w:header="0"/>
        </w:sectPr>
      </w:pPr>
    </w:p>
    <w:bookmarkStart w:id="246" w:name="page247"/>
    <w:bookmarkEnd w:id="246"/>
    <w:p>
      <w:pPr>
        <w:jc w:val="both"/>
        <w:ind w:right="20"/>
        <w:spacing w:after="0" w:line="236" w:lineRule="auto"/>
        <w:rPr>
          <w:sz w:val="20"/>
          <w:szCs w:val="20"/>
          <w:color w:val="auto"/>
        </w:rPr>
      </w:pPr>
      <w:r>
        <w:rPr>
          <w:rFonts w:ascii="Times New Roman" w:cs="Times New Roman" w:eastAsia="Times New Roman" w:hAnsi="Times New Roman"/>
          <w:sz w:val="17"/>
          <w:szCs w:val="17"/>
          <w:color w:val="auto"/>
        </w:rPr>
        <w:t>than seventy percent (70%) of the original Leased Premises at the time the Exercise Notice is given. The Renewal Term shall be upon all of the agreements, terms, covenants and conditions of this Lease, except that (w) the Base Rent shall be the Fair Market Value (as defined below), and (x) Tenant shall have no</w:t>
      </w:r>
    </w:p>
    <w:p>
      <w:pPr>
        <w:jc w:val="both"/>
        <w:spacing w:after="0" w:line="226" w:lineRule="auto"/>
        <w:rPr>
          <w:sz w:val="20"/>
          <w:szCs w:val="20"/>
          <w:color w:val="auto"/>
        </w:rPr>
      </w:pPr>
      <w:r>
        <w:rPr>
          <w:rFonts w:ascii="Times New Roman" w:cs="Times New Roman" w:eastAsia="Times New Roman" w:hAnsi="Times New Roman"/>
          <w:sz w:val="18"/>
          <w:szCs w:val="18"/>
          <w:color w:val="auto"/>
        </w:rPr>
        <w:t>further right to renew the Lease Term. Any termination, cancellation or surrender of the entire interest of Tenant under this Lease at any time during the Lease Term shall terminate the foregoing right of renewal of Tenant hereunder.</w:t>
      </w:r>
    </w:p>
    <w:p>
      <w:pPr>
        <w:spacing w:after="0" w:line="119"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8.2</w:t>
      </w:r>
      <w:r>
        <w:rPr>
          <w:sz w:val="20"/>
          <w:szCs w:val="20"/>
          <w:color w:val="auto"/>
        </w:rPr>
        <w:tab/>
      </w:r>
      <w:r>
        <w:rPr>
          <w:rFonts w:ascii="Times New Roman" w:cs="Times New Roman" w:eastAsia="Times New Roman" w:hAnsi="Times New Roman"/>
          <w:sz w:val="18"/>
          <w:szCs w:val="18"/>
          <w:u w:val="single" w:color="auto"/>
          <w:color w:val="auto"/>
        </w:rPr>
        <w:t>Renewal Term Rent</w:t>
      </w:r>
      <w:r>
        <w:rPr>
          <w:rFonts w:ascii="Times New Roman" w:cs="Times New Roman" w:eastAsia="Times New Roman" w:hAnsi="Times New Roman"/>
          <w:sz w:val="18"/>
          <w:szCs w:val="18"/>
          <w:color w:val="auto"/>
        </w:rPr>
        <w:t>. The annual Base Rent payable during the Renewal Term shall be equal to the greater of (i) 100% of the annual</w:t>
      </w:r>
    </w:p>
    <w:p>
      <w:pPr>
        <w:spacing w:after="0" w:line="203" w:lineRule="auto"/>
        <w:rPr>
          <w:sz w:val="20"/>
          <w:szCs w:val="20"/>
          <w:color w:val="auto"/>
        </w:rPr>
      </w:pPr>
      <w:r>
        <w:rPr>
          <w:rFonts w:ascii="Times New Roman" w:cs="Times New Roman" w:eastAsia="Times New Roman" w:hAnsi="Times New Roman"/>
          <w:sz w:val="18"/>
          <w:szCs w:val="18"/>
          <w:color w:val="auto"/>
        </w:rPr>
        <w:t>Fair Market Value (as hereinafter defined) of the Leased Premises as of commencement of the Renewal Term (the “</w:t>
      </w:r>
      <w:r>
        <w:rPr>
          <w:rFonts w:ascii="Times New Roman" w:cs="Times New Roman" w:eastAsia="Times New Roman" w:hAnsi="Times New Roman"/>
          <w:sz w:val="18"/>
          <w:szCs w:val="18"/>
          <w:b w:val="1"/>
          <w:bCs w:val="1"/>
          <w:color w:val="auto"/>
        </w:rPr>
        <w:t>Calculation Date</w:t>
      </w:r>
      <w:r>
        <w:rPr>
          <w:rFonts w:ascii="Times New Roman" w:cs="Times New Roman" w:eastAsia="Times New Roman" w:hAnsi="Times New Roman"/>
          <w:sz w:val="18"/>
          <w:szCs w:val="18"/>
          <w:color w:val="auto"/>
        </w:rPr>
        <w:t>”), and (ii) the annual</w:t>
      </w:r>
    </w:p>
    <w:p>
      <w:pPr>
        <w:spacing w:after="0" w:line="219" w:lineRule="auto"/>
        <w:rPr>
          <w:sz w:val="20"/>
          <w:szCs w:val="20"/>
          <w:color w:val="auto"/>
        </w:rPr>
      </w:pPr>
      <w:r>
        <w:rPr>
          <w:rFonts w:ascii="Times New Roman" w:cs="Times New Roman" w:eastAsia="Times New Roman" w:hAnsi="Times New Roman"/>
          <w:sz w:val="18"/>
          <w:szCs w:val="18"/>
          <w:color w:val="auto"/>
        </w:rPr>
        <w:t>Base Rent and Additional Rent payable with respect to the twelve (12) months immediately preceding said Renewal Term.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shall</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mean the fair market annual rental value of the Leased Premises as of the Calculation Date for a term equal to the Renewal Term, based on comparable laboratory space in the Project, or on comparable space in comparable buildings located in the Seaport District of Boston, Massachusetts, including all of Landlord’s services provided for in this Lease, and with the Leased Premises considered as vacant, and in “as is” condition existing on the Renewal Term</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Commencement Date. The calculation of Fair Market Value shall also be adjusted to take into account all relevant factors. Landlord shall advise Tenant (the “</w:t>
      </w:r>
      <w:r>
        <w:rPr>
          <w:rFonts w:ascii="Times New Roman" w:cs="Times New Roman" w:eastAsia="Times New Roman" w:hAnsi="Times New Roman"/>
          <w:sz w:val="18"/>
          <w:szCs w:val="18"/>
          <w:b w:val="1"/>
          <w:bCs w:val="1"/>
          <w:color w:val="auto"/>
        </w:rPr>
        <w:t>Rent Notice</w:t>
      </w:r>
      <w:r>
        <w:rPr>
          <w:rFonts w:ascii="Times New Roman" w:cs="Times New Roman" w:eastAsia="Times New Roman" w:hAnsi="Times New Roman"/>
          <w:sz w:val="18"/>
          <w:szCs w:val="18"/>
          <w:color w:val="auto"/>
        </w:rPr>
        <w:t>”) of Landlord’s determination of Fair Market Value prior to the Renewal Term Commencement Date. If Tenant disputes Landlord’s determination of Fair Market Value, then Tenant shall give notice (a “</w:t>
      </w:r>
      <w:r>
        <w:rPr>
          <w:rFonts w:ascii="Times New Roman" w:cs="Times New Roman" w:eastAsia="Times New Roman" w:hAnsi="Times New Roman"/>
          <w:sz w:val="18"/>
          <w:szCs w:val="18"/>
          <w:b w:val="1"/>
          <w:bCs w:val="1"/>
          <w:color w:val="auto"/>
        </w:rPr>
        <w:t>Dispute Notice</w:t>
      </w:r>
      <w:r>
        <w:rPr>
          <w:rFonts w:ascii="Times New Roman" w:cs="Times New Roman" w:eastAsia="Times New Roman" w:hAnsi="Times New Roman"/>
          <w:sz w:val="18"/>
          <w:szCs w:val="18"/>
          <w:color w:val="auto"/>
        </w:rPr>
        <w:t>”) to Landlord of such dispute within ten (10) Business Days after</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delivery of the Rent Notice, and such dispute shall be resolved by arbitration as provided below. Time is of the essence of the giving of said Dispute Notice. Failure on the part of Tenant to timely submit a Dispute Notice shall constitute a waiver of the right of Tenant to dispute the Fair Rental Value determined by Landlord, and in such event the Base Rent for the Renewal Term shall be as set forth in the Rent Notice. If the Base Rent payable during the Renewal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Term is not determined prior to the Renewal Term Commencement Date, then Tenant shall pay Base Rent in an amount equal to the Fair Market Value for the Leased Premises as determined by Landlord (the “</w:t>
      </w:r>
      <w:r>
        <w:rPr>
          <w:rFonts w:ascii="Times New Roman" w:cs="Times New Roman" w:eastAsia="Times New Roman" w:hAnsi="Times New Roman"/>
          <w:sz w:val="18"/>
          <w:szCs w:val="18"/>
          <w:b w:val="1"/>
          <w:bCs w:val="1"/>
          <w:color w:val="auto"/>
        </w:rPr>
        <w:t>Interim Rent</w:t>
      </w:r>
      <w:r>
        <w:rPr>
          <w:rFonts w:ascii="Times New Roman" w:cs="Times New Roman" w:eastAsia="Times New Roman" w:hAnsi="Times New Roman"/>
          <w:sz w:val="18"/>
          <w:szCs w:val="18"/>
          <w:color w:val="auto"/>
        </w:rPr>
        <w:t>”). Upon final determination of the Base Rent for the Renewal Term, Tenant shall commence paying such Base Rent as so determined, and within ten (10) days after such determination Tenant shall pay any deficiency in prior payments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Base Rent or, if the Base Rent as so determined shall be less than the Interim Rent, Tenant shall be entitled to a credit against the next succeeding installments of Base Rent in an amount equal to the difference between each installment of Interim Rent and the Base Rent as so determined which should have been paid for such installment until the total amount of the over payment has been recouped.</w:t>
      </w:r>
    </w:p>
    <w:p>
      <w:pPr>
        <w:spacing w:after="0" w:line="13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If Tenant timely disputes Landlord’s determination of Fair Market Value pursuant to provisions above, then such dispute shall be determined by arbitration in accordance with the then prevailing expedited procedures of the American Arbitration Association or its successor 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arbitration of commercial disputes, except that the expedited procedures shall be modified as follows:</w:t>
      </w:r>
    </w:p>
    <w:p>
      <w:pPr>
        <w:spacing w:after="0" w:line="124" w:lineRule="exact"/>
        <w:rPr>
          <w:sz w:val="20"/>
          <w:szCs w:val="20"/>
          <w:color w:val="auto"/>
        </w:rPr>
      </w:pPr>
    </w:p>
    <w:p>
      <w:pPr>
        <w:jc w:val="both"/>
        <w:ind w:left="660" w:firstLine="644"/>
        <w:spacing w:after="0" w:line="216" w:lineRule="auto"/>
        <w:tabs>
          <w:tab w:leader="none" w:pos="174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its Dispute Notice Tenant shall specify the name and address of the person to act as the arbitrator on Tenant’s behalf. The arbitrator shall be a commercial real estate appraiser with the M.A.I. designation from the American Institute of Real Estate Advisors, with at least 10 years full-time commercial real estate appraisal experience who is familiar with the Fair Market Value of first-class retail space in the Seaport District in Boston, Massachusetts. Failure on the part of Tenant to make the timely and proper demand for such arbitration shall constitute a waiver of the right thereto and the Base Rent shall be as set forth in the Rent Notice. Within ten (10) Business Days after receipt of the Dispute Notice, Landlord shall give notice to Tenant specifying the name and address of the person designated by Landlord to act as arbitrator on its behalf, which arbitrator shall be similarly qualified. If Landlord fails to notify Tenant of the appointment of its arbitrator within such ten (10) Business Day period, and such failure continues for three (3) Business Days after Tenant delivers a second notice to Landlord, then the arbitrator appointed by Tenant shall be the arbitrator to determine the Fair Market Value for the Leased Premises.</w:t>
      </w:r>
    </w:p>
    <w:p>
      <w:pPr>
        <w:spacing w:after="0" w:line="118" w:lineRule="exact"/>
        <w:rPr>
          <w:rFonts w:ascii="Times New Roman" w:cs="Times New Roman" w:eastAsia="Times New Roman" w:hAnsi="Times New Roman"/>
          <w:sz w:val="18"/>
          <w:szCs w:val="18"/>
          <w:color w:val="auto"/>
        </w:rPr>
      </w:pPr>
    </w:p>
    <w:p>
      <w:pPr>
        <w:jc w:val="both"/>
        <w:ind w:left="660" w:firstLine="644"/>
        <w:spacing w:after="0" w:line="215" w:lineRule="auto"/>
        <w:tabs>
          <w:tab w:leader="none" w:pos="179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two arbitrators are chosen, the arbitrators so chosen shall meet within ten (10) Business Days after the second arbitrator is appointed and shall seek to reach agreement on Fair Market Value. If within twenty (20) Business Days after the second arbitrator is appointed the two arbitrators are unable to reach agreement on Fair Market Value then the two arbitrators shall appoint a third arbitrator, who shall be a competent and impartial person with qualifications similar to those required of the first two arbitrators. If they are unable to agree upon such appointment within five (5) Business Days after expiration of such twenty (20) Business Day period, the third arbitrator shall be selected by the parties themselves. If the parties do not agree on the third arbitrator within five (5) Business Days after expiration of the foregoing five (5) Business Day period, then either party, on behalf of both, may request appointment of such a qualified person by the Boston Office of the American Arbitration Association. The third arbitrator shall decide the dispute, if it has not been previously resolved, by following the procedures set forth below. Each party shall pay the fees and expenses of its respective arbitrator and both shall share the fees and expenses of the third arbitrator. Attorneys’ fees and expenses of counsel and of witnesses for the respective parties shall be paid by the respective party engaging such counsel or calling such witnesses.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04" w:right="339" w:bottom="1440" w:gutter="0" w:footer="0" w:header="0"/>
        </w:sectPr>
      </w:pPr>
    </w:p>
    <w:bookmarkStart w:id="247" w:name="page248"/>
    <w:bookmarkEnd w:id="247"/>
    <w:p>
      <w:pPr>
        <w:jc w:val="both"/>
        <w:ind w:left="660" w:firstLine="644"/>
        <w:spacing w:after="0" w:line="213" w:lineRule="auto"/>
        <w:tabs>
          <w:tab w:leader="none" w:pos="186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Fair Market Value shall be fixed by the third arbitrator in accordance with the following procedures. Concurrently with the appointment of the third arbitrator, each of the arbitrators selected by the parties shall state, in writing, his or her determination of the Fair Market Value supported by the reasons therefor. The third arbitrator shall have the right to consult experts and competent authorities for factual information or evidence pertaining to a determination of Fair Market Value, but any such determination shall be made in the presence of both parties with full right on their part to cross-examine. The third arbitrator shall conduct such hearings and investigations as he or she deem appropriate and shall, within thirty (30) days after being appointed, select which of the two proposed determinations most closely approximates his or her determination of Fair Market Value. The third arbitrator shall have no right to propose a middle ground or any modification of either of the two proposed determinations. The determination he or she chooses as that most closely approximating his or her determination of the Fair Market Value shall constitute the decision of the third arbitrator and shall be final and binding upon the parties. The third arbitrator shall render the decision in writing with counterpart copies to each party. The third arbitrator shall have no power to add to or modify the provisions of this Lease. Promptly following receipt of the third arbitrator’s decision, the parties shall enter into an amendment to this Lease evidencing the extension of the Lease Term for the Renewal Term and confirming the Base Rent for the Renewal Term, but the failure of the parties to do so shall not affect the effectiveness of the third arbitrator’s determination.</w:t>
      </w:r>
    </w:p>
    <w:p>
      <w:pPr>
        <w:spacing w:after="0" w:line="136" w:lineRule="exact"/>
        <w:rPr>
          <w:rFonts w:ascii="Times New Roman" w:cs="Times New Roman" w:eastAsia="Times New Roman" w:hAnsi="Times New Roman"/>
          <w:sz w:val="18"/>
          <w:szCs w:val="18"/>
          <w:color w:val="auto"/>
        </w:rPr>
      </w:pPr>
    </w:p>
    <w:p>
      <w:pPr>
        <w:jc w:val="both"/>
        <w:ind w:left="660" w:firstLine="644"/>
        <w:spacing w:after="0" w:line="226" w:lineRule="auto"/>
        <w:tabs>
          <w:tab w:leader="none" w:pos="175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the event of a failure, refusal or inability of any arbitrator to act, his or her successor shall be appointed by him or her, but in the case of the third arbitrator, his or her successor shall be appointed in the same manner as that set forth herein with respect to the appointment of the original third arbitrator.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62"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9.1</w:t>
      </w:r>
      <w:r>
        <w:rPr>
          <w:sz w:val="20"/>
          <w:szCs w:val="20"/>
          <w:color w:val="auto"/>
        </w:rPr>
        <w:tab/>
      </w:r>
      <w:r>
        <w:rPr>
          <w:rFonts w:ascii="Times New Roman" w:cs="Times New Roman" w:eastAsia="Times New Roman" w:hAnsi="Times New Roman"/>
          <w:sz w:val="18"/>
          <w:szCs w:val="18"/>
          <w:u w:val="single" w:color="auto"/>
          <w:color w:val="auto"/>
        </w:rPr>
        <w:t>Right of First Offer</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firstLine="1304"/>
        <w:spacing w:after="0" w:line="212" w:lineRule="auto"/>
        <w:tabs>
          <w:tab w:leader="none" w:pos="168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Tenant shall have the one-time right of first offer to lease any horizontally contiguous space on the sixth (6th) floor in the Building (“</w:t>
      </w:r>
      <w:r>
        <w:rPr>
          <w:rFonts w:ascii="Times New Roman" w:cs="Times New Roman" w:eastAsia="Times New Roman" w:hAnsi="Times New Roman"/>
          <w:sz w:val="18"/>
          <w:szCs w:val="18"/>
          <w:b w:val="1"/>
          <w:bCs w:val="1"/>
          <w:color w:val="auto"/>
        </w:rPr>
        <w:t>ROFO Space</w:t>
      </w:r>
      <w:r>
        <w:rPr>
          <w:rFonts w:ascii="Times New Roman" w:cs="Times New Roman" w:eastAsia="Times New Roman" w:hAnsi="Times New Roman"/>
          <w:sz w:val="18"/>
          <w:szCs w:val="18"/>
          <w:color w:val="auto"/>
        </w:rPr>
        <w:t>”) when such area becomes “available for lease to Tenant” (as hereinafter defined). For the purposes of this Article IX, the ROFO Space shall be deemed to be “available for lease to Tenant” if, during the Lease Term but after the initial lease of any ROFO Space, Landlord, in its reasonable judgment, determines that such area will become available for leasing to Tenant (i.e. when Landlord determines that the then current tenant of the ROFO Space will vacate the ROFO Space, and when Landlord intends to offer such area for lease). Provided that the conditions precedent set forth below are then satisfied, then prior to offering to lease such ROFO Space to any third parties, Landlord shall deliver notice thereof to Tenant (the “</w:t>
      </w:r>
      <w:r>
        <w:rPr>
          <w:rFonts w:ascii="Times New Roman" w:cs="Times New Roman" w:eastAsia="Times New Roman" w:hAnsi="Times New Roman"/>
          <w:sz w:val="18"/>
          <w:szCs w:val="18"/>
          <w:b w:val="1"/>
          <w:bCs w:val="1"/>
          <w:color w:val="auto"/>
        </w:rPr>
        <w:t>ROFO Notice</w:t>
      </w:r>
      <w:r>
        <w:rPr>
          <w:rFonts w:ascii="Times New Roman" w:cs="Times New Roman" w:eastAsia="Times New Roman" w:hAnsi="Times New Roman"/>
          <w:sz w:val="18"/>
          <w:szCs w:val="18"/>
          <w:color w:val="auto"/>
        </w:rPr>
        <w:t>”) setting forth (i) Landlord’s good-faith determination of the ROFO Fair Market Value (as defined below) for rental of the ROFO Space, (ii) all other material business terms that will apply to the ROFO Space, all of which shall be the terms of this Lease except for any details set forth in the ROFO Notice, and (iii) the date Landlord anticipates that the ROFO Space will become available for leasing. “</w:t>
      </w:r>
      <w:r>
        <w:rPr>
          <w:rFonts w:ascii="Times New Roman" w:cs="Times New Roman" w:eastAsia="Times New Roman" w:hAnsi="Times New Roman"/>
          <w:sz w:val="18"/>
          <w:szCs w:val="18"/>
          <w:b w:val="1"/>
          <w:bCs w:val="1"/>
          <w:color w:val="auto"/>
        </w:rPr>
        <w:t>ROFO Fair Market Value</w:t>
      </w:r>
      <w:r>
        <w:rPr>
          <w:rFonts w:ascii="Times New Roman" w:cs="Times New Roman" w:eastAsia="Times New Roman" w:hAnsi="Times New Roman"/>
          <w:sz w:val="18"/>
          <w:szCs w:val="18"/>
          <w:color w:val="auto"/>
        </w:rPr>
        <w:t>” shall mean 100% of the fair market annual rental value of the ROFO Space as of the ROFO Space Commencement Date (as defined below), based on comparable laboratory space in comparable buildings located in the Seaport District of Boston, Massachusetts. The calculation of Fair Market Value shall also be adjusted to take into account all relevant factors. Provided that all of the conditions precedent set forth in this Section 9.1 are fully satisfied by Tenant, Tenant shall have the option (the “</w:t>
      </w:r>
      <w:r>
        <w:rPr>
          <w:rFonts w:ascii="Times New Roman" w:cs="Times New Roman" w:eastAsia="Times New Roman" w:hAnsi="Times New Roman"/>
          <w:sz w:val="18"/>
          <w:szCs w:val="18"/>
          <w:b w:val="1"/>
          <w:bCs w:val="1"/>
          <w:color w:val="auto"/>
        </w:rPr>
        <w:t>ROFO Option</w:t>
      </w:r>
      <w:r>
        <w:rPr>
          <w:rFonts w:ascii="Times New Roman" w:cs="Times New Roman" w:eastAsia="Times New Roman" w:hAnsi="Times New Roman"/>
          <w:sz w:val="18"/>
          <w:szCs w:val="18"/>
          <w:color w:val="auto"/>
        </w:rPr>
        <w:t>”), exercisable by Tenant delivering written notice (the “</w:t>
      </w:r>
      <w:r>
        <w:rPr>
          <w:rFonts w:ascii="Times New Roman" w:cs="Times New Roman" w:eastAsia="Times New Roman" w:hAnsi="Times New Roman"/>
          <w:sz w:val="18"/>
          <w:szCs w:val="18"/>
          <w:b w:val="1"/>
          <w:bCs w:val="1"/>
          <w:color w:val="auto"/>
        </w:rPr>
        <w:t>Acceptance Notice</w:t>
      </w:r>
      <w:r>
        <w:rPr>
          <w:rFonts w:ascii="Times New Roman" w:cs="Times New Roman" w:eastAsia="Times New Roman" w:hAnsi="Times New Roman"/>
          <w:sz w:val="18"/>
          <w:szCs w:val="18"/>
          <w:color w:val="auto"/>
        </w:rPr>
        <w:t>”) to Landlord within twenty (20) days after delivery by Landlord of the ROFO Notice to Tenant, to (i) lease the ROFO Space upon all of the terms and conditions set forth in the ROFO Notice, or (ii) reject the ROFO Notice or (iii) to accept the ROFO Notice but elect to have the ROFO Fair Market Value determined in accordance with the arbitration procedure described in Section 8.3 above. Time shall be of the essence as to Tenant’s delivery of an Acceptance Notice with respect to the ROFO Space. If Tenant fails or is unable to timely exercise its right hereunder with respect to the ROFO Space, then Tenant shall have no further right to lease the ROFO Space pursuant to this Article IX.</w:t>
      </w:r>
    </w:p>
    <w:p>
      <w:pPr>
        <w:spacing w:after="0" w:line="124" w:lineRule="exact"/>
        <w:rPr>
          <w:rFonts w:ascii="Times New Roman" w:cs="Times New Roman" w:eastAsia="Times New Roman" w:hAnsi="Times New Roman"/>
          <w:sz w:val="18"/>
          <w:szCs w:val="18"/>
          <w:color w:val="auto"/>
        </w:rPr>
      </w:pPr>
    </w:p>
    <w:p>
      <w:pPr>
        <w:jc w:val="both"/>
        <w:ind w:firstLine="1304"/>
        <w:spacing w:after="0" w:line="224" w:lineRule="auto"/>
        <w:tabs>
          <w:tab w:leader="none" w:pos="175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Conditions</w:t>
      </w:r>
      <w:r>
        <w:rPr>
          <w:rFonts w:ascii="Times New Roman" w:cs="Times New Roman" w:eastAsia="Times New Roman" w:hAnsi="Times New Roman"/>
          <w:sz w:val="18"/>
          <w:szCs w:val="18"/>
          <w:color w:val="auto"/>
        </w:rPr>
        <w:t>. Tenant shall have no right to exercise the ROFO Option or to lease the ROFO Space, and Landlord shall have no obligation to deliver a ROFO Notice, unless all of the following conditions have been satisfied both on the date the ROFO Space becomes available for leasing and on the date of the Acceptance Notice: (a) no Event of Default shall have occurred and be continuing; and (b) the original Tenant named herein or a Permitted Transferee is occupying the entirety of the Leased Premises then demised under this Lease.</w:t>
      </w:r>
    </w:p>
    <w:p>
      <w:pPr>
        <w:spacing w:after="0" w:line="120"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Terms</w:t>
      </w:r>
      <w:r>
        <w:rPr>
          <w:rFonts w:ascii="Times New Roman" w:cs="Times New Roman" w:eastAsia="Times New Roman" w:hAnsi="Times New Roman"/>
          <w:sz w:val="18"/>
          <w:szCs w:val="18"/>
          <w:color w:val="auto"/>
        </w:rPr>
        <w:t>. Effective as of the date on which Landlord delivers the ROFO Space to Tenant (the “</w:t>
      </w:r>
      <w:r>
        <w:rPr>
          <w:rFonts w:ascii="Times New Roman" w:cs="Times New Roman" w:eastAsia="Times New Roman" w:hAnsi="Times New Roman"/>
          <w:sz w:val="18"/>
          <w:szCs w:val="18"/>
          <w:b w:val="1"/>
          <w:bCs w:val="1"/>
          <w:color w:val="auto"/>
        </w:rPr>
        <w:t>ROFO Space Commencement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04" w:right="339" w:bottom="1440" w:gutter="0" w:footer="0" w:header="0"/>
        </w:sectPr>
      </w:pPr>
    </w:p>
    <w:bookmarkStart w:id="248" w:name="page249"/>
    <w:bookmarkEnd w:id="248"/>
    <w:p>
      <w:pPr>
        <w:ind w:left="660" w:right="20" w:firstLine="644"/>
        <w:spacing w:after="0" w:line="237" w:lineRule="auto"/>
        <w:tabs>
          <w:tab w:leader="none" w:pos="171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ROFO Space shall be added to and be deemed to be a part of the Leased Premises on a coterminous basis for all purposes under this Lease and on all of the terms and conditions of this Lease (except as otherwise provided in this Article IX);</w:t>
      </w:r>
    </w:p>
    <w:p>
      <w:pPr>
        <w:spacing w:after="0" w:line="131" w:lineRule="exact"/>
        <w:rPr>
          <w:rFonts w:ascii="Times New Roman" w:cs="Times New Roman" w:eastAsia="Times New Roman" w:hAnsi="Times New Roman"/>
          <w:sz w:val="18"/>
          <w:szCs w:val="18"/>
          <w:color w:val="auto"/>
        </w:rPr>
      </w:pPr>
    </w:p>
    <w:p>
      <w:pPr>
        <w:jc w:val="both"/>
        <w:ind w:left="660" w:firstLine="644"/>
        <w:spacing w:after="0" w:line="231" w:lineRule="auto"/>
        <w:tabs>
          <w:tab w:leader="none" w:pos="180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ROFO Space shall be delivered in broom-clean condition, free of all tenants and occupants and otherwise in its “as is” condition; Landlord shall not be obligated to perform any work or improvements or to provide any allowances or inducements with respect thereto unless otherwise included in the ROFO Notice;</w:t>
      </w:r>
    </w:p>
    <w:p>
      <w:pPr>
        <w:spacing w:after="0" w:line="117"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Base Rent for the ROFO Space shall be the ROFO Fair Market Value therefore, as set forth in the ROFO Notice;</w:t>
      </w:r>
    </w:p>
    <w:p>
      <w:pPr>
        <w:spacing w:after="0" w:line="157"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Tenant shall pay all Additional Rent payable under this Lease with respect to the ROFO Space.</w:t>
      </w:r>
    </w:p>
    <w:p>
      <w:pPr>
        <w:spacing w:after="0" w:line="158" w:lineRule="exact"/>
        <w:rPr>
          <w:sz w:val="20"/>
          <w:szCs w:val="20"/>
          <w:color w:val="auto"/>
        </w:rPr>
      </w:pPr>
    </w:p>
    <w:p>
      <w:pPr>
        <w:jc w:val="both"/>
        <w:ind w:firstLine="1304"/>
        <w:spacing w:after="0" w:line="215" w:lineRule="auto"/>
        <w:tabs>
          <w:tab w:leader="none" w:pos="173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Amendment</w:t>
      </w:r>
      <w:r>
        <w:rPr>
          <w:rFonts w:ascii="Times New Roman" w:cs="Times New Roman" w:eastAsia="Times New Roman" w:hAnsi="Times New Roman"/>
          <w:sz w:val="18"/>
          <w:szCs w:val="18"/>
          <w:color w:val="auto"/>
        </w:rPr>
        <w:t>. The delivery of the Acceptance Notice by Tenant shall constitute the irrevocable and unconditional acceptance by Tenant of the offer to lease the ROFO Space upon all of the terms and conditions set forth in the ROFO Notice or determined in accordance with this Article IX. Without limitation, if Tenant timely delivers an Acceptance Notice and exercises the ROFO Option, upon request made by either party, Landlord and Tenant will execute, acknowledge and deliver an amendment to this Lease confirming the ROFO Space Commencement Date, Base Rent and Additional Rent payable with respect to the ROFO Space, the incorporation of the ROFO Space into the Premises, and the modifications to this Lease resulting therefrom, as set forth this Article IX; provided, however, as long as the conditions set forth herein are satisfied, the timely delivery of an Acceptance Notice after receipt of the ROFO Notice shall be the automatic and self-operative exercise of the ROFO Option and the failure of either party to execute and deliver such an amendment shall not detract from the exercise by Tenant of the ROFO Option.</w:t>
      </w:r>
    </w:p>
    <w:p>
      <w:pPr>
        <w:spacing w:after="0" w:line="136" w:lineRule="exact"/>
        <w:rPr>
          <w:rFonts w:ascii="Times New Roman" w:cs="Times New Roman" w:eastAsia="Times New Roman" w:hAnsi="Times New Roman"/>
          <w:sz w:val="18"/>
          <w:szCs w:val="18"/>
          <w:color w:val="auto"/>
        </w:rPr>
      </w:pPr>
    </w:p>
    <w:p>
      <w:pPr>
        <w:jc w:val="both"/>
        <w:ind w:firstLine="1304"/>
        <w:spacing w:after="0" w:line="220" w:lineRule="auto"/>
        <w:tabs>
          <w:tab w:leader="none" w:pos="1767"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Expiration</w:t>
      </w:r>
      <w:r>
        <w:rPr>
          <w:rFonts w:ascii="Times New Roman" w:cs="Times New Roman" w:eastAsia="Times New Roman" w:hAnsi="Times New Roman"/>
          <w:sz w:val="18"/>
          <w:szCs w:val="18"/>
          <w:color w:val="auto"/>
        </w:rPr>
        <w:t>. Notwithstanding any provision contained herein to the contrary, from and after the date which is twenty-four (24) months prior to the Expiration Date (as such expiration date may be extended pursuant to this Lease), then this Article IX shall become null and void and of no further force or effect and Tenant shall have no further ROFO Options or other rights to lease any ROFO Space pursuant to this Article IX. In such event, all of the obligations of Landlord to offer any ROFO Space to Tenant shall be considered to have been fully and completely satisfied, and neither Landlord nor Tenant shall have any further rights, liabilities or obligations under this Article IX.</w:t>
      </w:r>
    </w:p>
    <w:p>
      <w:pPr>
        <w:spacing w:after="0" w:line="131" w:lineRule="exact"/>
        <w:rPr>
          <w:rFonts w:ascii="Times New Roman" w:cs="Times New Roman" w:eastAsia="Times New Roman" w:hAnsi="Times New Roman"/>
          <w:sz w:val="18"/>
          <w:szCs w:val="18"/>
          <w:color w:val="auto"/>
        </w:rPr>
      </w:pPr>
    </w:p>
    <w:p>
      <w:pPr>
        <w:jc w:val="both"/>
        <w:ind w:firstLine="1304"/>
        <w:spacing w:after="0" w:line="226" w:lineRule="auto"/>
        <w:tabs>
          <w:tab w:leader="none" w:pos="174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Subordination to Existing Rights</w:t>
      </w:r>
      <w:r>
        <w:rPr>
          <w:rFonts w:ascii="Times New Roman" w:cs="Times New Roman" w:eastAsia="Times New Roman" w:hAnsi="Times New Roman"/>
          <w:sz w:val="18"/>
          <w:szCs w:val="18"/>
          <w:color w:val="auto"/>
        </w:rPr>
        <w:t>. Notwithstanding anything herein to the contrary, Tenant’s Right of First Offer is subject and subordinate to the renewal and expansion rights (whether such rights are designated as a right of first offer, right of first refusal, expansion option or otherwise) of any tenant of the Building existing on the date hereof, which are as follows: None.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62"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u w:val="single" w:color="auto"/>
          <w:color w:val="auto"/>
        </w:rPr>
        <w:t>Rooftop Area</w:t>
      </w:r>
    </w:p>
    <w:p>
      <w:pPr>
        <w:spacing w:after="0" w:line="144" w:lineRule="exact"/>
        <w:rPr>
          <w:sz w:val="20"/>
          <w:szCs w:val="20"/>
          <w:color w:val="auto"/>
        </w:rPr>
      </w:pPr>
    </w:p>
    <w:p>
      <w:pPr>
        <w:jc w:val="both"/>
        <w:ind w:firstLine="1304"/>
        <w:spacing w:after="0" w:line="214" w:lineRule="auto"/>
        <w:tabs>
          <w:tab w:leader="none" w:pos="183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Tenant shall have the right to use the Rooftop Area, as hereinafter defined, to install and maintain equipment, including supplemental HVAC, emergency generator, a satellite dish and/or antennae(s) for Tenant’s communication network (“</w:t>
      </w:r>
      <w:r>
        <w:rPr>
          <w:rFonts w:ascii="Times New Roman" w:cs="Times New Roman" w:eastAsia="Times New Roman" w:hAnsi="Times New Roman"/>
          <w:sz w:val="18"/>
          <w:szCs w:val="18"/>
          <w:b w:val="1"/>
          <w:bCs w:val="1"/>
          <w:color w:val="auto"/>
        </w:rPr>
        <w:t>Rooftop Equipment</w:t>
      </w:r>
      <w:r>
        <w:rPr>
          <w:rFonts w:ascii="Times New Roman" w:cs="Times New Roman" w:eastAsia="Times New Roman" w:hAnsi="Times New Roman"/>
          <w:sz w:val="18"/>
          <w:szCs w:val="18"/>
          <w:color w:val="auto"/>
        </w:rPr>
        <w:t>”) for a period commencing as of the date that Tenant installs the Rooftop Equipment in the Rooftop Area (“</w:t>
      </w:r>
      <w:r>
        <w:rPr>
          <w:rFonts w:ascii="Times New Roman" w:cs="Times New Roman" w:eastAsia="Times New Roman" w:hAnsi="Times New Roman"/>
          <w:sz w:val="18"/>
          <w:szCs w:val="18"/>
          <w:b w:val="1"/>
          <w:bCs w:val="1"/>
          <w:color w:val="auto"/>
        </w:rPr>
        <w:t>Rooftop Area Commencement Date</w:t>
      </w:r>
      <w:r>
        <w:rPr>
          <w:rFonts w:ascii="Times New Roman" w:cs="Times New Roman" w:eastAsia="Times New Roman" w:hAnsi="Times New Roman"/>
          <w:sz w:val="18"/>
          <w:szCs w:val="18"/>
          <w:color w:val="auto"/>
        </w:rPr>
        <w:t>”) and terminating as of the expiration or earlier termination of the Lease Term. The “</w:t>
      </w:r>
      <w:r>
        <w:rPr>
          <w:rFonts w:ascii="Times New Roman" w:cs="Times New Roman" w:eastAsia="Times New Roman" w:hAnsi="Times New Roman"/>
          <w:sz w:val="18"/>
          <w:szCs w:val="18"/>
          <w:b w:val="1"/>
          <w:bCs w:val="1"/>
          <w:color w:val="auto"/>
        </w:rPr>
        <w:t>Rooftop Area</w:t>
      </w:r>
      <w:r>
        <w:rPr>
          <w:rFonts w:ascii="Times New Roman" w:cs="Times New Roman" w:eastAsia="Times New Roman" w:hAnsi="Times New Roman"/>
          <w:sz w:val="18"/>
          <w:szCs w:val="18"/>
          <w:color w:val="auto"/>
        </w:rPr>
        <w:t xml:space="preserve">” is the area of the roof shown on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attached hereto provided, however, that in the event that Landlord requires Tenant to relocate to another rooftop location prior to the installation of its Rooftop Equipment, Landlord shall provide Tenant written notice, together with information showing such relocated area and provided that such area is reasonably suitable for Tenant’s Rooftop Equipment, such area shall thereafter be the Rooftop Area pursuant to this Article X. Tenant shall be permitted to use the Rooftop Area solely for the purpose of installing the Rooftop Equipment installed in accordance with specifications approved by Landlord in advance utilizing a frequency or frequencies and transmission power identified in such approved specifications and no other frequencies or transmission power shall be used by Tenant without Landlord’s prior written consent. Tenant shall reimburse Landlord for any reasonable third-party out of pocket review of Tenant’s plans in connection with the installation of the Rooftop Equipment. Such installation shall be designed in such manner as to be easily removable and so as not to damage the roof of the Building. Tenant’s use of the Rooftop Area shall be upon all of the conditions of the Lease, except as follows:</w:t>
      </w:r>
    </w:p>
    <w:p>
      <w:pPr>
        <w:spacing w:after="0" w:line="120"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such installations and the costs to maintain and restore such installations shall be at Tenant’s sole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04" w:right="339" w:bottom="1440" w:gutter="0" w:footer="0" w:header="0"/>
        </w:sectPr>
      </w:pPr>
    </w:p>
    <w:bookmarkStart w:id="249" w:name="page250"/>
    <w:bookmarkEnd w:id="249"/>
    <w:p>
      <w:pPr>
        <w:ind w:left="1680" w:hanging="376"/>
        <w:spacing w:after="0"/>
        <w:tabs>
          <w:tab w:leader="none" w:pos="16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Rooftop Equipment shall not interfere with the operations of any other tenant in the Building.</w:t>
      </w:r>
    </w:p>
    <w:p>
      <w:pPr>
        <w:spacing w:after="0" w:line="157"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Landlord shall have no obligation to provide any services to the Rooftop Area.</w:t>
      </w:r>
    </w:p>
    <w:p>
      <w:pPr>
        <w:spacing w:after="0" w:line="144" w:lineRule="exact"/>
        <w:rPr>
          <w:rFonts w:ascii="Times New Roman" w:cs="Times New Roman" w:eastAsia="Times New Roman" w:hAnsi="Times New Roman"/>
          <w:sz w:val="18"/>
          <w:szCs w:val="18"/>
          <w:color w:val="auto"/>
        </w:rPr>
      </w:pPr>
    </w:p>
    <w:p>
      <w:pPr>
        <w:jc w:val="both"/>
        <w:ind w:right="20" w:firstLine="1304"/>
        <w:spacing w:after="0" w:line="231" w:lineRule="auto"/>
        <w:tabs>
          <w:tab w:leader="none" w:pos="1701"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Tenant shall have no right to make any changes, alterations, signs, decoration or other improvements (which changes, alterations, signs, decoration or other improvements to the Rooftop Area or the Rooftop Equipment without Landlord’s prior written consent, such consent not to be unreasonably withheld, conditioned or delayed.</w:t>
      </w:r>
    </w:p>
    <w:p>
      <w:pPr>
        <w:spacing w:after="0" w:line="131" w:lineRule="exact"/>
        <w:rPr>
          <w:rFonts w:ascii="Times New Roman" w:cs="Times New Roman" w:eastAsia="Times New Roman" w:hAnsi="Times New Roman"/>
          <w:sz w:val="18"/>
          <w:szCs w:val="18"/>
          <w:color w:val="auto"/>
        </w:rPr>
      </w:pPr>
    </w:p>
    <w:p>
      <w:pPr>
        <w:jc w:val="both"/>
        <w:ind w:firstLine="1304"/>
        <w:spacing w:after="0" w:line="215" w:lineRule="auto"/>
        <w:tabs>
          <w:tab w:leader="none" w:pos="168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Landlord shall provide Tenant with 24-hour access to the Rooftop Area, subject to Landlord’s reasonable security procedures and restrictions based on emergency conditions and to other causes beyond Landlord’s reasonable control. Tenant shall give Landlord reasonable advance written notice of the need for access to the Rooftop Area (except that such notice may be oral in an emergency), and Landlord must be present during any entry by Tenant onto the Rooftop Area. Each notice for access shall be in the form of a work order referencing the Lease and describing, as applicable, the date access is needed, the name of the contractor or other personnel requiring access, the name of the supervisor authorizing the access/work, the areas to which access is required, the Building common elements to be impacted (risers, electrical rooms, etc.) and the description of new equipment or other Rooftop Equipment to be installed and evidence of Landlord’s approval thereof. In the event of an emergency, such notice shall follow within five (5) days after access to the Rooftop Area.</w:t>
      </w:r>
    </w:p>
    <w:p>
      <w:pPr>
        <w:spacing w:after="0" w:line="125" w:lineRule="exact"/>
        <w:rPr>
          <w:rFonts w:ascii="Times New Roman" w:cs="Times New Roman" w:eastAsia="Times New Roman" w:hAnsi="Times New Roman"/>
          <w:sz w:val="18"/>
          <w:szCs w:val="18"/>
          <w:color w:val="auto"/>
        </w:rPr>
      </w:pPr>
    </w:p>
    <w:p>
      <w:pPr>
        <w:ind w:left="1720" w:hanging="416"/>
        <w:spacing w:after="0"/>
        <w:tabs>
          <w:tab w:leader="none" w:pos="17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At the expiration or prior termination of Tenant’s right to use the Rooftop Area, Tenant shall remove all Rooftop Equipment from</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Rooftop Area.</w:t>
      </w:r>
    </w:p>
    <w:p>
      <w:pPr>
        <w:spacing w:after="0" w:line="137" w:lineRule="exact"/>
        <w:rPr>
          <w:rFonts w:ascii="Times New Roman" w:cs="Times New Roman" w:eastAsia="Times New Roman" w:hAnsi="Times New Roman"/>
          <w:sz w:val="18"/>
          <w:szCs w:val="18"/>
          <w:color w:val="auto"/>
        </w:rPr>
      </w:pPr>
    </w:p>
    <w:p>
      <w:pPr>
        <w:ind w:right="20" w:firstLine="1304"/>
        <w:spacing w:after="0" w:line="237" w:lineRule="auto"/>
        <w:tabs>
          <w:tab w:leader="none" w:pos="168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Tenant shall be responsible for the cost of repairing any damage to the roof of the Building caused by the installation or removal of any Rooftop Equipment.</w:t>
      </w:r>
    </w:p>
    <w:p>
      <w:pPr>
        <w:spacing w:after="0" w:line="131" w:lineRule="exact"/>
        <w:rPr>
          <w:rFonts w:ascii="Times New Roman" w:cs="Times New Roman" w:eastAsia="Times New Roman" w:hAnsi="Times New Roman"/>
          <w:sz w:val="18"/>
          <w:szCs w:val="18"/>
          <w:color w:val="auto"/>
        </w:rPr>
      </w:pPr>
    </w:p>
    <w:p>
      <w:pPr>
        <w:ind w:firstLine="1304"/>
        <w:spacing w:after="0" w:line="237" w:lineRule="auto"/>
        <w:tabs>
          <w:tab w:leader="none" w:pos="173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Tenant shall have no right to sublet the Rooftop Area, except in connection with a sublease permitted hereunder or otherwise approved by Landlord in accordance with the terms hereof.</w:t>
      </w:r>
    </w:p>
    <w:p>
      <w:pPr>
        <w:spacing w:after="0" w:line="131" w:lineRule="exact"/>
        <w:rPr>
          <w:rFonts w:ascii="Times New Roman" w:cs="Times New Roman" w:eastAsia="Times New Roman" w:hAnsi="Times New Roman"/>
          <w:sz w:val="18"/>
          <w:szCs w:val="18"/>
          <w:color w:val="auto"/>
        </w:rPr>
      </w:pPr>
    </w:p>
    <w:p>
      <w:pPr>
        <w:ind w:firstLine="1304"/>
        <w:spacing w:after="0" w:line="237" w:lineRule="auto"/>
        <w:tabs>
          <w:tab w:leader="none" w:pos="166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 person, firm or entity (including, without limitation, other tenants, licensees or occupants of the Project) shall have the right to benefit from the services provided by the Rooftop Equipment other than Tenant, a Permitted Transferee or a Related Entity.</w:t>
      </w:r>
    </w:p>
    <w:p>
      <w:pPr>
        <w:spacing w:after="0" w:line="131" w:lineRule="exact"/>
        <w:rPr>
          <w:rFonts w:ascii="Times New Roman" w:cs="Times New Roman" w:eastAsia="Times New Roman" w:hAnsi="Times New Roman"/>
          <w:sz w:val="18"/>
          <w:szCs w:val="18"/>
          <w:color w:val="auto"/>
        </w:rPr>
      </w:pPr>
    </w:p>
    <w:p>
      <w:pPr>
        <w:jc w:val="both"/>
        <w:ind w:firstLine="1304"/>
        <w:spacing w:after="0" w:line="220" w:lineRule="auto"/>
        <w:tabs>
          <w:tab w:leader="none" w:pos="178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the event that Landlord performs repairs to or replacement of the roof, Tenant shall, to the extent reasonably required, at Tenant’s cost, remove the Rooftop Equipment until such time as Landlord has completed such repairs or replacements. Tenant recognizes that there may be an interference with Tenant’s use of the Rooftop Equipment in connection with such work. Landlord shall use reasonable efforts to complete such work as promptly as possible and to perform such work in a manner which will minimize or, if reasonably possible, eliminate any interruption in Tenant’s use of the Rooftop Equipment.</w:t>
      </w:r>
    </w:p>
    <w:p>
      <w:pPr>
        <w:spacing w:after="0" w:line="117" w:lineRule="exact"/>
        <w:rPr>
          <w:rFonts w:ascii="Times New Roman" w:cs="Times New Roman" w:eastAsia="Times New Roman" w:hAnsi="Times New Roman"/>
          <w:sz w:val="18"/>
          <w:szCs w:val="18"/>
          <w:color w:val="auto"/>
        </w:rPr>
      </w:pPr>
    </w:p>
    <w:p>
      <w:pPr>
        <w:ind w:right="20" w:firstLine="1304"/>
        <w:spacing w:after="0" w:line="250" w:lineRule="auto"/>
        <w:tabs>
          <w:tab w:leader="none" w:pos="1677"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services required by Tenant in connection with Tenant’s use of the Rooftop Area or the Rooftop Equipment shall be installed by Tenant, at Tenant’s expense, subject to Landlord’s prior approval, such approval not to be unreasonably withheld, conditioned or delayed.</w:t>
      </w:r>
    </w:p>
    <w:p>
      <w:pPr>
        <w:spacing w:after="0" w:line="10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80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 the maximum extent permitted by law, all Rooftop Equipment in the Rooftop Area shall be at the sole risk of Tenant, and Landlord shall have no liability to Tenant in the event that any Rooftop Equipment are damaged for any reason, except to the extent caused by the negligence or willful misconduct of Landlord, its agents or contractors.</w:t>
      </w:r>
    </w:p>
    <w:p>
      <w:pPr>
        <w:spacing w:after="0" w:line="119"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Tenant shall take the Rooftop Area “as-is”, in the condition in which the Rooftop Area is in as of the Rooftop Area</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Date.</w:t>
      </w:r>
    </w:p>
    <w:p>
      <w:pPr>
        <w:spacing w:after="0" w:line="126"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Tenant shall comply with all applicable laws, ordinances and regulations in Tenant’s use of the Rooftop Area and the Rooftop</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w:t>
      </w:r>
    </w:p>
    <w:p>
      <w:pPr>
        <w:spacing w:after="0" w:line="137" w:lineRule="exact"/>
        <w:rPr>
          <w:rFonts w:ascii="Times New Roman" w:cs="Times New Roman" w:eastAsia="Times New Roman" w:hAnsi="Times New Roman"/>
          <w:sz w:val="18"/>
          <w:szCs w:val="18"/>
          <w:color w:val="auto"/>
        </w:rPr>
      </w:pPr>
    </w:p>
    <w:p>
      <w:pPr>
        <w:jc w:val="both"/>
        <w:ind w:firstLine="1304"/>
        <w:spacing w:after="0" w:line="224" w:lineRule="auto"/>
        <w:tabs>
          <w:tab w:leader="none" w:pos="170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Landlord shall have the right, upon no less than one-hundred eighty (180) days’ notice to Tenant, to require Tenant to relocate the Rooftop Area to another area (“</w:t>
      </w:r>
      <w:r>
        <w:rPr>
          <w:rFonts w:ascii="Times New Roman" w:cs="Times New Roman" w:eastAsia="Times New Roman" w:hAnsi="Times New Roman"/>
          <w:sz w:val="18"/>
          <w:szCs w:val="18"/>
          <w:b w:val="1"/>
          <w:bCs w:val="1"/>
          <w:color w:val="auto"/>
        </w:rPr>
        <w:t>Relocated Rooftop Area</w:t>
      </w:r>
      <w:r>
        <w:rPr>
          <w:rFonts w:ascii="Times New Roman" w:cs="Times New Roman" w:eastAsia="Times New Roman" w:hAnsi="Times New Roman"/>
          <w:sz w:val="18"/>
          <w:szCs w:val="18"/>
          <w:color w:val="auto"/>
        </w:rPr>
        <w:t>”) on the roof of the Building suitable for the use of the Rooftop Equipment. In such event, Tenant shall, at Landlord’s cost and expense, on or before the ninetieth (90th) day after Landlord gives such notice, relocate all of its Rooftop Equipment from the Rooftop Area to the Relocation Rooftop Area.</w:t>
      </w:r>
    </w:p>
    <w:p>
      <w:pPr>
        <w:spacing w:after="0" w:line="118" w:lineRule="exact"/>
        <w:rPr>
          <w:rFonts w:ascii="Times New Roman" w:cs="Times New Roman" w:eastAsia="Times New Roman" w:hAnsi="Times New Roman"/>
          <w:sz w:val="18"/>
          <w:szCs w:val="18"/>
          <w:color w:val="auto"/>
        </w:rPr>
      </w:pPr>
    </w:p>
    <w:p>
      <w:pPr>
        <w:ind w:right="20" w:firstLine="1304"/>
        <w:spacing w:after="0" w:line="250" w:lineRule="auto"/>
        <w:tabs>
          <w:tab w:leader="none" w:pos="1767"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addition to complying with the applicable construction provisions of the Lease, Tenant shall not install or operate Rooftop Equipment in any portion of the Rooftop Area until (x) Tenant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04" w:right="339" w:bottom="1440" w:gutter="0" w:footer="0" w:header="0"/>
        </w:sectPr>
      </w:pPr>
    </w:p>
    <w:bookmarkStart w:id="250" w:name="page251"/>
    <w:bookmarkEnd w:id="250"/>
    <w:p>
      <w:pPr>
        <w:jc w:val="both"/>
        <w:spacing w:after="0" w:line="222" w:lineRule="auto"/>
        <w:rPr>
          <w:sz w:val="20"/>
          <w:szCs w:val="20"/>
          <w:color w:val="auto"/>
        </w:rPr>
      </w:pPr>
      <w:r>
        <w:rPr>
          <w:rFonts w:ascii="Times New Roman" w:cs="Times New Roman" w:eastAsia="Times New Roman" w:hAnsi="Times New Roman"/>
          <w:sz w:val="18"/>
          <w:szCs w:val="18"/>
          <w:color w:val="auto"/>
        </w:rPr>
        <w:t>obtained Landlord’s prior written approval, which approval will not be unreasonably withheld, conditioned or delayed, of Tenant’s plans and specifications for the placement and installation of the Rooftop Equipment in the Rooftop Area, and (y) Tenant shall have obtained and delivered to Landlord copies of all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required governmental and quasi-governmental permits, approvals, licenses and authorizations necessary for the lawful installation, operation and maintenance of the Rooftop Equipment. The parties hereby acknowledge and agree, by way of illustration and not limitation, that Landlord shall have the right to withhold its approval of Tenant’s plans and specifications hereunder, and shall not be deemed to be unreasonable in doing so, if Tenant’s intended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placement or method of installation or operation of the Rooftop Equipment (i) may subject other licensees, tenants or occupants of the Project, or other surrounding or neighboring landowners or their occupants, to signal interference, Tenant hereby acknowledging that a shield may be required in order to prevent such interference, (ii) does not minimize to the fullest extent practicable the obstruction of the views from the windows of the Building that are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adjacent to the Rooftop Equipment, if any, (iii) does not complement (in Landlord’s sole judgment, which shall not, however, require Tenant to incur unreasonable expense) the design and finish of the Building, (iv) may damage the structural integrity of the Building or the roof thereof, or (v) may constitute a violation of any consent, approval, permit or authorization necessary for the lawful installation of the Rooftop Equipment.</w:t>
      </w:r>
    </w:p>
    <w:p>
      <w:pPr>
        <w:spacing w:after="0" w:line="131" w:lineRule="exact"/>
        <w:rPr>
          <w:sz w:val="20"/>
          <w:szCs w:val="20"/>
          <w:color w:val="auto"/>
        </w:rPr>
      </w:pPr>
    </w:p>
    <w:p>
      <w:pPr>
        <w:jc w:val="both"/>
        <w:ind w:firstLine="1304"/>
        <w:spacing w:after="0" w:line="224" w:lineRule="auto"/>
        <w:tabs>
          <w:tab w:leader="none" w:pos="168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addition to the indemnification provisions set forth in the Lease which shall be applicable to the Rooftop Area, Tenant shall, to the maximum extent permitted by law, indemnify, defend and hold Landlord and its agents, contractors and employees harmless from and against any and all claims, losses, demands, actions or causes of actions suffered by any person, firm, corporation or other entity arising from Tenant’s use of the Rooftop Equipment and/or the Rooftop Area.</w:t>
      </w:r>
    </w:p>
    <w:p>
      <w:pPr>
        <w:spacing w:after="0" w:line="131" w:lineRule="exact"/>
        <w:rPr>
          <w:rFonts w:ascii="Times New Roman" w:cs="Times New Roman" w:eastAsia="Times New Roman" w:hAnsi="Times New Roman"/>
          <w:sz w:val="18"/>
          <w:szCs w:val="18"/>
          <w:color w:val="auto"/>
        </w:rPr>
      </w:pPr>
    </w:p>
    <w:p>
      <w:pPr>
        <w:ind w:firstLine="1304"/>
        <w:spacing w:after="0" w:line="237" w:lineRule="auto"/>
        <w:tabs>
          <w:tab w:leader="none" w:pos="176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Landlord shall have the right to designate or identify the Rooftop Equipment with or by a lease or license number (or other marking) and to place such number (or marking) on or near such Rooftop Equipment.</w:t>
      </w:r>
    </w:p>
    <w:p>
      <w:pPr>
        <w:spacing w:after="0" w:line="1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148"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18"/>
          <w:szCs w:val="18"/>
          <w:color w:val="auto"/>
        </w:rPr>
        <w:t>Section 11.1</w:t>
      </w:r>
      <w:r>
        <w:rPr>
          <w:sz w:val="20"/>
          <w:szCs w:val="20"/>
          <w:color w:val="auto"/>
        </w:rPr>
        <w:tab/>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Lease, the following terms shall have the respective meanings indicated:</w:t>
      </w:r>
    </w:p>
    <w:p>
      <w:pPr>
        <w:spacing w:after="0" w:line="15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Building </w:t>
      </w:r>
      <w:r>
        <w:rPr>
          <w:rFonts w:ascii="Times New Roman" w:cs="Times New Roman" w:eastAsia="Times New Roman" w:hAnsi="Times New Roman"/>
          <w:sz w:val="18"/>
          <w:szCs w:val="18"/>
          <w:color w:val="auto"/>
        </w:rPr>
        <w:t>shall mean that certain building located at One Design Place in Boston (Seaport), Massachusetts, as the same may now or hereafter exist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as it may from time to time hereafter be expanded or modified.</w:t>
      </w:r>
    </w:p>
    <w:p>
      <w:pPr>
        <w:spacing w:after="0" w:line="128"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Building Rules </w:t>
      </w:r>
      <w:r>
        <w:rPr>
          <w:rFonts w:ascii="Times New Roman" w:cs="Times New Roman" w:eastAsia="Times New Roman" w:hAnsi="Times New Roman"/>
          <w:sz w:val="18"/>
          <w:szCs w:val="18"/>
          <w:color w:val="auto"/>
        </w:rPr>
        <w:t>shall mean rules and regulations reasonably adopted and altered by Landlord from time to time for the safety, care and cleanliness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Leased Premises and the Building and for the preservation of good order therein, all of which will be sent by Landlord to Tenant in writing and shall</w:t>
      </w: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thereafter be carried out and observed by Tenant. The initial Building Rules are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and no such rules and regulations shall be enforced against Tenant in a discriminatory fashion as between Tenant and other tenants of like size and nature. In the event of a conflict between the Building Rules and this Lease, this Lease shall control.</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Business Days </w:t>
      </w:r>
      <w:r>
        <w:rPr>
          <w:rFonts w:ascii="Times New Roman" w:cs="Times New Roman" w:eastAsia="Times New Roman" w:hAnsi="Times New Roman"/>
          <w:sz w:val="18"/>
          <w:szCs w:val="18"/>
          <w:color w:val="auto"/>
        </w:rPr>
        <w:t>shall mean all days, excluding Saturdays, Sundays and Observed Holidays.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Common Areas </w:t>
      </w:r>
      <w:r>
        <w:rPr>
          <w:rFonts w:ascii="Times New Roman" w:cs="Times New Roman" w:eastAsia="Times New Roman" w:hAnsi="Times New Roman"/>
          <w:sz w:val="17"/>
          <w:szCs w:val="17"/>
          <w:color w:val="auto"/>
        </w:rPr>
        <w:t>shall mean the lobby, landscaped and sidewalk areas, trash enclosures, loading areas, bicycle parking and storage areas, and other</w:t>
      </w:r>
    </w:p>
    <w:p>
      <w:pPr>
        <w:spacing w:after="0" w:line="1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similar areas of general access, common chases and conduits, mechanical and utility rooms, hallways, stairways, elevators and common walkways, common toilets, corridors and the areas on multi-tenant floors in the Project devoted to corridors, elevator lobbies, restrooms and other similar facilities serving the Leased Premises.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Commencement Date </w:t>
      </w:r>
      <w:r>
        <w:rPr>
          <w:rFonts w:ascii="Times New Roman" w:cs="Times New Roman" w:eastAsia="Times New Roman" w:hAnsi="Times New Roman"/>
          <w:sz w:val="18"/>
          <w:szCs w:val="18"/>
          <w:color w:val="auto"/>
        </w:rPr>
        <w:t>shall mean the date shown in Article I hereof.</w:t>
      </w:r>
    </w:p>
    <w:p>
      <w:pPr>
        <w:spacing w:after="0" w:line="15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Force Majeure </w:t>
      </w:r>
      <w:r>
        <w:rPr>
          <w:rFonts w:ascii="Times New Roman" w:cs="Times New Roman" w:eastAsia="Times New Roman" w:hAnsi="Times New Roman"/>
          <w:sz w:val="18"/>
          <w:szCs w:val="18"/>
          <w:color w:val="auto"/>
        </w:rPr>
        <w:t>shall mean whenever a period of time is herein described for the taking of any action by Landlord or Tenant except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money, Landlord or Tenant, as the case may be, shall not be liable or responsible for, and there shall be excluded from the computation of such period of time, any delays due to strikes, riots, acts of God, public health emergency or exigency, shortages of labor or materials, war, governmental laws,</w:t>
      </w:r>
    </w:p>
    <w:p>
      <w:pPr>
        <w:spacing w:after="0" w:line="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regulations or restrictions or any act, omission, delay or neglect of the other party hereto or any of such other party employees or agents, or any other cause whatsoever beyond the control of such party (each, a “</w:t>
      </w:r>
      <w:r>
        <w:rPr>
          <w:rFonts w:ascii="Times New Roman" w:cs="Times New Roman" w:eastAsia="Times New Roman" w:hAnsi="Times New Roman"/>
          <w:sz w:val="18"/>
          <w:szCs w:val="18"/>
          <w:b w:val="1"/>
          <w:bCs w:val="1"/>
          <w:color w:val="auto"/>
        </w:rPr>
        <w:t>Force Majeure Event</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b w:val="1"/>
          <w:bCs w:val="1"/>
          <w:color w:val="auto"/>
        </w:rPr>
        <w:t xml:space="preserve">Governmental Authorities </w:t>
      </w:r>
      <w:r>
        <w:rPr>
          <w:rFonts w:ascii="Times New Roman" w:cs="Times New Roman" w:eastAsia="Times New Roman" w:hAnsi="Times New Roman"/>
          <w:sz w:val="18"/>
          <w:szCs w:val="18"/>
          <w:color w:val="auto"/>
        </w:rPr>
        <w:t>shall mean the United States of America, the City of Boston, the Commonwealth of Massachusetts, or any political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subdivision, agency, department, commission, board, bureau or instrumentality of any of the foregoing, now existing or hereafter created, having jurisdiction over the Real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04" w:right="339" w:bottom="1440" w:gutter="0" w:footer="0" w:header="0"/>
        </w:sectPr>
      </w:pPr>
    </w:p>
    <w:bookmarkStart w:id="251" w:name="page252"/>
    <w:bookmarkEnd w:id="251"/>
    <w:p>
      <w:pPr>
        <w:ind w:right="20"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Normal Business Hours </w:t>
      </w:r>
      <w:r>
        <w:rPr>
          <w:rFonts w:ascii="Times New Roman" w:cs="Times New Roman" w:eastAsia="Times New Roman" w:hAnsi="Times New Roman"/>
          <w:sz w:val="18"/>
          <w:szCs w:val="18"/>
          <w:color w:val="auto"/>
        </w:rPr>
        <w:t>shall mean 8:00 a.m. to 6:00 p.m. from Monday through Friday and from 8:00 a.m. until 1:00 p.m. on Saturday,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excepting Observed Holidays.</w:t>
      </w:r>
    </w:p>
    <w:p>
      <w:pPr>
        <w:spacing w:after="0" w:line="128"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Observed Holidays </w:t>
      </w:r>
      <w:r>
        <w:rPr>
          <w:rFonts w:ascii="Times New Roman" w:cs="Times New Roman" w:eastAsia="Times New Roman" w:hAnsi="Times New Roman"/>
          <w:sz w:val="18"/>
          <w:szCs w:val="18"/>
          <w:color w:val="auto"/>
        </w:rPr>
        <w:t>shall mean New Years’ Day, Memorial Day, Independence Day, Labor Day, Thanksgiving Day and Christmas Day plus 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observed by the Commonwealth of Massachusetts, the City of Boston.</w:t>
      </w:r>
    </w:p>
    <w:p>
      <w:pPr>
        <w:spacing w:after="0" w:line="128"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Operating Costs</w:t>
      </w:r>
      <w:r>
        <w:rPr>
          <w:rFonts w:ascii="Times New Roman" w:cs="Times New Roman" w:eastAsia="Times New Roman" w:hAnsi="Times New Roman"/>
          <w:sz w:val="18"/>
          <w:szCs w:val="18"/>
          <w:color w:val="auto"/>
        </w:rPr>
        <w:t>” shall mean all reasonable operating costs of the Project of every kind and nature which Landlord shall pay or become obligated to pay because of or in connection with the ownership, maintenance, repair, insuring or operation of the Project, including, but not limited to, the</w:t>
      </w:r>
    </w:p>
    <w:p>
      <w:pPr>
        <w:spacing w:after="0"/>
        <w:rPr>
          <w:sz w:val="20"/>
          <w:szCs w:val="20"/>
          <w:color w:val="auto"/>
        </w:rPr>
      </w:pPr>
      <w:r>
        <w:rPr>
          <w:rFonts w:ascii="Times New Roman" w:cs="Times New Roman" w:eastAsia="Times New Roman" w:hAnsi="Times New Roman"/>
          <w:sz w:val="18"/>
          <w:szCs w:val="18"/>
          <w:color w:val="auto"/>
        </w:rPr>
        <w:t>following:</w:t>
      </w:r>
    </w:p>
    <w:p>
      <w:pPr>
        <w:spacing w:after="0" w:line="124" w:lineRule="exact"/>
        <w:rPr>
          <w:sz w:val="20"/>
          <w:szCs w:val="20"/>
          <w:color w:val="auto"/>
        </w:rPr>
      </w:pPr>
    </w:p>
    <w:p>
      <w:pPr>
        <w:jc w:val="both"/>
        <w:ind w:firstLine="1304"/>
        <w:spacing w:after="0" w:line="223" w:lineRule="auto"/>
        <w:tabs>
          <w:tab w:leader="none" w:pos="168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Wages and salaries of all employees engaged in operation and maintenance or security (to the extent provided) of all or any part of the Project, including taxes, insurance and benefits relating to such employees; provided, however, that with respect to any such person who does not devote substantially all of his or her employed time to the Building or Project, as applicable, the salaries, wages, benefits and other compensation of such person shall be prorated to reflect time spent on matters related to operating, managing, maintaining or repairing the Building or Project, as applicable, in comparison to the time spent on matters unrelated to operating, managing, maintaining or repairing the Building or Project, as applicable.</w:t>
      </w:r>
    </w:p>
    <w:p>
      <w:pPr>
        <w:spacing w:after="0" w:line="118"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All supplies and materials used in the operation and maintenance of any part of the Project.</w:t>
      </w:r>
    </w:p>
    <w:p>
      <w:pPr>
        <w:spacing w:after="0" w:line="157" w:lineRule="exact"/>
        <w:rPr>
          <w:rFonts w:ascii="Times New Roman" w:cs="Times New Roman" w:eastAsia="Times New Roman" w:hAnsi="Times New Roman"/>
          <w:sz w:val="18"/>
          <w:szCs w:val="18"/>
          <w:color w:val="auto"/>
        </w:rPr>
      </w:pPr>
    </w:p>
    <w:p>
      <w:pPr>
        <w:ind w:firstLine="1304"/>
        <w:spacing w:after="0" w:line="237" w:lineRule="auto"/>
        <w:tabs>
          <w:tab w:leader="none" w:pos="168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Costs of all utilities for the Project, including the cost of water and power, heating, lighting, air conditioning and ventilating for all or any part of the Project.</w:t>
      </w:r>
    </w:p>
    <w:p>
      <w:pPr>
        <w:spacing w:after="0" w:line="131" w:lineRule="exact"/>
        <w:rPr>
          <w:rFonts w:ascii="Times New Roman" w:cs="Times New Roman" w:eastAsia="Times New Roman" w:hAnsi="Times New Roman"/>
          <w:sz w:val="18"/>
          <w:szCs w:val="18"/>
          <w:color w:val="auto"/>
        </w:rPr>
      </w:pPr>
    </w:p>
    <w:p>
      <w:pPr>
        <w:ind w:firstLine="1304"/>
        <w:spacing w:after="0" w:line="237" w:lineRule="auto"/>
        <w:tabs>
          <w:tab w:leader="none" w:pos="174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Costs of all maintenance, janitorial, security (to the extent provided) and service agreements for the Project, and the equipment therein, including alarm service, window cleaning, snow removal and elevator maintenance.</w:t>
      </w:r>
    </w:p>
    <w:p>
      <w:pPr>
        <w:spacing w:after="0" w:line="131" w:lineRule="exact"/>
        <w:rPr>
          <w:rFonts w:ascii="Times New Roman" w:cs="Times New Roman" w:eastAsia="Times New Roman" w:hAnsi="Times New Roman"/>
          <w:sz w:val="18"/>
          <w:szCs w:val="18"/>
          <w:color w:val="auto"/>
        </w:rPr>
      </w:pPr>
    </w:p>
    <w:p>
      <w:pPr>
        <w:jc w:val="both"/>
        <w:ind w:firstLine="1304"/>
        <w:spacing w:after="0" w:line="231" w:lineRule="auto"/>
        <w:tabs>
          <w:tab w:leader="none" w:pos="178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Costs of all commercially reasonable insurance relating to the Project, including cost of casualty and liability insurance and Landlord’s personal property used in connection therewith, with such commercially reasonable deductibles as a reasonably prudent landlord of a similarly-situated building would carry.</w:t>
      </w:r>
    </w:p>
    <w:p>
      <w:pPr>
        <w:spacing w:after="0" w:line="117" w:lineRule="exact"/>
        <w:rPr>
          <w:rFonts w:ascii="Times New Roman" w:cs="Times New Roman" w:eastAsia="Times New Roman" w:hAnsi="Times New Roman"/>
          <w:sz w:val="18"/>
          <w:szCs w:val="18"/>
          <w:color w:val="auto"/>
        </w:rPr>
      </w:pPr>
    </w:p>
    <w:p>
      <w:pPr>
        <w:jc w:val="both"/>
        <w:ind w:firstLine="1304"/>
        <w:spacing w:after="0" w:line="231" w:lineRule="auto"/>
        <w:tabs>
          <w:tab w:leader="none" w:pos="165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Costs of repairs and general maintenance of any part of the Project (excluding repairs and general maintenance paid by proceeds of insurance or by Tenant or other third parties, and alterations attributable solely to tenants of the Building other than Tenant) including, without limitation, landscaping of any part of the Project.</w:t>
      </w:r>
    </w:p>
    <w:p>
      <w:pPr>
        <w:spacing w:after="0" w:line="131" w:lineRule="exact"/>
        <w:rPr>
          <w:rFonts w:ascii="Times New Roman" w:cs="Times New Roman" w:eastAsia="Times New Roman" w:hAnsi="Times New Roman"/>
          <w:sz w:val="18"/>
          <w:szCs w:val="18"/>
          <w:color w:val="auto"/>
        </w:rPr>
      </w:pPr>
    </w:p>
    <w:p>
      <w:pPr>
        <w:jc w:val="both"/>
        <w:ind w:firstLine="1304"/>
        <w:spacing w:after="0" w:line="215" w:lineRule="auto"/>
        <w:tabs>
          <w:tab w:leader="none" w:pos="1787"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Amortization of the cost of installation of capital improvements to the extent that in the judgment of Landlord the same are necessary to continue the Project as a first class real estate project or will reduce, or reduce the rate of increase of, other Operating Costs or are required to cause the Project or any part thereof to be in compliance with any applicable law following the Effective Date of this Lease. All of such costs shall be amortized over the reasonable life of such improvements, and a pro rata portion thereof included within Operating Costs for each year the same is so amortized. The reasonable life and amortization schedule of the foregoing shall be determined in accordance with generally accepted accounting principles (GAAP), and in no event shall such reasonable life extend beyond the reasonable life of the Building or other part of the Project to which such costs are related.</w:t>
      </w:r>
    </w:p>
    <w:p>
      <w:pPr>
        <w:spacing w:after="0" w:line="133"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Landlord’s central accounting and overhead costs attributable to the Building.</w:t>
      </w:r>
    </w:p>
    <w:p>
      <w:pPr>
        <w:spacing w:after="0" w:line="157" w:lineRule="exact"/>
        <w:rPr>
          <w:rFonts w:ascii="Times New Roman" w:cs="Times New Roman" w:eastAsia="Times New Roman" w:hAnsi="Times New Roman"/>
          <w:sz w:val="18"/>
          <w:szCs w:val="18"/>
          <w:color w:val="auto"/>
        </w:rPr>
      </w:pPr>
    </w:p>
    <w:p>
      <w:pPr>
        <w:jc w:val="both"/>
        <w:ind w:firstLine="1304"/>
        <w:spacing w:after="0" w:line="226" w:lineRule="auto"/>
        <w:tabs>
          <w:tab w:leader="none" w:pos="165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All fees paid to any person or entity who provides services, including management and marketing to any part of the Project and all costs and charges related thereto including, without limitation, a property management fee equal to two and one-half percent (2.5%) of the gross revenues of the Project.</w:t>
      </w:r>
    </w:p>
    <w:p>
      <w:pPr>
        <w:spacing w:after="0" w:line="130" w:lineRule="exact"/>
        <w:rPr>
          <w:rFonts w:ascii="Times New Roman" w:cs="Times New Roman" w:eastAsia="Times New Roman" w:hAnsi="Times New Roman"/>
          <w:sz w:val="18"/>
          <w:szCs w:val="18"/>
          <w:color w:val="auto"/>
        </w:rPr>
      </w:pPr>
    </w:p>
    <w:p>
      <w:pPr>
        <w:jc w:val="both"/>
        <w:ind w:firstLine="1304"/>
        <w:spacing w:after="0" w:line="215" w:lineRule="auto"/>
        <w:tabs>
          <w:tab w:leader="none" w:pos="171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All amounts payable by Landlord as real estate taxes or payments in lieu of real estate taxes or Tax Rent payable by Landlord under the Prime Lease, all herein collectively referred to as “Taxes”. The term “Taxes” includes, without limitation, the following: any fire service or other charges for municipal services and all governmental impositions and taxes imposed upon the Building and the land thereunder (the “</w:t>
      </w:r>
      <w:r>
        <w:rPr>
          <w:rFonts w:ascii="Times New Roman" w:cs="Times New Roman" w:eastAsia="Times New Roman" w:hAnsi="Times New Roman"/>
          <w:sz w:val="18"/>
          <w:szCs w:val="18"/>
          <w:b w:val="1"/>
          <w:bCs w:val="1"/>
          <w:color w:val="auto"/>
        </w:rPr>
        <w:t>Land</w:t>
      </w:r>
      <w:r>
        <w:rPr>
          <w:rFonts w:ascii="Times New Roman" w:cs="Times New Roman" w:eastAsia="Times New Roman" w:hAnsi="Times New Roman"/>
          <w:sz w:val="18"/>
          <w:szCs w:val="18"/>
          <w:color w:val="auto"/>
        </w:rPr>
        <w:t>”), and assessments, as well as all ad valorem, license or other taxes imposed upon the Building or the Land and/or imposed upon Landlord by reason of its ownership thereof or this Lease other than state or federal inheritance or succession taxes. If at any time during the Lease Term, the methods of taxation of real estate prevailing at the commencement of the execution hereof shall be altered so that in lieu of, in addition to, or as a substitute for, the whole or any part of the Taxes, there shall be levied, assessed or imposed (i) a tax, assessment, levy, imposition or charge, wholly or partially as capital levy or otherwise, on the rents received therefrom; or (ii) a tax, assessment, levy, imposition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00" w:right="339" w:bottom="1440" w:gutter="0" w:footer="0" w:header="0"/>
        </w:sectPr>
      </w:pPr>
    </w:p>
    <w:bookmarkStart w:id="252" w:name="page253"/>
    <w:bookmarkEnd w:id="252"/>
    <w:p>
      <w:pPr>
        <w:spacing w:after="0" w:line="237" w:lineRule="auto"/>
        <w:rPr>
          <w:sz w:val="20"/>
          <w:szCs w:val="20"/>
          <w:color w:val="auto"/>
        </w:rPr>
      </w:pPr>
      <w:r>
        <w:rPr>
          <w:rFonts w:ascii="Times New Roman" w:cs="Times New Roman" w:eastAsia="Times New Roman" w:hAnsi="Times New Roman"/>
          <w:sz w:val="18"/>
          <w:szCs w:val="18"/>
          <w:color w:val="auto"/>
        </w:rPr>
        <w:t>charge measured by or based in whole or in part upon the Leased Premises and imposed upon Landlord; or (iii) a tax license fee or the like measured by the rents payable, the same shall be included as Taxes hereunder.</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anything to the contrary contained herein, in no event shall the definition of “Operating Costs” include the following:</w:t>
      </w:r>
    </w:p>
    <w:p>
      <w:pPr>
        <w:spacing w:after="0" w:line="158" w:lineRule="exact"/>
        <w:rPr>
          <w:sz w:val="20"/>
          <w:szCs w:val="20"/>
          <w:color w:val="auto"/>
        </w:rPr>
      </w:pPr>
    </w:p>
    <w:p>
      <w:pPr>
        <w:ind w:left="660" w:firstLine="644"/>
        <w:spacing w:after="0" w:line="237" w:lineRule="auto"/>
        <w:tabs>
          <w:tab w:leader="none" w:pos="172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original construction costs of the Project or any portion thereof, including the Landlord’s Work and renovation prior to the Commencement Date and costs of correcting defects in such original construction or renovation;</w:t>
      </w:r>
    </w:p>
    <w:p>
      <w:pPr>
        <w:spacing w:after="0" w:line="119"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expenditures for design, permitting, construction or related costs for the expansion or renovation of the Project or any portion</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137" w:lineRule="exact"/>
        <w:rPr>
          <w:rFonts w:ascii="Times New Roman" w:cs="Times New Roman" w:eastAsia="Times New Roman" w:hAnsi="Times New Roman"/>
          <w:sz w:val="18"/>
          <w:szCs w:val="18"/>
          <w:color w:val="auto"/>
        </w:rPr>
      </w:pPr>
    </w:p>
    <w:p>
      <w:pPr>
        <w:jc w:val="both"/>
        <w:ind w:left="660" w:firstLine="644"/>
        <w:spacing w:after="0" w:line="226" w:lineRule="auto"/>
        <w:tabs>
          <w:tab w:leader="none" w:pos="179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interest, principal payments of mortgage or other lien debts of Landlord, financing costs and amortization of funds borrowed by Landlord, whether secured or unsecured and all payments of base rent (but not taxes or operating expenses) under any ground lease or other underlying lease of all or any portion of the Project;</w:t>
      </w:r>
    </w:p>
    <w:p>
      <w:pPr>
        <w:spacing w:after="0" w:line="130"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depreciation of the Project (except for capital improvements, the cost of which may be includable in Operating Costs);</w:t>
      </w:r>
    </w:p>
    <w:p>
      <w:pPr>
        <w:spacing w:after="0" w:line="157" w:lineRule="exact"/>
        <w:rPr>
          <w:rFonts w:ascii="Times New Roman" w:cs="Times New Roman" w:eastAsia="Times New Roman" w:hAnsi="Times New Roman"/>
          <w:sz w:val="18"/>
          <w:szCs w:val="18"/>
          <w:color w:val="auto"/>
        </w:rPr>
      </w:pPr>
    </w:p>
    <w:p>
      <w:pPr>
        <w:ind w:left="660" w:firstLine="644"/>
        <w:spacing w:after="0" w:line="237" w:lineRule="auto"/>
        <w:tabs>
          <w:tab w:leader="none" w:pos="174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advertising, legal and space planning expenses and leasing commissions and other costs and expenses incurred in procuring and leasing space to tenants for the Project, including any leasing office maintained in the Project, free rent and construction allowances for tenants;</w:t>
      </w:r>
    </w:p>
    <w:p>
      <w:pPr>
        <w:spacing w:after="0" w:line="131"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legal and other expenses incurred in the negotiation or enforcement of leases;</w:t>
      </w:r>
    </w:p>
    <w:p>
      <w:pPr>
        <w:spacing w:after="0" w:line="144" w:lineRule="exact"/>
        <w:rPr>
          <w:rFonts w:ascii="Times New Roman" w:cs="Times New Roman" w:eastAsia="Times New Roman" w:hAnsi="Times New Roman"/>
          <w:sz w:val="18"/>
          <w:szCs w:val="18"/>
          <w:color w:val="auto"/>
        </w:rPr>
      </w:pPr>
    </w:p>
    <w:p>
      <w:pPr>
        <w:ind w:left="660" w:right="20" w:firstLine="644"/>
        <w:spacing w:after="0" w:line="250" w:lineRule="auto"/>
        <w:tabs>
          <w:tab w:leader="none" w:pos="179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completing, fixturing, improving, renovating, painting, redecorating or other work, which Landlord pays for or performs for other tenants within their premises, and costs of correcting defects in such work;</w:t>
      </w:r>
    </w:p>
    <w:p>
      <w:pPr>
        <w:spacing w:after="0" w:line="108" w:lineRule="exact"/>
        <w:rPr>
          <w:rFonts w:ascii="Times New Roman" w:cs="Times New Roman" w:eastAsia="Times New Roman" w:hAnsi="Times New Roman"/>
          <w:sz w:val="18"/>
          <w:szCs w:val="18"/>
          <w:color w:val="auto"/>
        </w:rPr>
      </w:pPr>
    </w:p>
    <w:p>
      <w:pPr>
        <w:ind w:left="660" w:firstLine="644"/>
        <w:spacing w:after="0" w:line="250" w:lineRule="auto"/>
        <w:tabs>
          <w:tab w:leader="none" w:pos="193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costs to be reimbursed by other tenants of the Project or taxes to be paid directly by Tenant or other tenants of the Project, whether or not actually paid;</w:t>
      </w:r>
    </w:p>
    <w:p>
      <w:pPr>
        <w:spacing w:after="0" w:line="108" w:lineRule="exact"/>
        <w:rPr>
          <w:rFonts w:ascii="Times New Roman" w:cs="Times New Roman" w:eastAsia="Times New Roman" w:hAnsi="Times New Roman"/>
          <w:sz w:val="18"/>
          <w:szCs w:val="18"/>
          <w:color w:val="auto"/>
        </w:rPr>
      </w:pPr>
    </w:p>
    <w:p>
      <w:pPr>
        <w:ind w:left="660" w:firstLine="644"/>
        <w:spacing w:after="0" w:line="250" w:lineRule="auto"/>
        <w:tabs>
          <w:tab w:leader="none" w:pos="177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salaries, wages, benefits and other compensation paid to personnel of Landlord or its agents or contractors above the position of the person, regardless of title, who has day-to-day management responsibility for the Project;</w:t>
      </w:r>
    </w:p>
    <w:p>
      <w:pPr>
        <w:spacing w:after="0" w:line="108" w:lineRule="exact"/>
        <w:rPr>
          <w:rFonts w:ascii="Times New Roman" w:cs="Times New Roman" w:eastAsia="Times New Roman" w:hAnsi="Times New Roman"/>
          <w:sz w:val="18"/>
          <w:szCs w:val="18"/>
          <w:color w:val="auto"/>
        </w:rPr>
      </w:pPr>
    </w:p>
    <w:p>
      <w:pPr>
        <w:ind w:left="660" w:firstLine="644"/>
        <w:spacing w:after="0" w:line="250" w:lineRule="auto"/>
        <w:tabs>
          <w:tab w:leader="none" w:pos="1767"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general organizational, administrative and overhead costs relating to maintaining Landlord’s existence, either as a corporation, partnership, or other entity, including general corporate, legal and accounting expenses;</w:t>
      </w:r>
    </w:p>
    <w:p>
      <w:pPr>
        <w:spacing w:after="0" w:line="108" w:lineRule="exact"/>
        <w:rPr>
          <w:rFonts w:ascii="Times New Roman" w:cs="Times New Roman" w:eastAsia="Times New Roman" w:hAnsi="Times New Roman"/>
          <w:sz w:val="18"/>
          <w:szCs w:val="18"/>
          <w:color w:val="auto"/>
        </w:rPr>
      </w:pPr>
    </w:p>
    <w:p>
      <w:pPr>
        <w:jc w:val="both"/>
        <w:ind w:left="660" w:firstLine="644"/>
        <w:spacing w:after="0" w:line="231" w:lineRule="auto"/>
        <w:tabs>
          <w:tab w:leader="none" w:pos="1827"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costs (including attorneys’ fees and costs of settlement, judgments and payments in lieu thereof) incurred in connection with disputes with tenants, other occupants, or prospective tenants, and costs and expenses, including legal fees, incurred in connection with negotiations or disputes with employees, consultants, management agents, leasing agents, purchasers or mortgagees of the Building or Property;</w:t>
      </w:r>
    </w:p>
    <w:p>
      <w:pPr>
        <w:spacing w:after="0" w:line="117" w:lineRule="exact"/>
        <w:rPr>
          <w:rFonts w:ascii="Times New Roman" w:cs="Times New Roman" w:eastAsia="Times New Roman" w:hAnsi="Times New Roman"/>
          <w:sz w:val="18"/>
          <w:szCs w:val="18"/>
          <w:color w:val="auto"/>
        </w:rPr>
      </w:pPr>
    </w:p>
    <w:p>
      <w:pPr>
        <w:ind w:left="660" w:firstLine="644"/>
        <w:spacing w:after="0" w:line="250" w:lineRule="auto"/>
        <w:tabs>
          <w:tab w:leader="none" w:pos="182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costs incurred by Landlord due to the violation by Landlord, its employees, agents or contractors or any tenant of the terms and conditions of any lease of space in the Project or any Requirements;</w:t>
      </w:r>
    </w:p>
    <w:p>
      <w:pPr>
        <w:spacing w:after="0" w:line="108" w:lineRule="exact"/>
        <w:rPr>
          <w:rFonts w:ascii="Times New Roman" w:cs="Times New Roman" w:eastAsia="Times New Roman" w:hAnsi="Times New Roman"/>
          <w:sz w:val="18"/>
          <w:szCs w:val="18"/>
          <w:color w:val="auto"/>
        </w:rPr>
      </w:pPr>
    </w:p>
    <w:p>
      <w:pPr>
        <w:jc w:val="both"/>
        <w:ind w:left="660" w:right="20" w:firstLine="644"/>
        <w:spacing w:after="0" w:line="231" w:lineRule="auto"/>
        <w:tabs>
          <w:tab w:leader="none" w:pos="185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penalties, fines or interest incurred as a result of Landlord’s inability or failure to make payment of taxes and/or to file any tax or informational returns when due, or from Landlord’s failure to make any payment of taxes required to be made by Landlord hereunder before delinquency;</w:t>
      </w:r>
    </w:p>
    <w:p>
      <w:pPr>
        <w:spacing w:after="0" w:line="131" w:lineRule="exact"/>
        <w:rPr>
          <w:rFonts w:ascii="Times New Roman" w:cs="Times New Roman" w:eastAsia="Times New Roman" w:hAnsi="Times New Roman"/>
          <w:sz w:val="18"/>
          <w:szCs w:val="18"/>
          <w:color w:val="auto"/>
        </w:rPr>
      </w:pPr>
    </w:p>
    <w:p>
      <w:pPr>
        <w:ind w:left="660" w:firstLine="644"/>
        <w:spacing w:after="0" w:line="237" w:lineRule="auto"/>
        <w:tabs>
          <w:tab w:leader="none" w:pos="186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overhead and profit increment paid to Landlord or to subsidiaries or affiliates of Landlord for goods and/or services in or to the Project to the extent the same exceeds the costs of such goods and/or services rendered by unaffiliated third parties on a competitive basis;</w:t>
      </w:r>
    </w:p>
    <w:p>
      <w:pPr>
        <w:spacing w:after="0" w:line="131"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costs of Landlord’s charitable or political contributions, or of fine art maintained at the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04" w:right="339" w:bottom="1440" w:gutter="0" w:footer="0" w:header="0"/>
        </w:sectPr>
      </w:pPr>
    </w:p>
    <w:bookmarkStart w:id="253" w:name="page254"/>
    <w:bookmarkEnd w:id="253"/>
    <w:p>
      <w:pPr>
        <w:jc w:val="both"/>
        <w:ind w:left="660" w:firstLine="644"/>
        <w:spacing w:after="0" w:line="231" w:lineRule="auto"/>
        <w:tabs>
          <w:tab w:leader="none" w:pos="185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costs in connection with services (including electricity), items or other benefits of a type which are not standard for the Project and which are not available to Tenant without specific charges therefor, but which are provided to another tenant or occupant of the Project, whether or not such other tenant or occupant is specifically charged therefor by Landlord;</w:t>
      </w:r>
    </w:p>
    <w:p>
      <w:pPr>
        <w:spacing w:after="0" w:line="117"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costs incurred in the sale or refinancing of the Project (or any portion thereof);</w:t>
      </w:r>
    </w:p>
    <w:p>
      <w:pPr>
        <w:spacing w:after="0" w:line="157" w:lineRule="exact"/>
        <w:rPr>
          <w:rFonts w:ascii="Times New Roman" w:cs="Times New Roman" w:eastAsia="Times New Roman" w:hAnsi="Times New Roman"/>
          <w:sz w:val="18"/>
          <w:szCs w:val="18"/>
          <w:color w:val="auto"/>
        </w:rPr>
      </w:pPr>
    </w:p>
    <w:p>
      <w:pPr>
        <w:ind w:left="660" w:firstLine="644"/>
        <w:spacing w:after="0" w:line="237" w:lineRule="auto"/>
        <w:tabs>
          <w:tab w:leader="none" w:pos="200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net income taxes of Landlord or the owner of any interest in the Project, franchise, capital stock, gift, estate or inheritance taxes or any federal, state or local documentary taxes imposed against the Project or any portion thereof or interest therein;</w:t>
      </w:r>
    </w:p>
    <w:p>
      <w:pPr>
        <w:spacing w:after="0" w:line="131" w:lineRule="exact"/>
        <w:rPr>
          <w:rFonts w:ascii="Times New Roman" w:cs="Times New Roman" w:eastAsia="Times New Roman" w:hAnsi="Times New Roman"/>
          <w:sz w:val="18"/>
          <w:szCs w:val="18"/>
          <w:color w:val="auto"/>
        </w:rPr>
      </w:pPr>
    </w:p>
    <w:p>
      <w:pPr>
        <w:ind w:left="660" w:firstLine="644"/>
        <w:spacing w:after="0" w:line="237" w:lineRule="auto"/>
        <w:tabs>
          <w:tab w:leader="none" w:pos="186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costs or expenses otherwise includable in Operating Costs to the extent actually reimbursed by insurance policies required to be maintained by Landlord in accordance with the terms of this Lease;</w:t>
      </w:r>
    </w:p>
    <w:p>
      <w:pPr>
        <w:spacing w:after="0" w:line="131"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Operating Cost reserves (other than reserves for taxes for the then-current year);</w:t>
      </w:r>
    </w:p>
    <w:p>
      <w:pPr>
        <w:spacing w:after="0" w:line="157" w:lineRule="exact"/>
        <w:rPr>
          <w:rFonts w:ascii="Times New Roman" w:cs="Times New Roman" w:eastAsia="Times New Roman" w:hAnsi="Times New Roman"/>
          <w:sz w:val="18"/>
          <w:szCs w:val="18"/>
          <w:color w:val="auto"/>
        </w:rPr>
      </w:pPr>
    </w:p>
    <w:p>
      <w:pPr>
        <w:jc w:val="both"/>
        <w:ind w:left="660" w:firstLine="644"/>
        <w:spacing w:after="0" w:line="226" w:lineRule="auto"/>
        <w:tabs>
          <w:tab w:leader="none" w:pos="192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rentals of equipment ordinarily considered to be of a capital nature (such as elevators and HVAC systems) except if such equipment is reasonably and customarily leased either temporarily or permanently in the operation of comparable office and laboratory buildings in the Boston-Seaport area;</w:t>
      </w:r>
    </w:p>
    <w:p>
      <w:pPr>
        <w:spacing w:after="0" w:line="130" w:lineRule="exact"/>
        <w:rPr>
          <w:rFonts w:ascii="Times New Roman" w:cs="Times New Roman" w:eastAsia="Times New Roman" w:hAnsi="Times New Roman"/>
          <w:sz w:val="18"/>
          <w:szCs w:val="18"/>
          <w:color w:val="auto"/>
        </w:rPr>
      </w:pPr>
    </w:p>
    <w:p>
      <w:pPr>
        <w:ind w:left="660" w:right="20" w:firstLine="644"/>
        <w:spacing w:after="0" w:line="237" w:lineRule="auto"/>
        <w:tabs>
          <w:tab w:leader="none" w:pos="189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costs or expenses that are duplicative of maintenance and repair costs and expenses actually paid by Tenant in satisfaction of Tenant’s maintenance and repair obligations pursuant to this Lease;</w:t>
      </w:r>
    </w:p>
    <w:p>
      <w:pPr>
        <w:spacing w:after="0" w:line="13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costs or expenses occasioned by condemnation that are actually recovered by Landlord in any condemnation awards;</w:t>
      </w:r>
    </w:p>
    <w:p>
      <w:pPr>
        <w:spacing w:after="0" w:line="157"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costs reimbursable to Landlord under any warranty carried by Landlord for the Building or the Project or any portion thereof;</w:t>
      </w:r>
    </w:p>
    <w:p>
      <w:pPr>
        <w:spacing w:after="0" w:line="144"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costs arising from the gross negligence or willful misconduct of Landlord or its agents, and employees;</w:t>
      </w:r>
    </w:p>
    <w:p>
      <w:pPr>
        <w:spacing w:after="0" w:line="157" w:lineRule="exact"/>
        <w:rPr>
          <w:rFonts w:ascii="Times New Roman" w:cs="Times New Roman" w:eastAsia="Times New Roman" w:hAnsi="Times New Roman"/>
          <w:sz w:val="18"/>
          <w:szCs w:val="18"/>
          <w:color w:val="auto"/>
        </w:rPr>
      </w:pPr>
    </w:p>
    <w:p>
      <w:pPr>
        <w:ind w:left="660" w:firstLine="644"/>
        <w:spacing w:after="0" w:line="237" w:lineRule="auto"/>
        <w:tabs>
          <w:tab w:leader="none" w:pos="192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costs incurred to remove, study, test or remediate Hazardous Materials in or about the Premises, the Building or the Project for which Tenant is not responsible under Section 30 hereof;</w:t>
      </w:r>
    </w:p>
    <w:p>
      <w:pPr>
        <w:spacing w:after="0" w:line="131"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costs of signs at the Project identifying Landlord or any other tenants of the Project;</w:t>
      </w:r>
    </w:p>
    <w:p>
      <w:pPr>
        <w:spacing w:after="0" w:line="157" w:lineRule="exact"/>
        <w:rPr>
          <w:rFonts w:ascii="Times New Roman" w:cs="Times New Roman" w:eastAsia="Times New Roman" w:hAnsi="Times New Roman"/>
          <w:sz w:val="18"/>
          <w:szCs w:val="18"/>
          <w:color w:val="auto"/>
        </w:rPr>
      </w:pPr>
    </w:p>
    <w:p>
      <w:pPr>
        <w:ind w:left="660" w:firstLine="644"/>
        <w:spacing w:after="0" w:line="237" w:lineRule="auto"/>
        <w:tabs>
          <w:tab w:leader="none" w:pos="215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expenses applicable to applying and reporting for the Building or the Project solely for the purpose of seeking or maintaining a Leadership in Energy and Environmental Design (LEED), WELL Building Standard, or other similar “green” certification rating;</w:t>
      </w:r>
    </w:p>
    <w:p>
      <w:pPr>
        <w:spacing w:after="0" w:line="117" w:lineRule="exact"/>
        <w:rPr>
          <w:rFonts w:ascii="Times New Roman" w:cs="Times New Roman" w:eastAsia="Times New Roman" w:hAnsi="Times New Roman"/>
          <w:sz w:val="18"/>
          <w:szCs w:val="18"/>
          <w:color w:val="auto"/>
        </w:rPr>
      </w:pPr>
    </w:p>
    <w:p>
      <w:pPr>
        <w:ind w:left="660" w:firstLine="644"/>
        <w:spacing w:after="0" w:line="250" w:lineRule="auto"/>
        <w:tabs>
          <w:tab w:leader="none" w:pos="196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expenses otherwise includable within Operating Costs to the extent actually reimbursed by persons other than tenants of the Project under leases for space in the Project.</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Costs for any calendar year during the Lease Term shall be computed and adjusted upward so that Operating Costs shall at all times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equal the product of actual Operating Costs incurred during such year times the fraction, the numerator of which is the rentable area of the Building and the denominator of which is the average number (determined on annualized basis) of the rentable area of the Building which is, during such year, subject to a lease agreement with Landlord under which the tenant thereunder is required to pay its proportionate share of Operating Costs.</w:t>
      </w:r>
    </w:p>
    <w:p>
      <w:pPr>
        <w:spacing w:after="0" w:line="13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Without limiting the generality of the foregoing, Landlord shall have the obligation to equitably allocate and prorate some or all of the Operating Costs among different tenants (the “</w:t>
      </w:r>
      <w:r>
        <w:rPr>
          <w:rFonts w:ascii="Times New Roman" w:cs="Times New Roman" w:eastAsia="Times New Roman" w:hAnsi="Times New Roman"/>
          <w:sz w:val="18"/>
          <w:szCs w:val="18"/>
          <w:b w:val="1"/>
          <w:bCs w:val="1"/>
          <w:color w:val="auto"/>
        </w:rPr>
        <w:t>Cost Pools</w:t>
      </w:r>
      <w:r>
        <w:rPr>
          <w:rFonts w:ascii="Times New Roman" w:cs="Times New Roman" w:eastAsia="Times New Roman" w:hAnsi="Times New Roman"/>
          <w:sz w:val="18"/>
          <w:szCs w:val="18"/>
          <w:color w:val="auto"/>
        </w:rPr>
        <w:t>”), adjusting Tenant’s Proportionate Share as to each of the separately allocated costs based on the ratio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rentable area of the Leased Premises to the rentable area of all of the premises to which such costs are allocated. Such Cost Pools shall include Tenant’s Laboratory Share and may also include, without limitation, other differentiation of the office space, retail space and laboratory tenants of the Building.</w:t>
      </w:r>
    </w:p>
    <w:p>
      <w:pPr>
        <w:spacing w:after="0" w:line="12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Permitted Transferee </w:t>
      </w:r>
      <w:r>
        <w:rPr>
          <w:rFonts w:ascii="Times New Roman" w:cs="Times New Roman" w:eastAsia="Times New Roman" w:hAnsi="Times New Roman"/>
          <w:sz w:val="18"/>
          <w:szCs w:val="18"/>
          <w:color w:val="auto"/>
        </w:rPr>
        <w:t>shall mean: (a) a business entity resulting from a merger or consolidation into or with Tenant, or a reorganization of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 a business entity to which all or substantially all of Tenant’s assets or stock are transferred; or (c) a Related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04" w:right="339" w:bottom="1440" w:gutter="0" w:footer="0" w:header="0"/>
        </w:sectPr>
      </w:pPr>
    </w:p>
    <w:bookmarkStart w:id="254" w:name="page255"/>
    <w:bookmarkEnd w:id="254"/>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Prime Lease </w:t>
      </w:r>
      <w:r>
        <w:rPr>
          <w:rFonts w:ascii="Times New Roman" w:cs="Times New Roman" w:eastAsia="Times New Roman" w:hAnsi="Times New Roman"/>
          <w:sz w:val="18"/>
          <w:szCs w:val="18"/>
          <w:color w:val="auto"/>
        </w:rPr>
        <w:t>shall mean that certain long term lease agreement dated March 21, 1985 by and between The Economic Development and Industrial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of Boston, a corporation organized under the laws of the Commonwealth of Massachusetts, as landlord and The New England Design Center,</w:t>
      </w: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as tenant as amended, covering the Building and certain real property on which the Building is situated, as the same may be further amended from time to time.</w:t>
      </w:r>
    </w:p>
    <w:p>
      <w:pPr>
        <w:spacing w:after="0" w:line="12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Prohibited Use </w:t>
      </w:r>
      <w:r>
        <w:rPr>
          <w:rFonts w:ascii="Times New Roman" w:cs="Times New Roman" w:eastAsia="Times New Roman" w:hAnsi="Times New Roman"/>
          <w:sz w:val="18"/>
          <w:szCs w:val="18"/>
          <w:color w:val="auto"/>
        </w:rPr>
        <w:t>shall mean any use or occupancy of the Leased Premises that in Landlord’s reasonable judgment would: (a) cause damage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Project or any equipment, facilities or other systems therein; (b) impair the appearance of the Project; (c) interfere with the efficient and economical maintenance, operation and repair of the Leased Premises or the Project or the equipment, facilities or systems thereof; (d) adversely affect any service</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provided to, and/or the use and occupancy by, any Project tenant or occupants; (e) not comply with applicable Requirements; (f) materially and adversely affect the first-class image of the Project; (g) [intentionally omitted]; or (h) result in protests or civil disorder or commotions at, or other disruptions of the normal business activities in, the Project. Notwithstanding anything to the contrary contained herein, Landlord represents that the use and occupancy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for the Permitted Use shall not, in itself, constitute a Prohibited Use.</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Project </w:t>
      </w:r>
      <w:r>
        <w:rPr>
          <w:rFonts w:ascii="Times New Roman" w:cs="Times New Roman" w:eastAsia="Times New Roman" w:hAnsi="Times New Roman"/>
          <w:sz w:val="18"/>
          <w:szCs w:val="18"/>
          <w:color w:val="auto"/>
        </w:rPr>
        <w:t>shall mean the Building and the Land and all other improvements now or hereafter situated on the Land.</w:t>
      </w:r>
    </w:p>
    <w:p>
      <w:pPr>
        <w:spacing w:after="0" w:line="15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Related Entity </w:t>
      </w:r>
      <w:r>
        <w:rPr>
          <w:rFonts w:ascii="Times New Roman" w:cs="Times New Roman" w:eastAsia="Times New Roman" w:hAnsi="Times New Roman"/>
          <w:sz w:val="18"/>
          <w:szCs w:val="18"/>
          <w:color w:val="auto"/>
        </w:rPr>
        <w:t>shall mean: A business entity, including without limitation any subsidiary, franchisee, division or affiliate, which Controls,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Controlled by, or is under common Control with, Tenant.</w:t>
      </w:r>
    </w:p>
    <w:p>
      <w:pPr>
        <w:spacing w:after="0" w:line="128" w:lineRule="exact"/>
        <w:rPr>
          <w:sz w:val="20"/>
          <w:szCs w:val="20"/>
          <w:color w:val="auto"/>
        </w:rPr>
      </w:pPr>
    </w:p>
    <w:p>
      <w:pPr>
        <w:jc w:val="both"/>
        <w:ind w:right="20"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Requirements </w:t>
      </w:r>
      <w:r>
        <w:rPr>
          <w:rFonts w:ascii="Times New Roman" w:cs="Times New Roman" w:eastAsia="Times New Roman" w:hAnsi="Times New Roman"/>
          <w:sz w:val="18"/>
          <w:szCs w:val="18"/>
          <w:color w:val="auto"/>
        </w:rPr>
        <w:t>shall mean all present and future laws, rules, orders, ordinances, regulations, statutes, requirements, codes and executive orders,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extraordinary and ordinary of (i) all Governmental Authorities, including the ADA and any law of like import, and all rules, regulations and government</w:t>
      </w:r>
    </w:p>
    <w:p>
      <w:pPr>
        <w:jc w:val="both"/>
        <w:spacing w:after="0" w:line="208" w:lineRule="auto"/>
        <w:rPr>
          <w:sz w:val="20"/>
          <w:szCs w:val="20"/>
          <w:color w:val="auto"/>
        </w:rPr>
      </w:pPr>
      <w:r>
        <w:rPr>
          <w:rFonts w:ascii="Times New Roman" w:cs="Times New Roman" w:eastAsia="Times New Roman" w:hAnsi="Times New Roman"/>
          <w:sz w:val="18"/>
          <w:szCs w:val="18"/>
          <w:color w:val="auto"/>
        </w:rPr>
        <w:t>orders with respect thereto, and any of the foregoing relating to Hazardous Materials, environmental matters, public health and safety matters, and landmarks protection, (ii) any applicable fire rating bureau or other body exercising similar functions, affecting the Project or the maintenance, use or occupation thereof, or any street, avenue or sidewalk comprising a part of or in front thereof or any vault in or under the same, (iii) all requirements of all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bodies affecting the Project, and (iv) utility service providers.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Trade Fixtures </w:t>
      </w:r>
      <w:r>
        <w:rPr>
          <w:rFonts w:ascii="Times New Roman" w:cs="Times New Roman" w:eastAsia="Times New Roman" w:hAnsi="Times New Roman"/>
          <w:sz w:val="18"/>
          <w:szCs w:val="18"/>
          <w:color w:val="auto"/>
        </w:rPr>
        <w:t>shall mean any and all signs placed by Tenant within the Leased Premises pursuant to provisions hereof and any and all items of</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property used by Tenant in the Leased Premises including, but not limited to, furniture and equipment; provided, however, that the term “</w:t>
      </w:r>
      <w:r>
        <w:rPr>
          <w:rFonts w:ascii="Times New Roman" w:cs="Times New Roman" w:eastAsia="Times New Roman" w:hAnsi="Times New Roman"/>
          <w:sz w:val="18"/>
          <w:szCs w:val="18"/>
          <w:b w:val="1"/>
          <w:bCs w:val="1"/>
          <w:color w:val="auto"/>
        </w:rPr>
        <w:t>Trade Fixtures</w:t>
      </w:r>
      <w:r>
        <w:rPr>
          <w:rFonts w:ascii="Times New Roman" w:cs="Times New Roman" w:eastAsia="Times New Roman" w:hAnsi="Times New Roman"/>
          <w:sz w:val="18"/>
          <w:szCs w:val="18"/>
          <w:color w:val="auto"/>
        </w:rPr>
        <w:t>” shall not include any permanent leasehold improvements including, but not limited to, any floor, wall or ceiling coverings, any interior walls or partitions, any lighting fixtures, track lights or any property a part of or associated with any electrical, plumbing or mechanical system, notwithstanding that the same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have been installed within the Leased Premises.</w:t>
      </w:r>
    </w:p>
    <w:p>
      <w:pPr>
        <w:spacing w:after="0" w:line="1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Exhibits, Supplements and Riders</w:t>
      </w:r>
      <w:r>
        <w:rPr>
          <w:rFonts w:ascii="Times New Roman" w:cs="Times New Roman" w:eastAsia="Times New Roman" w:hAnsi="Times New Roman"/>
          <w:sz w:val="18"/>
          <w:szCs w:val="18"/>
          <w:color w:val="auto"/>
        </w:rPr>
        <w:t>. The Exhibits, Supplements and Riders attached to this Lease are hereby incorporated herein and hereby made a part of this Lease. In the event of a conflict as between this Lease and any Exhibits, Supplements or Riders, this Lease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00" w:right="339" w:bottom="1440" w:gutter="0" w:footer="0" w:header="0"/>
        </w:sectPr>
      </w:pPr>
    </w:p>
    <w:bookmarkStart w:id="255" w:name="page256"/>
    <w:bookmarkEnd w:id="255"/>
    <w:p>
      <w:pPr>
        <w:ind w:left="480"/>
        <w:spacing w:after="0"/>
        <w:rPr>
          <w:sz w:val="20"/>
          <w:szCs w:val="20"/>
          <w:color w:val="auto"/>
        </w:rPr>
      </w:pPr>
      <w:r>
        <w:rPr>
          <w:rFonts w:ascii="Times New Roman" w:cs="Times New Roman" w:eastAsia="Times New Roman" w:hAnsi="Times New Roman"/>
          <w:sz w:val="17"/>
          <w:szCs w:val="17"/>
          <w:color w:val="auto"/>
        </w:rPr>
        <w:t>IN WITNESS WHEREOF, Landlord and Tenant have executed this Lease as of the day and year first above written.</w:t>
      </w:r>
    </w:p>
    <w:p>
      <w:pPr>
        <w:spacing w:after="0" w:line="16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“LANDLORD”</w:t>
      </w:r>
    </w:p>
    <w:p>
      <w:pPr>
        <w:spacing w:after="0" w:line="17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IDB 17-19 DRYDOCK LIMITED PARTNERSHIP,</w:t>
      </w:r>
    </w:p>
    <w:p>
      <w:pPr>
        <w:ind w:left="372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167" w:lineRule="exact"/>
        <w:rPr>
          <w:sz w:val="20"/>
          <w:szCs w:val="20"/>
          <w:color w:val="auto"/>
        </w:rPr>
      </w:pPr>
    </w:p>
    <w:p>
      <w:pPr>
        <w:ind w:left="3720"/>
        <w:spacing w:after="0"/>
        <w:tabs>
          <w:tab w:leader="none" w:pos="4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IDB 17-19 GP Corp.,</w:t>
      </w:r>
    </w:p>
    <w:p>
      <w:pPr>
        <w:ind w:left="4200"/>
        <w:spacing w:after="0" w:line="203" w:lineRule="auto"/>
        <w:rPr>
          <w:sz w:val="20"/>
          <w:szCs w:val="20"/>
          <w:color w:val="auto"/>
        </w:rPr>
      </w:pPr>
      <w:r>
        <w:rPr>
          <w:rFonts w:ascii="Times New Roman" w:cs="Times New Roman" w:eastAsia="Times New Roman" w:hAnsi="Times New Roman"/>
          <w:sz w:val="18"/>
          <w:szCs w:val="18"/>
          <w:color w:val="auto"/>
        </w:rPr>
        <w:t>a Delaware corporation,</w:t>
      </w:r>
    </w:p>
    <w:p>
      <w:pPr>
        <w:ind w:left="42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67"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Dana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-635</wp:posOffset>
            </wp:positionV>
            <wp:extent cx="8356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0">
                      <a:extLst>
                        <a:ext uri="{28A0092B-C50C-407E-A947-70E740481C1C}"/>
                      </a:extLst>
                    </a:blip>
                    <a:srcRect/>
                    <a:stretch>
                      <a:fillRect/>
                    </a:stretch>
                  </pic:blipFill>
                  <pic:spPr bwMode="auto">
                    <a:xfrm>
                      <a:off x="0" y="0"/>
                      <a:ext cx="835660" cy="8255"/>
                    </a:xfrm>
                    <a:prstGeom prst="rect">
                      <a:avLst/>
                    </a:prstGeom>
                    <a:noFill/>
                  </pic:spPr>
                </pic:pic>
              </a:graphicData>
            </a:graphic>
          </wp:anchor>
        </w:drawing>
      </w:r>
    </w:p>
    <w:p>
      <w:pPr>
        <w:ind w:left="4200"/>
        <w:spacing w:after="0" w:line="215" w:lineRule="auto"/>
        <w:tabs>
          <w:tab w:leader="none" w:pos="48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Dana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3086735</wp:posOffset>
            </wp:positionH>
            <wp:positionV relativeFrom="paragraph">
              <wp:posOffset>0</wp:posOffset>
            </wp:positionV>
            <wp:extent cx="6991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1">
                      <a:extLst>
                        <a:ext uri="{28A0092B-C50C-407E-A947-70E740481C1C}"/>
                      </a:extLst>
                    </a:blip>
                    <a:srcRect/>
                    <a:stretch>
                      <a:fillRect/>
                    </a:stretch>
                  </pic:blipFill>
                  <pic:spPr bwMode="auto">
                    <a:xfrm>
                      <a:off x="0" y="0"/>
                      <a:ext cx="699135" cy="8890"/>
                    </a:xfrm>
                    <a:prstGeom prst="rect">
                      <a:avLst/>
                    </a:prstGeom>
                    <a:noFill/>
                  </pic:spPr>
                </pic:pic>
              </a:graphicData>
            </a:graphic>
          </wp:anchor>
        </w:drawing>
      </w:r>
    </w:p>
    <w:p>
      <w:pPr>
        <w:ind w:left="4200"/>
        <w:spacing w:after="0"/>
        <w:tabs>
          <w:tab w:leader="none" w:pos="474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3025775</wp:posOffset>
            </wp:positionH>
            <wp:positionV relativeFrom="paragraph">
              <wp:posOffset>-20320</wp:posOffset>
            </wp:positionV>
            <wp:extent cx="11010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2">
                      <a:extLst>
                        <a:ext uri="{28A0092B-C50C-407E-A947-70E740481C1C}"/>
                      </a:extLst>
                    </a:blip>
                    <a:srcRect/>
                    <a:stretch>
                      <a:fillRect/>
                    </a:stretch>
                  </pic:blipFill>
                  <pic:spPr bwMode="auto">
                    <a:xfrm>
                      <a:off x="0" y="0"/>
                      <a:ext cx="1101090" cy="8255"/>
                    </a:xfrm>
                    <a:prstGeom prst="rect">
                      <a:avLst/>
                    </a:prstGeom>
                    <a:noFill/>
                  </pic:spPr>
                </pic:pic>
              </a:graphicData>
            </a:graphic>
          </wp:anchor>
        </w:drawing>
      </w:r>
    </w:p>
    <w:p>
      <w:pPr>
        <w:spacing w:after="0" w:line="15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“TENANT”</w:t>
      </w:r>
    </w:p>
    <w:p>
      <w:pPr>
        <w:spacing w:after="0" w:line="17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ENTRADA THERAPEUTICS, INC.,</w:t>
      </w:r>
    </w:p>
    <w:p>
      <w:pPr>
        <w:ind w:left="37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167" w:lineRule="exact"/>
        <w:rPr>
          <w:sz w:val="20"/>
          <w:szCs w:val="20"/>
          <w:color w:val="auto"/>
        </w:rPr>
      </w:pPr>
    </w:p>
    <w:p>
      <w:pPr>
        <w:ind w:left="3720"/>
        <w:spacing w:after="0"/>
        <w:tabs>
          <w:tab w:leader="none" w:pos="4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Dipal Doshi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-635</wp:posOffset>
            </wp:positionV>
            <wp:extent cx="8058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3">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ind w:left="4360"/>
        <w:spacing w:after="0" w:line="203" w:lineRule="auto"/>
        <w:rPr>
          <w:sz w:val="20"/>
          <w:szCs w:val="20"/>
          <w:color w:val="auto"/>
        </w:rPr>
      </w:pPr>
      <w:r>
        <w:rPr>
          <w:rFonts w:ascii="Times New Roman" w:cs="Times New Roman" w:eastAsia="Times New Roman" w:hAnsi="Times New Roman"/>
          <w:sz w:val="18"/>
          <w:szCs w:val="18"/>
          <w:color w:val="auto"/>
        </w:rPr>
        <w:t>Name: Dipal Doshi</w:t>
      </w:r>
    </w:p>
    <w:p>
      <w:pPr>
        <w:ind w:left="4360"/>
        <w:spacing w:after="0" w:line="219" w:lineRule="auto"/>
        <w:rPr>
          <w:sz w:val="20"/>
          <w:szCs w:val="20"/>
          <w:color w:val="auto"/>
        </w:rPr>
      </w:pPr>
      <w:r>
        <w:rPr>
          <w:rFonts w:ascii="Times New Roman" w:cs="Times New Roman" w:eastAsia="Times New Roman" w:hAnsi="Times New Roman"/>
          <w:sz w:val="18"/>
          <w:szCs w:val="18"/>
          <w:color w:val="auto"/>
        </w:rPr>
        <w:t>Title: President &amp; Chief Executive Officer</w:t>
      </w:r>
    </w:p>
    <w:p>
      <w:pPr>
        <w:spacing w:after="0" w:line="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959"/>
          </w:cols>
          <w:pgMar w:left="500" w:top="1404" w:right="1440" w:bottom="1440" w:gutter="0" w:footer="0" w:header="0"/>
        </w:sectPr>
      </w:pPr>
    </w:p>
    <w:bookmarkStart w:id="256" w:name="page257"/>
    <w:bookmarkEnd w:id="256"/>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FIRST AMENDMENT TO LEASE AGREEMENT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FIRST AMENDMENT TO LEASE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made as of the </w:t>
      </w:r>
      <w:r>
        <w:rPr>
          <w:rFonts w:ascii="Times New Roman" w:cs="Times New Roman" w:eastAsia="Times New Roman" w:hAnsi="Times New Roman"/>
          <w:sz w:val="18"/>
          <w:szCs w:val="18"/>
          <w:u w:val="single" w:color="auto"/>
          <w:color w:val="auto"/>
        </w:rPr>
        <w:t>5th</w:t>
      </w:r>
      <w:r>
        <w:rPr>
          <w:rFonts w:ascii="Times New Roman" w:cs="Times New Roman" w:eastAsia="Times New Roman" w:hAnsi="Times New Roman"/>
          <w:sz w:val="18"/>
          <w:szCs w:val="18"/>
          <w:color w:val="auto"/>
        </w:rPr>
        <w:t>_ day of April, 2023 (“</w:t>
      </w:r>
      <w:r>
        <w:rPr>
          <w:rFonts w:ascii="Times New Roman" w:cs="Times New Roman" w:eastAsia="Times New Roman" w:hAnsi="Times New Roman"/>
          <w:sz w:val="18"/>
          <w:szCs w:val="18"/>
          <w:u w:val="single" w:color="auto"/>
          <w:color w:val="auto"/>
        </w:rPr>
        <w:t>Execution Date</w:t>
      </w:r>
      <w:r>
        <w:rPr>
          <w:rFonts w:ascii="Times New Roman" w:cs="Times New Roman" w:eastAsia="Times New Roman" w:hAnsi="Times New Roman"/>
          <w:sz w:val="18"/>
          <w:szCs w:val="18"/>
          <w:color w:val="auto"/>
        </w:rPr>
        <w:t>”), by and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between </w:t>
      </w:r>
      <w:r>
        <w:rPr>
          <w:rFonts w:ascii="Times New Roman" w:cs="Times New Roman" w:eastAsia="Times New Roman" w:hAnsi="Times New Roman"/>
          <w:sz w:val="18"/>
          <w:szCs w:val="18"/>
          <w:b w:val="1"/>
          <w:bCs w:val="1"/>
          <w:color w:val="auto"/>
        </w:rPr>
        <w:t>IDB 17-19 DRYDOCK LIMITED PARTNERSHIP,</w:t>
      </w:r>
      <w:r>
        <w:rPr>
          <w:rFonts w:ascii="Times New Roman" w:cs="Times New Roman" w:eastAsia="Times New Roman" w:hAnsi="Times New Roman"/>
          <w:sz w:val="18"/>
          <w:szCs w:val="18"/>
          <w:color w:val="auto"/>
        </w:rPr>
        <w:t xml:space="preserve"> a Delaware limited partnership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ENTRADA THERAPEUTICS, INC.</w:t>
      </w:r>
      <w:r>
        <w:rPr>
          <w:rFonts w:ascii="Times New Roman" w:cs="Times New Roman" w:eastAsia="Times New Roman" w:hAnsi="Times New Roman"/>
          <w:sz w:val="18"/>
          <w:szCs w:val="18"/>
          <w:color w:val="auto"/>
        </w:rPr>
        <w:t>, a Delaware corporation, with an address of 17-19 Drydock Avenue, One Design Place, Boston, Massachusetts 02210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Landlord and Tenant entered into that certain Lease Agreement dated March 16, 2022, as affected by a Letter Agreement dated June</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(undated), 2022 and a Landlord Consent to Sublease dated February 6, 2023 (collectively, the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relating to certain space containing, in the aggregate, approximately 81,442 rentable square feet comprised of: (i) approximately 72,314 rentable square feet located on the fifth (5th) floor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Floor Premises</w:t>
      </w:r>
      <w:r>
        <w:rPr>
          <w:rFonts w:ascii="Times New Roman" w:cs="Times New Roman" w:eastAsia="Times New Roman" w:hAnsi="Times New Roman"/>
          <w:sz w:val="18"/>
          <w:szCs w:val="18"/>
          <w:color w:val="auto"/>
        </w:rPr>
        <w:t>”); (ii) approximately 8,324 rentable square feet located on the sixth (6th) floor; and (iii) approximately 804 rentable square feet located on</w:t>
      </w:r>
    </w:p>
    <w:p>
      <w:pPr>
        <w:spacing w:after="0" w:line="1"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8"/>
          <w:szCs w:val="18"/>
          <w:color w:val="auto"/>
        </w:rPr>
        <w:t>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floor of the Building comprised of chemical storage space known as “Chem Storage A 19-183A” (“</w:t>
      </w:r>
      <w:r>
        <w:rPr>
          <w:rFonts w:ascii="Times New Roman" w:cs="Times New Roman" w:eastAsia="Times New Roman" w:hAnsi="Times New Roman"/>
          <w:sz w:val="18"/>
          <w:szCs w:val="18"/>
          <w:u w:val="single" w:color="auto"/>
          <w:color w:val="auto"/>
        </w:rPr>
        <w:t>First Floor Premises</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Leased Premises</w:t>
      </w:r>
      <w:r>
        <w:rPr>
          <w:rFonts w:ascii="Times New Roman" w:cs="Times New Roman" w:eastAsia="Times New Roman" w:hAnsi="Times New Roman"/>
          <w:sz w:val="18"/>
          <w:szCs w:val="18"/>
          <w:color w:val="auto"/>
        </w:rPr>
        <w:t>”), within the building located at 17-19 Drydock Avenue, One Design Place, Boston, Massachusetts. All capitalized words and phrases used in this Amendment and not otherwise defined herein will have the meanings ascribed to them in the Lease.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parties desire to modify certain provisions of the Lease as set forth herein.</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NOW THEREFORE, in consideration of Ten Dollars ($10.00) and other good and valuable consideration, the receipt, sufficiency and delivery of which are hereby acknowledged, the parties hereby agree that the Lease is hereby amended as follows:</w:t>
      </w:r>
    </w:p>
    <w:p>
      <w:pPr>
        <w:spacing w:after="0" w:line="109" w:lineRule="exact"/>
        <w:rPr>
          <w:sz w:val="20"/>
          <w:szCs w:val="20"/>
          <w:color w:val="auto"/>
        </w:rPr>
      </w:pPr>
    </w:p>
    <w:p>
      <w:pPr>
        <w:ind w:left="1180" w:hanging="356"/>
        <w:spacing w:after="0"/>
        <w:tabs>
          <w:tab w:leader="none" w:pos="1180" w:val="left"/>
        </w:tabs>
        <w:numPr>
          <w:ilvl w:val="0"/>
          <w:numId w:val="15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Leased Premises</w:t>
      </w:r>
      <w:r>
        <w:rPr>
          <w:rFonts w:ascii="Times New Roman" w:cs="Times New Roman" w:eastAsia="Times New Roman" w:hAnsi="Times New Roman"/>
          <w:sz w:val="18"/>
          <w:szCs w:val="18"/>
          <w:color w:val="auto"/>
        </w:rPr>
        <w:t>. The definition of “Leased Premises” in Article 1 of the Lease is deleted and the following is substituted in its place:</w:t>
      </w:r>
    </w:p>
    <w:p>
      <w:pPr>
        <w:spacing w:after="0" w:line="198" w:lineRule="exact"/>
        <w:rPr>
          <w:sz w:val="20"/>
          <w:szCs w:val="20"/>
          <w:color w:val="auto"/>
        </w:rPr>
      </w:pPr>
    </w:p>
    <w:p>
      <w:pPr>
        <w:jc w:val="both"/>
        <w:ind w:left="1300"/>
        <w:spacing w:after="0" w:line="198" w:lineRule="auto"/>
        <w:rPr>
          <w:sz w:val="20"/>
          <w:szCs w:val="20"/>
          <w:color w:val="auto"/>
        </w:rPr>
      </w:pPr>
      <w:r>
        <w:rPr>
          <w:rFonts w:ascii="Times New Roman" w:cs="Times New Roman" w:eastAsia="Times New Roman" w:hAnsi="Times New Roman"/>
          <w:sz w:val="18"/>
          <w:szCs w:val="18"/>
          <w:color w:val="auto"/>
        </w:rPr>
        <w:t>“Leased Premises shall mean, in the aggregate, approximately 81,229 rentable square feet comprised of: (i) approximately 72,330 rentable square feet located on the fifth (5th) floor; (ii) approximately 8,324 rentable square feet located on the sixth (6th) floor; and (iii) approximately 575 rentable square feet located on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floor of the Building comprised of chemical storage space and shown as</w:t>
      </w:r>
    </w:p>
    <w:p>
      <w:pPr>
        <w:ind w:left="1300"/>
        <w:spacing w:after="0"/>
        <w:rPr>
          <w:sz w:val="20"/>
          <w:szCs w:val="20"/>
          <w:color w:val="auto"/>
        </w:rPr>
      </w:pPr>
      <w:r>
        <w:rPr>
          <w:rFonts w:ascii="Times New Roman" w:cs="Times New Roman" w:eastAsia="Times New Roman" w:hAnsi="Times New Roman"/>
          <w:sz w:val="18"/>
          <w:szCs w:val="18"/>
          <w:color w:val="auto"/>
        </w:rPr>
        <w:t>“Chem Storage A 19-183A”, all withn the building located at One Design Place, Boston, Massachusetts.”</w:t>
      </w:r>
    </w:p>
    <w:p>
      <w:pPr>
        <w:spacing w:after="0" w:line="124" w:lineRule="exact"/>
        <w:rPr>
          <w:sz w:val="20"/>
          <w:szCs w:val="20"/>
          <w:color w:val="auto"/>
        </w:rPr>
      </w:pPr>
    </w:p>
    <w:p>
      <w:pPr>
        <w:jc w:val="both"/>
        <w:ind w:firstLine="824"/>
        <w:spacing w:after="0" w:line="223" w:lineRule="auto"/>
        <w:tabs>
          <w:tab w:leader="none" w:pos="113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Fifth Floor Premises</w:t>
      </w:r>
      <w:r>
        <w:rPr>
          <w:rFonts w:ascii="Times New Roman" w:cs="Times New Roman" w:eastAsia="Times New Roman" w:hAnsi="Times New Roman"/>
          <w:sz w:val="18"/>
          <w:szCs w:val="18"/>
          <w:color w:val="auto"/>
        </w:rPr>
        <w:t>. The parties acknowledge and agree that the Fifth Floor Premises have been increased from 72,314 rentable square feet to 72,330 rentable square feet to include 16 rentable square feet located in the designated base building electrical rooms for the purposes of Tenant installing a tenant battery back-up inverter system (“</w:t>
      </w:r>
      <w:r>
        <w:rPr>
          <w:rFonts w:ascii="Times New Roman" w:cs="Times New Roman" w:eastAsia="Times New Roman" w:hAnsi="Times New Roman"/>
          <w:sz w:val="18"/>
          <w:szCs w:val="18"/>
          <w:u w:val="single" w:color="auto"/>
          <w:color w:val="auto"/>
        </w:rPr>
        <w:t>Tenant’s Inverter System</w:t>
      </w:r>
      <w:r>
        <w:rPr>
          <w:rFonts w:ascii="Times New Roman" w:cs="Times New Roman" w:eastAsia="Times New Roman" w:hAnsi="Times New Roman"/>
          <w:sz w:val="18"/>
          <w:szCs w:val="18"/>
          <w:color w:val="auto"/>
        </w:rPr>
        <w:t xml:space="preserve">”). The location of Tenant’s Inverter System is as shown on </w:t>
      </w:r>
      <w:r>
        <w:rPr>
          <w:rFonts w:ascii="Times New Roman" w:cs="Times New Roman" w:eastAsia="Times New Roman" w:hAnsi="Times New Roman"/>
          <w:sz w:val="18"/>
          <w:szCs w:val="18"/>
          <w:u w:val="single" w:color="auto"/>
          <w:color w:val="auto"/>
        </w:rPr>
        <w:t>Exhibit A, 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 Pages 1 and 2</w:t>
      </w:r>
      <w:r>
        <w:rPr>
          <w:rFonts w:ascii="Times New Roman" w:cs="Times New Roman" w:eastAsia="Times New Roman" w:hAnsi="Times New Roman"/>
          <w:sz w:val="18"/>
          <w:szCs w:val="18"/>
          <w:color w:val="auto"/>
        </w:rPr>
        <w:t>, attached hereto and incorporated by reference herein. The use of Tenant’s Inverter System shall be upon all of the same terms and conditions of the Lease including, without limitation, the obligation of Tenant to remove Tenant’s Inverter System, pursuant to Section 5.4 thereof.</w:t>
      </w:r>
    </w:p>
    <w:p>
      <w:pPr>
        <w:spacing w:after="0" w:line="118" w:lineRule="exact"/>
        <w:rPr>
          <w:rFonts w:ascii="Times New Roman" w:cs="Times New Roman" w:eastAsia="Times New Roman" w:hAnsi="Times New Roman"/>
          <w:sz w:val="18"/>
          <w:szCs w:val="18"/>
          <w:color w:val="auto"/>
        </w:rPr>
      </w:pPr>
    </w:p>
    <w:p>
      <w:pPr>
        <w:jc w:val="both"/>
        <w:ind w:firstLine="824"/>
        <w:spacing w:after="0" w:line="215" w:lineRule="auto"/>
        <w:tabs>
          <w:tab w:leader="none" w:pos="118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 Floor Premises; Landlord’s First Floor Premises Work</w:t>
      </w:r>
      <w:r>
        <w:rPr>
          <w:rFonts w:ascii="Times New Roman" w:cs="Times New Roman" w:eastAsia="Times New Roman" w:hAnsi="Times New Roman"/>
          <w:sz w:val="18"/>
          <w:szCs w:val="18"/>
          <w:color w:val="auto"/>
        </w:rPr>
        <w:t xml:space="preserve">. The parties acknowledge and agree that the First Floor Premises have been reduced from 804 rentable square feet to 575 rentable square feet for the purpose of Tenant modifying the location of the existing First Floor Premises to match the location shown on </w:t>
      </w:r>
      <w:r>
        <w:rPr>
          <w:rFonts w:ascii="Times New Roman" w:cs="Times New Roman" w:eastAsia="Times New Roman" w:hAnsi="Times New Roman"/>
          <w:sz w:val="18"/>
          <w:szCs w:val="18"/>
          <w:u w:val="single" w:color="auto"/>
          <w:color w:val="auto"/>
        </w:rPr>
        <w:t>Exhibit B, First Amendment</w:t>
      </w:r>
      <w:r>
        <w:rPr>
          <w:rFonts w:ascii="Times New Roman" w:cs="Times New Roman" w:eastAsia="Times New Roman" w:hAnsi="Times New Roman"/>
          <w:sz w:val="18"/>
          <w:szCs w:val="18"/>
          <w:color w:val="auto"/>
        </w:rPr>
        <w:t>, attached hereto and incorporated by reference herein; provided, however, that Landlord shall, per Tenant’s request, and at Tenant’s cost and expense, build out the First Floor Premises (“</w:t>
      </w:r>
      <w:r>
        <w:rPr>
          <w:rFonts w:ascii="Times New Roman" w:cs="Times New Roman" w:eastAsia="Times New Roman" w:hAnsi="Times New Roman"/>
          <w:sz w:val="18"/>
          <w:szCs w:val="18"/>
          <w:u w:val="single" w:color="auto"/>
          <w:color w:val="auto"/>
        </w:rPr>
        <w:t>Landlord’s First Floor Premises Work</w:t>
      </w:r>
      <w:r>
        <w:rPr>
          <w:rFonts w:ascii="Times New Roman" w:cs="Times New Roman" w:eastAsia="Times New Roman" w:hAnsi="Times New Roman"/>
          <w:sz w:val="18"/>
          <w:szCs w:val="18"/>
          <w:color w:val="auto"/>
        </w:rPr>
        <w:t xml:space="preserve">”) in accordance with the layout shown on </w:t>
      </w:r>
      <w:r>
        <w:rPr>
          <w:rFonts w:ascii="Times New Roman" w:cs="Times New Roman" w:eastAsia="Times New Roman" w:hAnsi="Times New Roman"/>
          <w:sz w:val="18"/>
          <w:szCs w:val="18"/>
          <w:u w:val="single" w:color="auto"/>
          <w:color w:val="auto"/>
        </w:rPr>
        <w:t>Exhibit C, First Amendment</w:t>
      </w:r>
      <w:r>
        <w:rPr>
          <w:rFonts w:ascii="Times New Roman" w:cs="Times New Roman" w:eastAsia="Times New Roman" w:hAnsi="Times New Roman"/>
          <w:sz w:val="18"/>
          <w:szCs w:val="18"/>
          <w:color w:val="auto"/>
        </w:rPr>
        <w:t>, attached hereto and incorporated by reference herein. Unless otherwise paid for through the Landlord’s Contribution under the Lease, Tenant shall reimburse Landlord for the costs of Landlord’s First Floor Premises Work within thirty (30) days of receipt of billing from Landlord. Landlord shall coordinate the time of performance of Landlord’s First Floor Premises Work with Tenant so as to minimize any disruption of Tenant’s business, provided however, that Tenant shall not be entitled to any diminution in rental value on account of the performance of Landlord’s First Floor Premises Work. Effective as of the Execution Date, Exhibit A, Sheet 3 (Floor Plan of Chemical Storage Area on First Floor) attached to the Lease is hereby deleted and is of no further force or effect.</w:t>
      </w:r>
    </w:p>
    <w:p>
      <w:pPr>
        <w:spacing w:after="0" w:line="130" w:lineRule="exact"/>
        <w:rPr>
          <w:rFonts w:ascii="Times New Roman" w:cs="Times New Roman" w:eastAsia="Times New Roman" w:hAnsi="Times New Roman"/>
          <w:sz w:val="18"/>
          <w:szCs w:val="18"/>
          <w:color w:val="auto"/>
        </w:rPr>
      </w:pPr>
    </w:p>
    <w:p>
      <w:pPr>
        <w:ind w:firstLine="824"/>
        <w:spacing w:after="0" w:line="237" w:lineRule="auto"/>
        <w:tabs>
          <w:tab w:leader="none" w:pos="113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Rent</w:t>
      </w:r>
      <w:r>
        <w:rPr>
          <w:rFonts w:ascii="Times New Roman" w:cs="Times New Roman" w:eastAsia="Times New Roman" w:hAnsi="Times New Roman"/>
          <w:sz w:val="18"/>
          <w:szCs w:val="18"/>
          <w:color w:val="auto"/>
        </w:rPr>
        <w:t xml:space="preserve">. Exhibit E to the Lease (Base Rent Payment Schedule) is hereby deleted and replaced with </w:t>
      </w:r>
      <w:r>
        <w:rPr>
          <w:rFonts w:ascii="Times New Roman" w:cs="Times New Roman" w:eastAsia="Times New Roman" w:hAnsi="Times New Roman"/>
          <w:sz w:val="18"/>
          <w:szCs w:val="18"/>
          <w:u w:val="single" w:color="auto"/>
          <w:color w:val="auto"/>
        </w:rPr>
        <w:t>Revised Exhibit E, First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Base Rent Payment Schedule</w:t>
      </w:r>
      <w:r>
        <w:rPr>
          <w:rFonts w:ascii="Times New Roman" w:cs="Times New Roman" w:eastAsia="Times New Roman" w:hAnsi="Times New Roman"/>
          <w:sz w:val="18"/>
          <w:szCs w:val="18"/>
          <w:color w:val="auto"/>
        </w:rPr>
        <w:t>, a copy of which is attached hereto and incorporated by reference herein.</w:t>
      </w:r>
    </w:p>
    <w:p>
      <w:pPr>
        <w:spacing w:after="0" w:line="131" w:lineRule="exact"/>
        <w:rPr>
          <w:rFonts w:ascii="Times New Roman" w:cs="Times New Roman" w:eastAsia="Times New Roman" w:hAnsi="Times New Roman"/>
          <w:sz w:val="18"/>
          <w:szCs w:val="18"/>
          <w:color w:val="auto"/>
        </w:rPr>
      </w:pPr>
    </w:p>
    <w:p>
      <w:pPr>
        <w:ind w:right="20" w:firstLine="824"/>
        <w:spacing w:after="0" w:line="237" w:lineRule="auto"/>
        <w:tabs>
          <w:tab w:leader="none" w:pos="119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Tenant’s Proportionate Share</w:t>
      </w:r>
      <w:r>
        <w:rPr>
          <w:rFonts w:ascii="Times New Roman" w:cs="Times New Roman" w:eastAsia="Times New Roman" w:hAnsi="Times New Roman"/>
          <w:sz w:val="18"/>
          <w:szCs w:val="18"/>
          <w:color w:val="auto"/>
        </w:rPr>
        <w:t>. The definition of “Tenant’s Proportionate Share” in Article 1 of the Lease is deleted and the following is substituted in its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257" w:name="page258"/>
    <w:bookmarkEnd w:id="257"/>
    <w:p>
      <w:pPr>
        <w:jc w:val="both"/>
        <w:ind w:left="1300"/>
        <w:spacing w:after="0" w:line="222" w:lineRule="auto"/>
        <w:rPr>
          <w:sz w:val="20"/>
          <w:szCs w:val="20"/>
          <w:color w:val="auto"/>
        </w:rPr>
      </w:pPr>
      <w:r>
        <w:rPr>
          <w:rFonts w:ascii="Times New Roman" w:cs="Times New Roman" w:eastAsia="Times New Roman" w:hAnsi="Times New Roman"/>
          <w:sz w:val="18"/>
          <w:szCs w:val="18"/>
          <w:color w:val="auto"/>
        </w:rPr>
        <w:t>“Tenant’s Proportionate Share shall mean 14.68% (81,229 SF / 553,245 SF). The parties hereto further stipulate and agree that Tenant’s Proportionate Share of Operating Costs shall be deemed a separately enumerated amount for purposes of the Prime Lease, particularly,</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but without limitation, for purposes of Exhibit D of the Prime Lease.”</w:t>
      </w:r>
    </w:p>
    <w:p>
      <w:pPr>
        <w:spacing w:after="0" w:line="124" w:lineRule="exact"/>
        <w:rPr>
          <w:sz w:val="20"/>
          <w:szCs w:val="20"/>
          <w:color w:val="auto"/>
        </w:rPr>
      </w:pPr>
    </w:p>
    <w:p>
      <w:pPr>
        <w:ind w:left="1140" w:hanging="316"/>
        <w:spacing w:after="0"/>
        <w:tabs>
          <w:tab w:leader="none" w:pos="11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Capitalized Terms</w:t>
      </w:r>
      <w:r>
        <w:rPr>
          <w:rFonts w:ascii="Times New Roman" w:cs="Times New Roman" w:eastAsia="Times New Roman" w:hAnsi="Times New Roman"/>
          <w:sz w:val="18"/>
          <w:szCs w:val="18"/>
          <w:color w:val="auto"/>
        </w:rPr>
        <w:t>. Capitalized terms that are not otherwise defined herein shall have the meaning set forth in the Lease.</w:t>
      </w:r>
    </w:p>
    <w:p>
      <w:pPr>
        <w:spacing w:after="0" w:line="146" w:lineRule="exact"/>
        <w:rPr>
          <w:rFonts w:ascii="Times New Roman" w:cs="Times New Roman" w:eastAsia="Times New Roman" w:hAnsi="Times New Roman"/>
          <w:sz w:val="18"/>
          <w:szCs w:val="18"/>
          <w:color w:val="auto"/>
        </w:rPr>
      </w:pPr>
    </w:p>
    <w:p>
      <w:pPr>
        <w:ind w:left="1160" w:hanging="336"/>
        <w:spacing w:after="0"/>
        <w:tabs>
          <w:tab w:leader="none" w:pos="11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shall be governed by the laws of the Commonwealth of Massachusetts without regard to its conflict of</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 provisions.</w:t>
      </w:r>
    </w:p>
    <w:p>
      <w:pPr>
        <w:spacing w:after="0" w:line="137" w:lineRule="exact"/>
        <w:rPr>
          <w:rFonts w:ascii="Times New Roman" w:cs="Times New Roman" w:eastAsia="Times New Roman" w:hAnsi="Times New Roman"/>
          <w:sz w:val="18"/>
          <w:szCs w:val="18"/>
          <w:color w:val="auto"/>
        </w:rPr>
      </w:pPr>
    </w:p>
    <w:p>
      <w:pPr>
        <w:ind w:firstLine="824"/>
        <w:spacing w:after="0" w:line="237" w:lineRule="auto"/>
        <w:tabs>
          <w:tab w:leader="none" w:pos="114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Conflicts</w:t>
      </w:r>
      <w:r>
        <w:rPr>
          <w:rFonts w:ascii="Times New Roman" w:cs="Times New Roman" w:eastAsia="Times New Roman" w:hAnsi="Times New Roman"/>
          <w:sz w:val="18"/>
          <w:szCs w:val="18"/>
          <w:color w:val="auto"/>
        </w:rPr>
        <w:t>. Any inconsistencies or conflicts between the terms and provisions of the Lease and the terms and provisions of this Amendment shall be resolved in favor of the terms and provisions of this Amendment.</w:t>
      </w:r>
    </w:p>
    <w:p>
      <w:pPr>
        <w:spacing w:after="0" w:line="131" w:lineRule="exact"/>
        <w:rPr>
          <w:rFonts w:ascii="Times New Roman" w:cs="Times New Roman" w:eastAsia="Times New Roman" w:hAnsi="Times New Roman"/>
          <w:sz w:val="18"/>
          <w:szCs w:val="18"/>
          <w:color w:val="auto"/>
        </w:rPr>
      </w:pPr>
    </w:p>
    <w:p>
      <w:pPr>
        <w:jc w:val="both"/>
        <w:ind w:firstLine="824"/>
        <w:spacing w:after="0" w:line="215" w:lineRule="auto"/>
        <w:tabs>
          <w:tab w:leader="none" w:pos="118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Tenant hereby represents and warrants to Landlord that (i) the execution and delivery of this Amendment by Tenant has been duly authorized by all requisite corporate action; (ii) except for the sublease referred to in the Consent to Sublease referenced in the Recitals, neither the Lease nor the interest of the Tenant therein has been assigned, sublet, encumbered or otherwise transferred; (iii) there are no defenses or counterclaims to the enforcement of the Lease or the liabilities and obligations of Tenant thereunder; (iv) Tenant is not entitled to any offset, abatement or reduction of rent under the Lease; and (v) neither Landlord or Tenant is in breach or default of any its respective obligations under the Lease. This Amendment sets forth the entire agreement between the parties with respect to the matters set forth herein. Except as herein modified or amended, the provisions, conditions and terms of the Lease shall remain unchanged and in full force and effect. This Amendment shall not be binding upon Landlord or Tenant unless and until Landlord has executed and delivered to Tenant a fully-executed version of this Amendment.</w:t>
      </w:r>
    </w:p>
    <w:p>
      <w:pPr>
        <w:spacing w:after="0" w:line="136" w:lineRule="exact"/>
        <w:rPr>
          <w:rFonts w:ascii="Times New Roman" w:cs="Times New Roman" w:eastAsia="Times New Roman" w:hAnsi="Times New Roman"/>
          <w:sz w:val="18"/>
          <w:szCs w:val="18"/>
          <w:color w:val="auto"/>
        </w:rPr>
      </w:pPr>
    </w:p>
    <w:p>
      <w:pPr>
        <w:jc w:val="both"/>
        <w:ind w:firstLine="824"/>
        <w:spacing w:after="0" w:line="215" w:lineRule="auto"/>
        <w:tabs>
          <w:tab w:leader="none" w:pos="122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by electronic signatures, each of which shall be considered as an original signature for all purposes and shall have the same force and effect as an original signature. Without limitation, in addition to electronically produced signatures, “electronic signature” shall include electronically scanned and transmitted versions (e.g., via PDF and/or DocuSign) of an original signature. This Amendment may be executed in multiple counterparts (which counterparts may be executed and delivered by PDF, DocuSign, or another file sent by email) which shall together constitute a single document. Any executed counterpart of this Amendment delivered by PDF, DocuSign or another file sent by email shall be equally effective as an original counterpart for all purposes. The submission of drafts of this document for examination and negotiation does not constitute an offer, or the acceptance of an offer, and this Amendment shall not be binding upon Landlord or Tenant unless and until Landlord shall have executed and delivered a fully-executed copy of this Amendment to Tenant.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4" w:right="3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Amendment as of the day and year first above written.</w:t>
      </w:r>
    </w:p>
    <w:p>
      <w:pPr>
        <w:sectPr>
          <w:pgSz w:w="11900" w:h="16838" w:orient="portrait"/>
          <w:cols w:equalWidth="0" w:num="1">
            <w:col w:w="9479"/>
          </w:cols>
          <w:pgMar w:left="980" w:top="1404"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IDB 17-19 DRYDOCK LIMITED PARTNERSHIP,</w:t>
      </w:r>
    </w:p>
    <w:p>
      <w:pPr>
        <w:ind w:left="324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194" w:lineRule="exact"/>
        <w:rPr>
          <w:sz w:val="20"/>
          <w:szCs w:val="20"/>
          <w:color w:val="auto"/>
        </w:rPr>
      </w:pPr>
    </w:p>
    <w:p>
      <w:pPr>
        <w:ind w:left="3240"/>
        <w:spacing w:after="0"/>
        <w:tabs>
          <w:tab w:leader="none" w:pos="3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IDB 17-19 GP Corp.,</w:t>
      </w:r>
    </w:p>
    <w:p>
      <w:pPr>
        <w:ind w:left="960"/>
        <w:spacing w:after="0" w:line="203" w:lineRule="auto"/>
        <w:rPr>
          <w:sz w:val="20"/>
          <w:szCs w:val="20"/>
          <w:color w:val="auto"/>
        </w:rPr>
      </w:pPr>
      <w:r>
        <w:rPr>
          <w:rFonts w:ascii="Times New Roman" w:cs="Times New Roman" w:eastAsia="Times New Roman" w:hAnsi="Times New Roman"/>
          <w:sz w:val="18"/>
          <w:szCs w:val="18"/>
          <w:color w:val="auto"/>
        </w:rPr>
        <w:t>a Delaware corporation,</w:t>
      </w:r>
    </w:p>
    <w:p>
      <w:pPr>
        <w:ind w:left="9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4" w:lineRule="exact"/>
        <w:rPr>
          <w:sz w:val="20"/>
          <w:szCs w:val="20"/>
          <w:color w:val="auto"/>
        </w:rPr>
      </w:pPr>
    </w:p>
    <w:p>
      <w:pPr>
        <w:ind w:left="4500"/>
        <w:spacing w:after="0"/>
        <w:tabs>
          <w:tab w:leader="none" w:pos="4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Dana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-635</wp:posOffset>
            </wp:positionV>
            <wp:extent cx="9499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4">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ind w:left="3240"/>
        <w:spacing w:after="0" w:line="215" w:lineRule="auto"/>
        <w:tabs>
          <w:tab w:leader="none" w:pos="38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Dana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2473325</wp:posOffset>
            </wp:positionH>
            <wp:positionV relativeFrom="paragraph">
              <wp:posOffset>0</wp:posOffset>
            </wp:positionV>
            <wp:extent cx="9277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5">
                      <a:extLst>
                        <a:ext uri="{28A0092B-C50C-407E-A947-70E740481C1C}"/>
                      </a:extLst>
                    </a:blip>
                    <a:srcRect/>
                    <a:stretch>
                      <a:fillRect/>
                    </a:stretch>
                  </pic:blipFill>
                  <pic:spPr bwMode="auto">
                    <a:xfrm>
                      <a:off x="0" y="0"/>
                      <a:ext cx="927735" cy="8255"/>
                    </a:xfrm>
                    <a:prstGeom prst="rect">
                      <a:avLst/>
                    </a:prstGeom>
                    <a:noFill/>
                  </pic:spPr>
                </pic:pic>
              </a:graphicData>
            </a:graphic>
          </wp:anchor>
        </w:drawing>
      </w:r>
    </w:p>
    <w:p>
      <w:pPr>
        <w:ind w:left="3240"/>
        <w:spacing w:after="0"/>
        <w:tabs>
          <w:tab w:leader="none" w:pos="37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2412365</wp:posOffset>
            </wp:positionH>
            <wp:positionV relativeFrom="paragraph">
              <wp:posOffset>-20320</wp:posOffset>
            </wp:positionV>
            <wp:extent cx="12153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6">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18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ENTRADA THERAPEUTICS, INC.,</w:t>
      </w:r>
    </w:p>
    <w:p>
      <w:pPr>
        <w:ind w:left="324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0" w:lineRule="exact"/>
        <w:rPr>
          <w:sz w:val="20"/>
          <w:szCs w:val="20"/>
          <w:color w:val="auto"/>
        </w:rPr>
      </w:pPr>
    </w:p>
    <w:p>
      <w:pPr>
        <w:spacing w:after="0" w:line="23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By:__</w:t>
      </w:r>
      <w:r>
        <w:rPr>
          <w:rFonts w:ascii="Times New Roman" w:cs="Times New Roman" w:eastAsia="Times New Roman" w:hAnsi="Times New Roman"/>
          <w:sz w:val="18"/>
          <w:szCs w:val="18"/>
          <w:u w:val="single" w:color="auto"/>
          <w:color w:val="auto"/>
        </w:rPr>
        <w:t>/s/ Dipal Doshi</w:t>
      </w:r>
      <w:r>
        <w:rPr>
          <w:rFonts w:ascii="Times New Roman" w:cs="Times New Roman" w:eastAsia="Times New Roman" w:hAnsi="Times New Roman"/>
          <w:sz w:val="18"/>
          <w:szCs w:val="18"/>
          <w:color w:val="auto"/>
        </w:rPr>
        <w:t>___________</w:t>
      </w:r>
    </w:p>
    <w:p>
      <w:pPr>
        <w:ind w:left="2820"/>
        <w:spacing w:after="0" w:line="203" w:lineRule="auto"/>
        <w:rPr>
          <w:sz w:val="20"/>
          <w:szCs w:val="20"/>
          <w:color w:val="auto"/>
        </w:rPr>
      </w:pPr>
      <w:r>
        <w:rPr>
          <w:rFonts w:ascii="Times New Roman" w:cs="Times New Roman" w:eastAsia="Times New Roman" w:hAnsi="Times New Roman"/>
          <w:sz w:val="18"/>
          <w:szCs w:val="18"/>
          <w:color w:val="auto"/>
        </w:rPr>
        <w:t>Name: Dipal Doshi</w:t>
      </w:r>
    </w:p>
    <w:p>
      <w:pPr>
        <w:ind w:left="282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479"/>
          </w:cols>
          <w:pgMar w:left="980" w:top="1404" w:right="1440" w:bottom="1440" w:gutter="0" w:footer="0" w:header="0"/>
          <w:type w:val="continuous"/>
        </w:sectPr>
      </w:pPr>
    </w:p>
    <w:bookmarkStart w:id="259" w:name="page260"/>
    <w:bookmarkEnd w:id="259"/>
    <w:p>
      <w:pPr>
        <w:jc w:val="right"/>
        <w:spacing w:after="0"/>
        <w:rPr>
          <w:sz w:val="20"/>
          <w:szCs w:val="20"/>
          <w:color w:val="auto"/>
        </w:rPr>
      </w:pPr>
      <w:r>
        <w:rPr>
          <w:rFonts w:ascii="Times New Roman" w:cs="Times New Roman" w:eastAsia="Times New Roman" w:hAnsi="Times New Roman"/>
          <w:sz w:val="22"/>
          <w:szCs w:val="22"/>
          <w:b w:val="1"/>
          <w:bCs w:val="1"/>
          <w:color w:val="auto"/>
        </w:rPr>
        <w:t>Exhibit 10.16</w:t>
      </w:r>
    </w:p>
    <w:p>
      <w:pPr>
        <w:spacing w:after="0" w:line="200" w:lineRule="exact"/>
        <w:rPr>
          <w:sz w:val="20"/>
          <w:szCs w:val="20"/>
          <w:color w:val="auto"/>
        </w:rPr>
      </w:pPr>
    </w:p>
    <w:p>
      <w:pPr>
        <w:spacing w:after="0" w:line="357"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22"/>
          <w:szCs w:val="22"/>
          <w:b w:val="1"/>
          <w:bCs w:val="1"/>
          <w:color w:val="auto"/>
        </w:rPr>
        <w:t>CERTAIN CONFIDENTIAL INFORMATION, MARKED BY [***] HAS BEEN EXCLUDED FROM THIS EXHIBIT BECAUSE IT IS BOTH NOT MATERIAL AND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STRATEGIC COLLABORATION AND LICENSE AGREEMENT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BETWEEN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VERTEX PHARMACEUTICALS INCORPORATED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ENTRADA THERAPEUTICS, INC.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7, 2022</w:t>
      </w:r>
    </w:p>
    <w:p>
      <w:pPr>
        <w:sectPr>
          <w:pgSz w:w="11900" w:h="16838" w:orient="portrait"/>
          <w:cols w:equalWidth="0" w:num="1">
            <w:col w:w="11240"/>
          </w:cols>
          <w:pgMar w:left="320" w:top="1391" w:right="339" w:bottom="1440" w:gutter="0" w:footer="0" w:header="0"/>
        </w:sectPr>
      </w:pPr>
    </w:p>
    <w:bookmarkStart w:id="260" w:name="page261"/>
    <w:bookmarkEnd w:id="260"/>
    <w:p>
      <w:pPr>
        <w:jc w:val="center"/>
        <w:spacing w:after="0"/>
        <w:rPr>
          <w:sz w:val="20"/>
          <w:szCs w:val="20"/>
          <w:color w:val="auto"/>
        </w:rPr>
      </w:pPr>
      <w:r>
        <w:rPr>
          <w:rFonts w:ascii="Times New Roman" w:cs="Times New Roman" w:eastAsia="Times New Roman" w:hAnsi="Times New Roman"/>
          <w:sz w:val="22"/>
          <w:szCs w:val="22"/>
          <w:b w:val="1"/>
          <w:bCs w:val="1"/>
          <w:color w:val="auto"/>
        </w:rPr>
        <w:t>STRATEGIC COLLABORATION AND LICENSE AGREEMENT</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This Strategic Collaboration and License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entered into as of December 7, 2022 (the “</w:t>
      </w:r>
      <w:r>
        <w:rPr>
          <w:rFonts w:ascii="Times New Roman" w:cs="Times New Roman" w:eastAsia="Times New Roman" w:hAnsi="Times New Roman"/>
          <w:sz w:val="22"/>
          <w:szCs w:val="22"/>
          <w:b w:val="1"/>
          <w:bCs w:val="1"/>
          <w:color w:val="auto"/>
        </w:rPr>
        <w:t>Execution Date</w:t>
      </w:r>
      <w:r>
        <w:rPr>
          <w:rFonts w:ascii="Times New Roman" w:cs="Times New Roman" w:eastAsia="Times New Roman" w:hAnsi="Times New Roman"/>
          <w:sz w:val="22"/>
          <w:szCs w:val="22"/>
          <w:color w:val="auto"/>
        </w:rPr>
        <w:t>”) by and between Vertex Pharmaceuticals Incorporated, a corporation organized under the laws of the Commonwealth of Massachusetts (“</w:t>
      </w:r>
      <w:r>
        <w:rPr>
          <w:rFonts w:ascii="Times New Roman" w:cs="Times New Roman" w:eastAsia="Times New Roman" w:hAnsi="Times New Roman"/>
          <w:sz w:val="22"/>
          <w:szCs w:val="22"/>
          <w:b w:val="1"/>
          <w:bCs w:val="1"/>
          <w:color w:val="auto"/>
        </w:rPr>
        <w:t>Vertex</w:t>
      </w:r>
      <w:r>
        <w:rPr>
          <w:rFonts w:ascii="Times New Roman" w:cs="Times New Roman" w:eastAsia="Times New Roman" w:hAnsi="Times New Roman"/>
          <w:sz w:val="22"/>
          <w:szCs w:val="22"/>
          <w:color w:val="auto"/>
        </w:rPr>
        <w:t>”), and Entrada Therapeutics, Inc., a corporation organized under the laws of the State of Delaware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Vertex and Company each may be referred to herein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or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4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Company owns or controls certain Patents and Know-How relating to EEV-PMOs for the treatment of</w:t>
      </w:r>
    </w:p>
    <w:p>
      <w:pPr>
        <w:spacing w:after="0"/>
        <w:rPr>
          <w:sz w:val="20"/>
          <w:szCs w:val="20"/>
          <w:color w:val="auto"/>
        </w:rPr>
      </w:pPr>
      <w:r>
        <w:rPr>
          <w:rFonts w:ascii="Times New Roman" w:cs="Times New Roman" w:eastAsia="Times New Roman" w:hAnsi="Times New Roman"/>
          <w:sz w:val="22"/>
          <w:szCs w:val="22"/>
          <w:color w:val="auto"/>
        </w:rPr>
        <w:t>DM1;</w:t>
      </w:r>
    </w:p>
    <w:p>
      <w:pPr>
        <w:spacing w:after="0" w:line="15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Vertex is a biopharmaceutical company that possesses expertise in developing and commercializing human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therapeutics;</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simultaneously with entering into this Agreement, Company and Vertex are entering into a Sublicense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pursuant to which Company grants to Vertex, and Vertex accepts, a sublicense to exploit Products under certain patents and know-how owned by OSIF;</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simultaneously with entering into this Agreement, Company and Vertex are entering into a Stock Purchase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pursuant to which Company will issue, and Vertex will purchase, shares of common stock of Company on the terms and conditions set forth therein;</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Vertex and Company desire to enter into this Agreement, pursuant to which Company would perform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certain research activities and grant to Vertex an exclusive license to exploit novel products for the treatment or prevention of DM1, using Company’s proprietary EEV delivery peptides; and</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respective covenants, representations, warranties and agreements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the Parties hereto agree as follows: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Agreement, the following capitalized terms will have the following meanings:</w:t>
      </w:r>
    </w:p>
    <w:p>
      <w:pPr>
        <w:spacing w:after="0" w:line="17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AAA</w:t>
      </w:r>
      <w:r>
        <w:rPr>
          <w:rFonts w:ascii="Times New Roman" w:cs="Times New Roman" w:eastAsia="Times New Roman" w:hAnsi="Times New Roman"/>
          <w:sz w:val="21"/>
          <w:szCs w:val="21"/>
          <w:color w:val="auto"/>
        </w:rPr>
        <w:t>” has the meaning set forth in Section 11.12.2.</w:t>
      </w:r>
    </w:p>
    <w:p>
      <w:pPr>
        <w:spacing w:after="0" w:line="17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Acquisition Transaction</w:t>
      </w:r>
      <w:r>
        <w:rPr>
          <w:rFonts w:ascii="Times New Roman" w:cs="Times New Roman" w:eastAsia="Times New Roman" w:hAnsi="Times New Roman"/>
          <w:sz w:val="21"/>
          <w:szCs w:val="21"/>
          <w:color w:val="auto"/>
        </w:rPr>
        <w:t>” has the meaning set forth in Section 4.6.</w:t>
      </w:r>
    </w:p>
    <w:p>
      <w:pPr>
        <w:spacing w:after="0" w:line="17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Additional Progress Report</w:t>
      </w:r>
      <w:r>
        <w:rPr>
          <w:rFonts w:ascii="Times New Roman" w:cs="Times New Roman" w:eastAsia="Times New Roman" w:hAnsi="Times New Roman"/>
          <w:sz w:val="21"/>
          <w:szCs w:val="21"/>
          <w:color w:val="auto"/>
        </w:rPr>
        <w:t>” has the meaning set forth in Section 2.1.8</w:t>
      </w:r>
    </w:p>
    <w:p>
      <w:pPr>
        <w:spacing w:after="0" w:line="17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Additional Research Activities</w:t>
      </w:r>
      <w:r>
        <w:rPr>
          <w:rFonts w:ascii="Times New Roman" w:cs="Times New Roman" w:eastAsia="Times New Roman" w:hAnsi="Times New Roman"/>
          <w:sz w:val="21"/>
          <w:szCs w:val="21"/>
          <w:color w:val="auto"/>
        </w:rPr>
        <w:t>” has the meaning set forth in Section 2.1.4.</w:t>
      </w:r>
    </w:p>
    <w:p>
      <w:pPr>
        <w:spacing w:after="0" w:line="17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Additional Research Budget</w:t>
      </w:r>
      <w:r>
        <w:rPr>
          <w:rFonts w:ascii="Times New Roman" w:cs="Times New Roman" w:eastAsia="Times New Roman" w:hAnsi="Times New Roman"/>
          <w:sz w:val="21"/>
          <w:szCs w:val="21"/>
          <w:color w:val="auto"/>
        </w:rPr>
        <w:t>” has the meaning set forth in Section 2.1.4.</w:t>
      </w:r>
    </w:p>
    <w:p>
      <w:pPr>
        <w:spacing w:after="0" w:line="17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Additional Research Plan</w:t>
      </w:r>
      <w:r>
        <w:rPr>
          <w:rFonts w:ascii="Times New Roman" w:cs="Times New Roman" w:eastAsia="Times New Roman" w:hAnsi="Times New Roman"/>
          <w:sz w:val="21"/>
          <w:szCs w:val="21"/>
          <w:color w:val="auto"/>
        </w:rPr>
        <w:t>” has the meaning set forth in Section 2.1.4.</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1.7. “</w:t>
      </w:r>
      <w:r>
        <w:rPr>
          <w:rFonts w:ascii="Times New Roman" w:cs="Times New Roman" w:eastAsia="Times New Roman" w:hAnsi="Times New Roman"/>
          <w:sz w:val="22"/>
          <w:szCs w:val="22"/>
          <w:b w:val="1"/>
          <w:bCs w:val="1"/>
          <w:color w:val="auto"/>
        </w:rPr>
        <w:t>Adverse Event</w:t>
      </w:r>
      <w:r>
        <w:rPr>
          <w:rFonts w:ascii="Times New Roman" w:cs="Times New Roman" w:eastAsia="Times New Roman" w:hAnsi="Times New Roman"/>
          <w:sz w:val="22"/>
          <w:szCs w:val="22"/>
          <w:color w:val="auto"/>
        </w:rPr>
        <w:t>” has the meaning set forth in the Applicable Law for such term (or comparable term), and will generally mean any untoward medical occurrence in a subject in any Clinical Trial or patient who has received a therapeutic product, medical device or placebo,</w:t>
      </w:r>
    </w:p>
    <w:p>
      <w:pPr>
        <w:sectPr>
          <w:pgSz w:w="11900" w:h="16838" w:orient="portrait"/>
          <w:cols w:equalWidth="0" w:num="1">
            <w:col w:w="11240"/>
          </w:cols>
          <w:pgMar w:left="320" w:top="1391" w:right="339" w:bottom="1440" w:gutter="0" w:footer="0" w:header="0"/>
        </w:sectPr>
      </w:pPr>
    </w:p>
    <w:bookmarkStart w:id="261" w:name="page262"/>
    <w:bookmarkEnd w:id="261"/>
    <w:p>
      <w:pPr>
        <w:jc w:val="both"/>
        <w:spacing w:after="0" w:line="220" w:lineRule="auto"/>
        <w:rPr>
          <w:sz w:val="20"/>
          <w:szCs w:val="20"/>
          <w:color w:val="auto"/>
        </w:rPr>
      </w:pPr>
      <w:r>
        <w:rPr>
          <w:rFonts w:ascii="Times New Roman" w:cs="Times New Roman" w:eastAsia="Times New Roman" w:hAnsi="Times New Roman"/>
          <w:sz w:val="22"/>
          <w:szCs w:val="22"/>
          <w:color w:val="auto"/>
        </w:rPr>
        <w:t>and which does not necessarily have a causal relationship with such therapeutic product, medical device or placebo, including any unfavorable and unintended sign (including an abnormal laboratory finding), symptom or disease temporally associated with the use of the applicable therapeutic product, medical device or placebo whether or not related to such therapeutic product, medical device or placebo.</w:t>
      </w:r>
    </w:p>
    <w:p>
      <w:pPr>
        <w:spacing w:after="0" w:line="14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1.8.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as of any point in time and for so long as such relationship continues to exist with respect to any Person, any other Person that controls, is controlled by or is under common control with such Person. A Person will be regarded as in control of another Person if it (a) owns or controls, directly or indirectly, more than 50% of the equity securities of the subject Person entitled to vote in the election of directors (or, in the case of a Person that is not a corporation, for the election of the corresponding managing authority), or (b) possesses, directly or indirectly, the power to direct or cause the direction of the management or policies of such Person (whether through ownership of securities or other ownership interests, by contract or otherwise).</w:t>
      </w:r>
    </w:p>
    <w:p>
      <w:pPr>
        <w:spacing w:after="0" w:line="14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has the meaning set forth in the Preamble.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Alliance Manager</w:t>
      </w:r>
      <w:r>
        <w:rPr>
          <w:rFonts w:ascii="Times New Roman" w:cs="Times New Roman" w:eastAsia="Times New Roman" w:hAnsi="Times New Roman"/>
          <w:sz w:val="21"/>
          <w:szCs w:val="21"/>
          <w:color w:val="auto"/>
        </w:rPr>
        <w:t>” has the meaning set forth in Section 3.4.1.</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1.11. “</w:t>
      </w:r>
      <w:r>
        <w:rPr>
          <w:rFonts w:ascii="Times New Roman" w:cs="Times New Roman" w:eastAsia="Times New Roman" w:hAnsi="Times New Roman"/>
          <w:sz w:val="22"/>
          <w:szCs w:val="22"/>
          <w:b w:val="1"/>
          <w:bCs w:val="1"/>
          <w:color w:val="auto"/>
        </w:rPr>
        <w:t>Annual Net Sales</w:t>
      </w:r>
      <w:r>
        <w:rPr>
          <w:rFonts w:ascii="Times New Roman" w:cs="Times New Roman" w:eastAsia="Times New Roman" w:hAnsi="Times New Roman"/>
          <w:sz w:val="22"/>
          <w:szCs w:val="22"/>
          <w:color w:val="auto"/>
        </w:rPr>
        <w:t>” means, with respect to a Product, the aggregate Net Sales of the Product sold by Vertex, its Affiliates or Sublicensees in the Field in the Territory during a Calendar Year and only during the Royalty Term for such Product(s) in the applicable country.</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1.12. “</w:t>
      </w:r>
      <w:r>
        <w:rPr>
          <w:rFonts w:ascii="Times New Roman" w:cs="Times New Roman" w:eastAsia="Times New Roman" w:hAnsi="Times New Roman"/>
          <w:sz w:val="22"/>
          <w:szCs w:val="22"/>
          <w:b w:val="1"/>
          <w:bCs w:val="1"/>
          <w:color w:val="auto"/>
        </w:rPr>
        <w:t>Antitrust Clearance Date</w:t>
      </w:r>
      <w:r>
        <w:rPr>
          <w:rFonts w:ascii="Times New Roman" w:cs="Times New Roman" w:eastAsia="Times New Roman" w:hAnsi="Times New Roman"/>
          <w:sz w:val="22"/>
          <w:szCs w:val="22"/>
          <w:color w:val="auto"/>
        </w:rPr>
        <w:t>” means, with respect to an HSR Filing made with respect to this Agreement, the earliest date on which the Parties have actual knowledge that (a) all applicable waiting periods under the HSR Act have expired or have been terminated and (b) if any other Antitrust Filings were made, all applicable waiting periods have expired or been terminated or all applicable consents have been received with respect to such Antitrust Filings as necessary to permit Vertex to consummate the transactions contemplated under this Agreement.</w:t>
      </w:r>
    </w:p>
    <w:p>
      <w:pPr>
        <w:spacing w:after="0" w:line="14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1.13. “</w:t>
      </w:r>
      <w:r>
        <w:rPr>
          <w:rFonts w:ascii="Times New Roman" w:cs="Times New Roman" w:eastAsia="Times New Roman" w:hAnsi="Times New Roman"/>
          <w:sz w:val="22"/>
          <w:szCs w:val="22"/>
          <w:b w:val="1"/>
          <w:bCs w:val="1"/>
          <w:color w:val="auto"/>
        </w:rPr>
        <w:t>Antitrust Filing</w:t>
      </w:r>
      <w:r>
        <w:rPr>
          <w:rFonts w:ascii="Times New Roman" w:cs="Times New Roman" w:eastAsia="Times New Roman" w:hAnsi="Times New Roman"/>
          <w:sz w:val="22"/>
          <w:szCs w:val="22"/>
          <w:color w:val="auto"/>
        </w:rPr>
        <w:t>” means an HSR Filing or any other antitrust filing by Company or Vertex or any of their Affiliates to comply with antitrust clearance processes with respect to the transactions contemplated by this Agreement.</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1.14. “</w:t>
      </w:r>
      <w:r>
        <w:rPr>
          <w:rFonts w:ascii="Times New Roman" w:cs="Times New Roman" w:eastAsia="Times New Roman" w:hAnsi="Times New Roman"/>
          <w:sz w:val="22"/>
          <w:szCs w:val="22"/>
          <w:b w:val="1"/>
          <w:bCs w:val="1"/>
          <w:color w:val="auto"/>
        </w:rPr>
        <w:t>Applicable Law</w:t>
      </w:r>
      <w:r>
        <w:rPr>
          <w:rFonts w:ascii="Times New Roman" w:cs="Times New Roman" w:eastAsia="Times New Roman" w:hAnsi="Times New Roman"/>
          <w:sz w:val="22"/>
          <w:szCs w:val="22"/>
          <w:color w:val="auto"/>
        </w:rPr>
        <w:t>” means all applicable laws, statutes, rules, regulations and other pronouncements having the effect of law of any federal, national, multinational, state, provincial, county, city or other political subdivision, agency or other body, domestic or foreign, including any applicable rules, regulations, guidelines, or other requirements of the Regulatory Authorities that may be in effect from time to time.</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1.15. “</w:t>
      </w:r>
      <w:r>
        <w:rPr>
          <w:rFonts w:ascii="Times New Roman" w:cs="Times New Roman" w:eastAsia="Times New Roman" w:hAnsi="Times New Roman"/>
          <w:sz w:val="22"/>
          <w:szCs w:val="22"/>
          <w:b w:val="1"/>
          <w:bCs w:val="1"/>
          <w:color w:val="auto"/>
        </w:rPr>
        <w:t>Approval Application</w:t>
      </w:r>
      <w:r>
        <w:rPr>
          <w:rFonts w:ascii="Times New Roman" w:cs="Times New Roman" w:eastAsia="Times New Roman" w:hAnsi="Times New Roman"/>
          <w:sz w:val="22"/>
          <w:szCs w:val="22"/>
          <w:color w:val="auto"/>
        </w:rPr>
        <w:t>” means a BLA, NDA or similar application or submission for a Product filed with a Regulatory Authority in a country or group of countries to obtain marketing approval for a biological or pharmaceutical product in that country or group of countries.</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Arbitration Notice</w:t>
      </w:r>
      <w:r>
        <w:rPr>
          <w:rFonts w:ascii="Times New Roman" w:cs="Times New Roman" w:eastAsia="Times New Roman" w:hAnsi="Times New Roman"/>
          <w:sz w:val="21"/>
          <w:szCs w:val="21"/>
          <w:color w:val="auto"/>
        </w:rPr>
        <w:t>” has the meaning set forth in Section 11.12.2.</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Audited Party</w:t>
      </w:r>
      <w:r>
        <w:rPr>
          <w:rFonts w:ascii="Times New Roman" w:cs="Times New Roman" w:eastAsia="Times New Roman" w:hAnsi="Times New Roman"/>
          <w:sz w:val="21"/>
          <w:szCs w:val="21"/>
          <w:color w:val="auto"/>
        </w:rPr>
        <w:t>” has the meaning set forth in Section 5.11.</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Auditing Party</w:t>
      </w:r>
      <w:r>
        <w:rPr>
          <w:rFonts w:ascii="Times New Roman" w:cs="Times New Roman" w:eastAsia="Times New Roman" w:hAnsi="Times New Roman"/>
          <w:sz w:val="21"/>
          <w:szCs w:val="21"/>
          <w:color w:val="auto"/>
        </w:rPr>
        <w:t>” has the meaning set forth in Section 5.11.</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Baseball Arbitration</w:t>
      </w:r>
      <w:r>
        <w:rPr>
          <w:rFonts w:ascii="Times New Roman" w:cs="Times New Roman" w:eastAsia="Times New Roman" w:hAnsi="Times New Roman"/>
          <w:sz w:val="21"/>
          <w:szCs w:val="21"/>
          <w:color w:val="auto"/>
        </w:rPr>
        <w:t xml:space="preserve">” means the arbitration process set forth in </w:t>
      </w:r>
      <w:r>
        <w:rPr>
          <w:rFonts w:ascii="Times New Roman" w:cs="Times New Roman" w:eastAsia="Times New Roman" w:hAnsi="Times New Roman"/>
          <w:sz w:val="21"/>
          <w:szCs w:val="21"/>
          <w:u w:val="single" w:color="auto"/>
          <w:color w:val="auto"/>
        </w:rPr>
        <w:t>Schedule 1.19</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262" w:name="page263"/>
    <w:bookmarkEnd w:id="262"/>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Baseball Expert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Schedule 1.19</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1.21. “</w:t>
      </w:r>
      <w:r>
        <w:rPr>
          <w:rFonts w:ascii="Times New Roman" w:cs="Times New Roman" w:eastAsia="Times New Roman" w:hAnsi="Times New Roman"/>
          <w:sz w:val="22"/>
          <w:szCs w:val="22"/>
          <w:b w:val="1"/>
          <w:bCs w:val="1"/>
          <w:color w:val="auto"/>
        </w:rPr>
        <w:t>BLA</w:t>
      </w:r>
      <w:r>
        <w:rPr>
          <w:rFonts w:ascii="Times New Roman" w:cs="Times New Roman" w:eastAsia="Times New Roman" w:hAnsi="Times New Roman"/>
          <w:sz w:val="22"/>
          <w:szCs w:val="22"/>
          <w:color w:val="auto"/>
        </w:rPr>
        <w:t>” means a Biologics License Application that is submitted to the FDA for marketing approval for a Product pursuant to 21 C.F.R. § 601.2.</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Breaching Party</w:t>
      </w:r>
      <w:r>
        <w:rPr>
          <w:rFonts w:ascii="Times New Roman" w:cs="Times New Roman" w:eastAsia="Times New Roman" w:hAnsi="Times New Roman"/>
          <w:sz w:val="21"/>
          <w:szCs w:val="21"/>
          <w:color w:val="auto"/>
        </w:rPr>
        <w:t>” means the Party that the other Party believes is in material breach of this Agreement.</w:t>
      </w:r>
    </w:p>
    <w:p>
      <w:pPr>
        <w:spacing w:after="0" w:line="179"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1.23. “</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 Monday, Tuesday, Wednesday, Thursday or Friday that is not a day on which banking institutions in Boston, Massachusetts are authorized or obligated to close.</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1.24. “</w:t>
      </w:r>
      <w:r>
        <w:rPr>
          <w:rFonts w:ascii="Times New Roman" w:cs="Times New Roman" w:eastAsia="Times New Roman" w:hAnsi="Times New Roman"/>
          <w:sz w:val="22"/>
          <w:szCs w:val="22"/>
          <w:b w:val="1"/>
          <w:bCs w:val="1"/>
          <w:color w:val="auto"/>
        </w:rPr>
        <w:t>Calendar Quarter</w:t>
      </w:r>
      <w:r>
        <w:rPr>
          <w:rFonts w:ascii="Times New Roman" w:cs="Times New Roman" w:eastAsia="Times New Roman" w:hAnsi="Times New Roman"/>
          <w:sz w:val="22"/>
          <w:szCs w:val="22"/>
          <w:color w:val="auto"/>
        </w:rPr>
        <w:t>” means the respective periods of three consecutive calendar months ending on March 31, June 30, September 30 or December 31, during the Term, or the applicable part thereof during the first or last calendar quarter of the Term.</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1.25. “</w:t>
      </w:r>
      <w:r>
        <w:rPr>
          <w:rFonts w:ascii="Times New Roman" w:cs="Times New Roman" w:eastAsia="Times New Roman" w:hAnsi="Times New Roman"/>
          <w:sz w:val="22"/>
          <w:szCs w:val="22"/>
          <w:b w:val="1"/>
          <w:bCs w:val="1"/>
          <w:color w:val="auto"/>
        </w:rPr>
        <w:t>Calendar Year</w:t>
      </w:r>
      <w:r>
        <w:rPr>
          <w:rFonts w:ascii="Times New Roman" w:cs="Times New Roman" w:eastAsia="Times New Roman" w:hAnsi="Times New Roman"/>
          <w:sz w:val="22"/>
          <w:szCs w:val="22"/>
          <w:color w:val="auto"/>
        </w:rPr>
        <w:t>” means any calendar year ending on December 31, or the applicable part thereof during the first or last year of the Term.</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CDA</w:t>
      </w:r>
      <w:r>
        <w:rPr>
          <w:rFonts w:ascii="Times New Roman" w:cs="Times New Roman" w:eastAsia="Times New Roman" w:hAnsi="Times New Roman"/>
          <w:sz w:val="21"/>
          <w:szCs w:val="21"/>
          <w:color w:val="auto"/>
        </w:rPr>
        <w:t>” has the meaning set forth in Section 1.45.</w:t>
      </w:r>
    </w:p>
    <w:p>
      <w:pPr>
        <w:spacing w:after="0" w:line="17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1.27. “</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means, with respect to a Party, (a) a merger or consolidation of such Party with a Third Party that results in the voting securities of such Party outstanding immediately prior thereto, or any securities into which such voting securities have been converted or exchanged, ceasing to represent more than 50% of the combined voting power of the surviving entity or the parent of the surviving entity immediately after such merger or consolidation, (b) a transaction or series of related transactions in which a Third Party, together with its Affiliates, becomes the beneficial owner of more than 50% of the combined voting power of the outstanding securities of such Party, or (c) the sale or other transfer to a Third Party of all or substantially all of such Party’s business or assets to which the subject matter of this Agreement relates.</w:t>
      </w:r>
    </w:p>
    <w:p>
      <w:pPr>
        <w:spacing w:after="0" w:line="14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1.28. “</w:t>
      </w:r>
      <w:r>
        <w:rPr>
          <w:rFonts w:ascii="Times New Roman" w:cs="Times New Roman" w:eastAsia="Times New Roman" w:hAnsi="Times New Roman"/>
          <w:sz w:val="22"/>
          <w:szCs w:val="22"/>
          <w:b w:val="1"/>
          <w:bCs w:val="1"/>
          <w:color w:val="auto"/>
        </w:rPr>
        <w:t>Clinical Trial</w:t>
      </w:r>
      <w:r>
        <w:rPr>
          <w:rFonts w:ascii="Times New Roman" w:cs="Times New Roman" w:eastAsia="Times New Roman" w:hAnsi="Times New Roman"/>
          <w:sz w:val="22"/>
          <w:szCs w:val="22"/>
          <w:color w:val="auto"/>
        </w:rPr>
        <w:t>” means a study in humans that is required to be conducted in accordance with GCP and is designed to generate data in support of an Approval Application.</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Combination Product</w:t>
      </w:r>
      <w:r>
        <w:rPr>
          <w:rFonts w:ascii="Times New Roman" w:cs="Times New Roman" w:eastAsia="Times New Roman" w:hAnsi="Times New Roman"/>
          <w:sz w:val="21"/>
          <w:szCs w:val="21"/>
          <w:color w:val="auto"/>
        </w:rPr>
        <w:t>” has the meaning set forth in Section 1.117.</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1.30. “</w:t>
      </w:r>
      <w:r>
        <w:rPr>
          <w:rFonts w:ascii="Times New Roman" w:cs="Times New Roman" w:eastAsia="Times New Roman" w:hAnsi="Times New Roman"/>
          <w:sz w:val="22"/>
          <w:szCs w:val="22"/>
          <w:b w:val="1"/>
          <w:bCs w:val="1"/>
          <w:color w:val="auto"/>
        </w:rPr>
        <w:t>Commercialize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Commercializing</w:t>
      </w:r>
      <w:r>
        <w:rPr>
          <w:rFonts w:ascii="Times New Roman" w:cs="Times New Roman" w:eastAsia="Times New Roman" w:hAnsi="Times New Roman"/>
          <w:sz w:val="22"/>
          <w:szCs w:val="22"/>
          <w:color w:val="auto"/>
        </w:rPr>
        <w:t>” means to (a) market, promote, distribute, offer for sale, sell, have sold, import, export or otherwise commercialize a Product, (b) conduct activities, other than Research, Development and Manufacturing, in preparation for the foregoing activities, including obtaining Price Approval or (c) conduct post-Marketing Approval studies (including Clinical Trials). When used as a noun, “Commercialization” means any activities involved in Commercializing.</w:t>
      </w:r>
    </w:p>
    <w:p>
      <w:pPr>
        <w:spacing w:after="0" w:line="14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1.31. “</w:t>
      </w:r>
      <w:r>
        <w:rPr>
          <w:rFonts w:ascii="Times New Roman" w:cs="Times New Roman" w:eastAsia="Times New Roman" w:hAnsi="Times New Roman"/>
          <w:sz w:val="22"/>
          <w:szCs w:val="22"/>
          <w:b w:val="1"/>
          <w:bCs w:val="1"/>
          <w:color w:val="auto"/>
        </w:rPr>
        <w:t>Commercially Reasonable Efforts</w:t>
      </w:r>
      <w:r>
        <w:rPr>
          <w:rFonts w:ascii="Times New Roman" w:cs="Times New Roman" w:eastAsia="Times New Roman" w:hAnsi="Times New Roman"/>
          <w:sz w:val="22"/>
          <w:szCs w:val="22"/>
          <w:color w:val="auto"/>
        </w:rPr>
        <w:t>” means, with respect to the efforts to be expended by any Person with respect to any objective, reasonable, diligent and good faith efforts to accomplish such objective. [***]</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1.32. “</w:t>
      </w:r>
      <w:r>
        <w:rPr>
          <w:rFonts w:ascii="Times New Roman" w:cs="Times New Roman" w:eastAsia="Times New Roman" w:hAnsi="Times New Roman"/>
          <w:sz w:val="22"/>
          <w:szCs w:val="22"/>
          <w:b w:val="1"/>
          <w:bCs w:val="1"/>
          <w:color w:val="auto"/>
        </w:rPr>
        <w:t>Common Ownership Legislation</w:t>
      </w:r>
      <w:r>
        <w:rPr>
          <w:rFonts w:ascii="Times New Roman" w:cs="Times New Roman" w:eastAsia="Times New Roman" w:hAnsi="Times New Roman"/>
          <w:sz w:val="22"/>
          <w:szCs w:val="22"/>
          <w:color w:val="auto"/>
        </w:rPr>
        <w:t>” means the legislation on conditions for patentability and novelty, as codified at 35 U.S.C. § 102(c) (Common Ownership Under Joint Research Agreements).</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has the meaning set forth in the Preamble.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1" w:right="339" w:bottom="1440" w:gutter="0" w:footer="0" w:header="0"/>
        </w:sectPr>
      </w:pPr>
    </w:p>
    <w:bookmarkStart w:id="263" w:name="page264"/>
    <w:bookmarkEnd w:id="263"/>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 Agreement Know-How</w:t>
      </w:r>
      <w:r>
        <w:rPr>
          <w:rFonts w:ascii="Times New Roman" w:cs="Times New Roman" w:eastAsia="Times New Roman" w:hAnsi="Times New Roman"/>
          <w:sz w:val="21"/>
          <w:szCs w:val="21"/>
          <w:color w:val="auto"/>
        </w:rPr>
        <w:t>” has the meaning set forth in Section 6.1.1.</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 Agreement Patents</w:t>
      </w:r>
      <w:r>
        <w:rPr>
          <w:rFonts w:ascii="Times New Roman" w:cs="Times New Roman" w:eastAsia="Times New Roman" w:hAnsi="Times New Roman"/>
          <w:sz w:val="21"/>
          <w:szCs w:val="21"/>
          <w:color w:val="auto"/>
        </w:rPr>
        <w:t>” has the meaning set forth in Section 6.1.1.</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 Agreement Technology</w:t>
      </w:r>
      <w:r>
        <w:rPr>
          <w:rFonts w:ascii="Times New Roman" w:cs="Times New Roman" w:eastAsia="Times New Roman" w:hAnsi="Times New Roman"/>
          <w:sz w:val="21"/>
          <w:szCs w:val="21"/>
          <w:color w:val="auto"/>
        </w:rPr>
        <w:t>” has the meaning set forth in Section 6.1.1.</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 Breach Event</w:t>
      </w:r>
      <w:r>
        <w:rPr>
          <w:rFonts w:ascii="Times New Roman" w:cs="Times New Roman" w:eastAsia="Times New Roman" w:hAnsi="Times New Roman"/>
          <w:sz w:val="21"/>
          <w:szCs w:val="21"/>
          <w:color w:val="auto"/>
        </w:rPr>
        <w:t>” has the meaning set forth in Section 9.2.3(a).</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1.38.</w:t>
      </w:r>
      <w:r>
        <w:rPr>
          <w:sz w:val="20"/>
          <w:szCs w:val="20"/>
          <w:color w:val="auto"/>
        </w:rPr>
        <w:tab/>
      </w:r>
      <w:r>
        <w:rPr>
          <w:rFonts w:ascii="Times New Roman" w:cs="Times New Roman" w:eastAsia="Times New Roman" w:hAnsi="Times New Roman"/>
          <w:sz w:val="21"/>
          <w:szCs w:val="21"/>
          <w:color w:val="auto"/>
        </w:rPr>
        <w:t>“Company Core Technology” means Company’s [***].</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1"/>
          <w:szCs w:val="21"/>
          <w:color w:val="auto"/>
        </w:rPr>
        <w:t>1.39. “</w:t>
      </w:r>
      <w:r>
        <w:rPr>
          <w:rFonts w:ascii="Times New Roman" w:cs="Times New Roman" w:eastAsia="Times New Roman" w:hAnsi="Times New Roman"/>
          <w:sz w:val="21"/>
          <w:szCs w:val="21"/>
          <w:b w:val="1"/>
          <w:bCs w:val="1"/>
          <w:color w:val="auto"/>
        </w:rPr>
        <w:t>Company Core Technology Improvement</w:t>
      </w:r>
      <w:r>
        <w:rPr>
          <w:rFonts w:ascii="Times New Roman" w:cs="Times New Roman" w:eastAsia="Times New Roman" w:hAnsi="Times New Roman"/>
          <w:sz w:val="21"/>
          <w:szCs w:val="21"/>
          <w:color w:val="auto"/>
        </w:rPr>
        <w:t>” means any Know-How that is generated by or on behalf of a Party or its Affiliates or Third Parties acting on its or their behalf, whether alone or jointly with the other Party or its Affiliates or Third Parties acting on its or their behalf, in each case, in the performance of activities under this Agreement, whether or not patented or patentable, to the extent that such Know-How is an improvement or enhancement to the Company Core Technology.</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 In-License Agreements</w:t>
      </w:r>
      <w:r>
        <w:rPr>
          <w:rFonts w:ascii="Times New Roman" w:cs="Times New Roman" w:eastAsia="Times New Roman" w:hAnsi="Times New Roman"/>
          <w:sz w:val="21"/>
          <w:szCs w:val="21"/>
          <w:color w:val="auto"/>
        </w:rPr>
        <w:t>” has the meaning set forth in Section 5.6.</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 Indemnified Party</w:t>
      </w:r>
      <w:r>
        <w:rPr>
          <w:rFonts w:ascii="Times New Roman" w:cs="Times New Roman" w:eastAsia="Times New Roman" w:hAnsi="Times New Roman"/>
          <w:sz w:val="21"/>
          <w:szCs w:val="21"/>
          <w:color w:val="auto"/>
        </w:rPr>
        <w:t>” has the meaning set forth in Section 8.1.</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Competitive Infringement</w:t>
      </w:r>
      <w:r>
        <w:rPr>
          <w:rFonts w:ascii="Times New Roman" w:cs="Times New Roman" w:eastAsia="Times New Roman" w:hAnsi="Times New Roman"/>
          <w:sz w:val="21"/>
          <w:szCs w:val="21"/>
          <w:color w:val="auto"/>
        </w:rPr>
        <w:t>” has the meaning set forth in Section 6.4.1.</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1.43. “</w:t>
      </w:r>
      <w:r>
        <w:rPr>
          <w:rFonts w:ascii="Times New Roman" w:cs="Times New Roman" w:eastAsia="Times New Roman" w:hAnsi="Times New Roman"/>
          <w:sz w:val="22"/>
          <w:szCs w:val="22"/>
          <w:b w:val="1"/>
          <w:bCs w:val="1"/>
          <w:color w:val="auto"/>
        </w:rPr>
        <w:t>Competitive Product</w:t>
      </w:r>
      <w:r>
        <w:rPr>
          <w:rFonts w:ascii="Times New Roman" w:cs="Times New Roman" w:eastAsia="Times New Roman" w:hAnsi="Times New Roman"/>
          <w:sz w:val="22"/>
          <w:szCs w:val="22"/>
          <w:color w:val="auto"/>
        </w:rPr>
        <w:t>” means, with respect to a particular Product in a particular country, a product on the market in such country commercialized by any Third Party that is not a Sublicensee and that is not otherwise authorized to sell such product by, and did not purchase such product in a chain of distribution that included, any of Vertex or its Affiliates or Sublicensees, that [***].</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1.44. “</w:t>
      </w:r>
      <w:r>
        <w:rPr>
          <w:rFonts w:ascii="Times New Roman" w:cs="Times New Roman" w:eastAsia="Times New Roman" w:hAnsi="Times New Roman"/>
          <w:sz w:val="22"/>
          <w:szCs w:val="22"/>
          <w:b w:val="1"/>
          <w:bCs w:val="1"/>
          <w:color w:val="auto"/>
        </w:rPr>
        <w:t>Compliance</w:t>
      </w:r>
      <w:r>
        <w:rPr>
          <w:rFonts w:ascii="Times New Roman" w:cs="Times New Roman" w:eastAsia="Times New Roman" w:hAnsi="Times New Roman"/>
          <w:sz w:val="22"/>
          <w:szCs w:val="22"/>
          <w:color w:val="auto"/>
        </w:rPr>
        <w:t>” means, with respect to a Party, the adherence by such Party and its Affiliates to Applicable Law and such Party’s Party Specific Regulations, in each case with respect to the activities to be conducted under this Agreement.</w:t>
      </w:r>
    </w:p>
    <w:p>
      <w:pPr>
        <w:spacing w:after="0" w:line="146"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1.45.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means, with respect to each Party, all Know-How or other information, including proprietary information (whether or not patentable) regarding or embodying such Party’s technology, agents, products, business information or objectives, that is communicated in any way or form by or on behalf of the Disclosing Party to the Receiving Party or its permitted recipients, pursuant to this Agreement or that certain Mutual Confidentiality Agreement between Vertex and Company dated [***], and that certain Confidentiality Agreement between Vertex and Company dated [***] (together, the “</w:t>
      </w:r>
      <w:r>
        <w:rPr>
          <w:rFonts w:ascii="Times New Roman" w:cs="Times New Roman" w:eastAsia="Times New Roman" w:hAnsi="Times New Roman"/>
          <w:sz w:val="22"/>
          <w:szCs w:val="22"/>
          <w:b w:val="1"/>
          <w:bCs w:val="1"/>
          <w:color w:val="auto"/>
        </w:rPr>
        <w:t>CDA</w:t>
      </w:r>
      <w:r>
        <w:rPr>
          <w:rFonts w:ascii="Times New Roman" w:cs="Times New Roman" w:eastAsia="Times New Roman" w:hAnsi="Times New Roman"/>
          <w:sz w:val="22"/>
          <w:szCs w:val="22"/>
          <w:color w:val="auto"/>
        </w:rPr>
        <w:t>”), whether or not such Know-How or other information is identified as confidential at the time of disclosure. The terms of this Agreement will be considered Confidential Information of both Parties, with both Parties deemed to be the Receiving Party of such Confidential Information. [***]. Notwithstanding any provision of this Section 1.45 to the contrary, Confidential Information does not include any Know-How or information that: (a) was already known by the Receiving Party (other than under an obligation of confidentiality) at the time of disclosure by or on behalf of the Disclosing Party; (b) was generally available to the public or part of the public domain at the time of its disclosure to the Receiving Party; (c) became generally available to the public or part of the public domain after its disclosure to the Receiving Party, other than through any act or omission of the Receiving Party in breach of its obligations under this Agreement; (d) is disclosed to the Receiving Party (other than under an obligation of confidentiality) by a Third Party who has no obligation to the Disclosing Party not to disclose such information to the Receiving Party; or (e) is independently discovered or developed by or on behalf of the Receiving Party without the use of any Confidential Information belonging to the Disclosing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1" w:right="339" w:bottom="1440" w:gutter="0" w:footer="0" w:header="0"/>
        </w:sectPr>
      </w:pPr>
    </w:p>
    <w:bookmarkStart w:id="264" w:name="page265"/>
    <w:bookmarkEnd w:id="264"/>
    <w:p>
      <w:pPr>
        <w:jc w:val="both"/>
        <w:spacing w:after="0" w:line="220" w:lineRule="auto"/>
        <w:rPr>
          <w:sz w:val="20"/>
          <w:szCs w:val="20"/>
          <w:color w:val="auto"/>
        </w:rPr>
      </w:pPr>
      <w:r>
        <w:rPr>
          <w:rFonts w:ascii="Times New Roman" w:cs="Times New Roman" w:eastAsia="Times New Roman" w:hAnsi="Times New Roman"/>
          <w:sz w:val="22"/>
          <w:szCs w:val="22"/>
          <w:color w:val="auto"/>
        </w:rPr>
        <w:t>Party. Confidential Information disclosed to the Receiving Party hereunder will not be deemed to fall within the foregoing exceptions merely because broader or related information falls within such exceptions, nor will combinations of elements or principles be considered to fall within the foregoing exceptions merely because individual elements of such combinations fall within such exceptions.</w:t>
      </w:r>
    </w:p>
    <w:p>
      <w:pPr>
        <w:spacing w:after="0" w:line="148"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1"/>
          <w:szCs w:val="21"/>
          <w:color w:val="auto"/>
        </w:rPr>
        <w:t>1.46. “</w:t>
      </w:r>
      <w:r>
        <w:rPr>
          <w:rFonts w:ascii="Times New Roman" w:cs="Times New Roman" w:eastAsia="Times New Roman" w:hAnsi="Times New Roman"/>
          <w:sz w:val="21"/>
          <w:szCs w:val="21"/>
          <w:b w:val="1"/>
          <w:bCs w:val="1"/>
          <w:color w:val="auto"/>
        </w:rPr>
        <w:t>Control</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Controlled</w:t>
      </w:r>
      <w:r>
        <w:rPr>
          <w:rFonts w:ascii="Times New Roman" w:cs="Times New Roman" w:eastAsia="Times New Roman" w:hAnsi="Times New Roman"/>
          <w:sz w:val="21"/>
          <w:szCs w:val="21"/>
          <w:color w:val="auto"/>
        </w:rPr>
        <w:t xml:space="preserve">” means, with respect to a Party and to any Know-How, Patent or Materials, possession on the Effective Date or at any time during the Term of the ability by such Party or its Affiliate (whether by sole or joint ownership, license or otherwise), other than pursuant to this Agreement, to grant, without violating the terms of any agreement with a Third Party, a license, access or other right in, to or under such Know-How, Patent or Materials,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Know-How, Patent or Materials in-licensed or acquired by Company or its Affiliates under a Proposed New Company Agreement will not be deemed “Controlled” by Company unless and until such Proposed New Company Agreement becomes a New Company Agreement under Section 5.7.2 (and only for so long as it remains a New Company Agreement thereunder). [***].</w:t>
      </w:r>
    </w:p>
    <w:p>
      <w:pPr>
        <w:spacing w:after="0" w:line="150"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1.47. “</w:t>
      </w:r>
      <w:r>
        <w:rPr>
          <w:rFonts w:ascii="Times New Roman" w:cs="Times New Roman" w:eastAsia="Times New Roman" w:hAnsi="Times New Roman"/>
          <w:sz w:val="22"/>
          <w:szCs w:val="22"/>
          <w:b w:val="1"/>
          <w:bCs w:val="1"/>
          <w:color w:val="auto"/>
        </w:rPr>
        <w:t>Cover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Covering</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Covers</w:t>
      </w:r>
      <w:r>
        <w:rPr>
          <w:rFonts w:ascii="Times New Roman" w:cs="Times New Roman" w:eastAsia="Times New Roman" w:hAnsi="Times New Roman"/>
          <w:sz w:val="22"/>
          <w:szCs w:val="22"/>
          <w:color w:val="auto"/>
        </w:rPr>
        <w:t>” means, with respect to a compound, product or other technology and a Patent, that, in the absence of a license granted under, or ownership of, such Patent, the making, using, keeping, selling, offering for sale or importation of such compound, product or other technology would infringe such Patent or, as to a pending claim included in such Patent, the making, using, keeping, selling, offering for sale or importation of such compound, product or other technology would infringe such Patent if such pending claim were to issue in an issued patent without modification.</w:t>
      </w:r>
    </w:p>
    <w:p>
      <w:pPr>
        <w:spacing w:after="0" w:line="147"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1.48. “</w:t>
      </w:r>
      <w:r>
        <w:rPr>
          <w:rFonts w:ascii="Times New Roman" w:cs="Times New Roman" w:eastAsia="Times New Roman" w:hAnsi="Times New Roman"/>
          <w:sz w:val="22"/>
          <w:szCs w:val="22"/>
          <w:b w:val="1"/>
          <w:bCs w:val="1"/>
          <w:color w:val="auto"/>
        </w:rPr>
        <w:t>Development</w:t>
      </w:r>
      <w:r>
        <w:rPr>
          <w:rFonts w:ascii="Times New Roman" w:cs="Times New Roman" w:eastAsia="Times New Roman" w:hAnsi="Times New Roman"/>
          <w:sz w:val="22"/>
          <w:szCs w:val="22"/>
          <w:color w:val="auto"/>
        </w:rPr>
        <w:t>” means, with respect to a Licensed Agent or Product, all clinical and non-clinical research and development activities conducted after filing of an IND for such Licensed Agent or Product, including toxicology, pharmacology test method development and stability testing, process development, formulation development, delivery system development, quality assurance and quality control development, statistical analysis, Clinical Trials (other than post-Marketing Approval Clinical Trials), regulatory affairs, pharmacovigilance, Clinical Trial regulatory activities and obtaining and maintaining Marketing Approval. When used as a verb, “Develop” or “Developing” means to engage in Development.</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Disclosing Party</w:t>
      </w:r>
      <w:r>
        <w:rPr>
          <w:rFonts w:ascii="Times New Roman" w:cs="Times New Roman" w:eastAsia="Times New Roman" w:hAnsi="Times New Roman"/>
          <w:sz w:val="21"/>
          <w:szCs w:val="21"/>
          <w:color w:val="auto"/>
        </w:rPr>
        <w:t>” has the meaning set forth in Section 10.1.</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Dispute</w:t>
      </w:r>
      <w:r>
        <w:rPr>
          <w:rFonts w:ascii="Times New Roman" w:cs="Times New Roman" w:eastAsia="Times New Roman" w:hAnsi="Times New Roman"/>
          <w:sz w:val="21"/>
          <w:szCs w:val="21"/>
          <w:color w:val="auto"/>
        </w:rPr>
        <w:t>” has the meaning set forth in Section 11.12.</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Distracting Product</w:t>
      </w:r>
      <w:r>
        <w:rPr>
          <w:rFonts w:ascii="Times New Roman" w:cs="Times New Roman" w:eastAsia="Times New Roman" w:hAnsi="Times New Roman"/>
          <w:sz w:val="21"/>
          <w:szCs w:val="21"/>
          <w:color w:val="auto"/>
        </w:rPr>
        <w:t>” has the meaning set forth in Section 4.6.</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1.52. “</w:t>
      </w:r>
      <w:r>
        <w:rPr>
          <w:rFonts w:ascii="Times New Roman" w:cs="Times New Roman" w:eastAsia="Times New Roman" w:hAnsi="Times New Roman"/>
          <w:sz w:val="22"/>
          <w:szCs w:val="22"/>
          <w:b w:val="1"/>
          <w:bCs w:val="1"/>
          <w:color w:val="auto"/>
        </w:rPr>
        <w:t>Distributor</w:t>
      </w:r>
      <w:r>
        <w:rPr>
          <w:rFonts w:ascii="Times New Roman" w:cs="Times New Roman" w:eastAsia="Times New Roman" w:hAnsi="Times New Roman"/>
          <w:sz w:val="22"/>
          <w:szCs w:val="22"/>
          <w:color w:val="auto"/>
        </w:rPr>
        <w:t>” means a Third Party to whom Vertex or its Affiliates or Sublicensees grant a right to sell or distribute a Product, that purchases its requirements for such Product from Vertex or its Affiliates or Sublicensees and does not otherwise make any royalty or other payments to Vertex or its Affiliates or Sublicensees with respect to Vertex’s, its Affiliates’ or its Sublicensees’ intellectual property rights or Products, including any payments that are calculated on the basis of a percentage of, or profit share on, such Third Party’s sale of Products.</w:t>
      </w:r>
    </w:p>
    <w:p>
      <w:pPr>
        <w:spacing w:after="0" w:line="147"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1.53. “</w:t>
      </w:r>
      <w:r>
        <w:rPr>
          <w:rFonts w:ascii="Times New Roman" w:cs="Times New Roman" w:eastAsia="Times New Roman" w:hAnsi="Times New Roman"/>
          <w:sz w:val="22"/>
          <w:szCs w:val="22"/>
          <w:b w:val="1"/>
          <w:bCs w:val="1"/>
          <w:color w:val="auto"/>
        </w:rPr>
        <w:t>Divest</w:t>
      </w:r>
      <w:r>
        <w:rPr>
          <w:rFonts w:ascii="Times New Roman" w:cs="Times New Roman" w:eastAsia="Times New Roman" w:hAnsi="Times New Roman"/>
          <w:sz w:val="22"/>
          <w:szCs w:val="22"/>
          <w:color w:val="auto"/>
        </w:rPr>
        <w:t>” means, with respect to a Distracting Product, the sale, exclusive license or other transfer by Company and its Affiliates of all of their research, development, manufacturing and commercialization rights with respect to such Distracting Product to a Third Party without the retention or reservation of any research, development, manufacturing or commercialization obligation, interest or participation rights (other than solely an economic interest or the right to enforce customary terms contained in the relevant agreements effectuating such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265" w:name="page266"/>
    <w:bookmarkEnd w:id="265"/>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DM1</w:t>
      </w:r>
      <w:r>
        <w:rPr>
          <w:rFonts w:ascii="Times New Roman" w:cs="Times New Roman" w:eastAsia="Times New Roman" w:hAnsi="Times New Roman"/>
          <w:sz w:val="21"/>
          <w:szCs w:val="21"/>
          <w:color w:val="auto"/>
        </w:rPr>
        <w:t>” means myotonic dystrophy type 1.</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DMPK</w:t>
      </w:r>
      <w:r>
        <w:rPr>
          <w:rFonts w:ascii="Times New Roman" w:cs="Times New Roman" w:eastAsia="Times New Roman" w:hAnsi="Times New Roman"/>
          <w:sz w:val="21"/>
          <w:szCs w:val="21"/>
          <w:color w:val="auto"/>
        </w:rPr>
        <w:t>” means myotonic dystrophy protein kinase.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DOJ</w:t>
      </w:r>
      <w:r>
        <w:rPr>
          <w:rFonts w:ascii="Times New Roman" w:cs="Times New Roman" w:eastAsia="Times New Roman" w:hAnsi="Times New Roman"/>
          <w:sz w:val="21"/>
          <w:szCs w:val="21"/>
          <w:color w:val="auto"/>
        </w:rPr>
        <w:t>” has the meaning set forth in Section 4.8.1.</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EEV</w:t>
      </w:r>
      <w:r>
        <w:rPr>
          <w:rFonts w:ascii="Times New Roman" w:cs="Times New Roman" w:eastAsia="Times New Roman" w:hAnsi="Times New Roman"/>
          <w:sz w:val="21"/>
          <w:szCs w:val="21"/>
          <w:color w:val="auto"/>
        </w:rPr>
        <w:t>” means an endosomal escape vehicle.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EEV Delivered Molecule</w:t>
      </w:r>
      <w:r>
        <w:rPr>
          <w:rFonts w:ascii="Times New Roman" w:cs="Times New Roman" w:eastAsia="Times New Roman" w:hAnsi="Times New Roman"/>
          <w:sz w:val="21"/>
          <w:szCs w:val="21"/>
          <w:color w:val="auto"/>
        </w:rPr>
        <w:t>” means any EEV-linked molecule that contains an EEV that is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EEV-PMO</w:t>
      </w:r>
      <w:r>
        <w:rPr>
          <w:rFonts w:ascii="Times New Roman" w:cs="Times New Roman" w:eastAsia="Times New Roman" w:hAnsi="Times New Roman"/>
          <w:sz w:val="21"/>
          <w:szCs w:val="21"/>
          <w:color w:val="auto"/>
        </w:rPr>
        <w:t>” means an EEV-linked phosphorodiamidate morpholino oligomer.</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1.60.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xml:space="preserve">” means the later of (a) the Execution Date or (b) the Business Day after the Schedule Revision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Effective Date will not occur if either Party has exercised its termination right under Section 9.2.1.</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EMA</w:t>
      </w:r>
      <w:r>
        <w:rPr>
          <w:rFonts w:ascii="Times New Roman" w:cs="Times New Roman" w:eastAsia="Times New Roman" w:hAnsi="Times New Roman"/>
          <w:sz w:val="21"/>
          <w:szCs w:val="21"/>
          <w:color w:val="auto"/>
        </w:rPr>
        <w:t>” means the European Medicines Agency and any successor entity thereto.</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ENTR-701</w:t>
      </w:r>
      <w:r>
        <w:rPr>
          <w:rFonts w:ascii="Times New Roman" w:cs="Times New Roman" w:eastAsia="Times New Roman" w:hAnsi="Times New Roman"/>
          <w:sz w:val="21"/>
          <w:szCs w:val="21"/>
          <w:color w:val="auto"/>
        </w:rPr>
        <w:t>” has the meaning set forth in Section 1.102.</w:t>
      </w:r>
    </w:p>
    <w:p>
      <w:pPr>
        <w:spacing w:after="0" w:line="179"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1"/>
          <w:szCs w:val="21"/>
          <w:color w:val="auto"/>
        </w:rPr>
        <w:t>1.63. “</w:t>
      </w:r>
      <w:r>
        <w:rPr>
          <w:rFonts w:ascii="Times New Roman" w:cs="Times New Roman" w:eastAsia="Times New Roman" w:hAnsi="Times New Roman"/>
          <w:sz w:val="21"/>
          <w:szCs w:val="21"/>
          <w:b w:val="1"/>
          <w:bCs w:val="1"/>
          <w:color w:val="auto"/>
        </w:rPr>
        <w:t>Europe</w:t>
      </w:r>
      <w:r>
        <w:rPr>
          <w:rFonts w:ascii="Times New Roman" w:cs="Times New Roman" w:eastAsia="Times New Roman" w:hAnsi="Times New Roman"/>
          <w:sz w:val="21"/>
          <w:szCs w:val="21"/>
          <w:color w:val="auto"/>
        </w:rPr>
        <w:t>” means (a) the economic, scientific and political organization of member states of the European Union as it may be constituted from time to time, which as of the Effective Date consists of Austria, Belgium, Bulgaria, Croatia, Czech Republic, Denmark, Estonia, Finland, France, Germany, Greece, Hungary, Ireland, Italy, Latvia, Lithuania, Luxembourg, Malta, The Netherlands, Poland, Portugal, Romania, Slovakia, Slovenia, Spain, Sweden and that certain portion of Cyprus included in such organization (the “</w:t>
      </w:r>
      <w:r>
        <w:rPr>
          <w:rFonts w:ascii="Times New Roman" w:cs="Times New Roman" w:eastAsia="Times New Roman" w:hAnsi="Times New Roman"/>
          <w:sz w:val="21"/>
          <w:szCs w:val="21"/>
          <w:b w:val="1"/>
          <w:bCs w:val="1"/>
          <w:color w:val="auto"/>
        </w:rPr>
        <w:t>European Union</w:t>
      </w:r>
      <w:r>
        <w:rPr>
          <w:rFonts w:ascii="Times New Roman" w:cs="Times New Roman" w:eastAsia="Times New Roman" w:hAnsi="Times New Roman"/>
          <w:sz w:val="21"/>
          <w:szCs w:val="21"/>
          <w:color w:val="auto"/>
        </w:rPr>
        <w:t>”), (b) the United Kingdom of Great Britain and Northern Ireland, (c) any member country of the European Economic Area that is not otherwise a member of the European Union, and (d) any country not otherwise included in clauses (a), (b) or (c) [***]. For clarity, “Europe” will at all times be deemed to include each of [***].</w:t>
      </w:r>
    </w:p>
    <w:p>
      <w:pPr>
        <w:spacing w:after="0" w:line="15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1.64. “</w:t>
      </w:r>
      <w:r>
        <w:rPr>
          <w:rFonts w:ascii="Times New Roman" w:cs="Times New Roman" w:eastAsia="Times New Roman" w:hAnsi="Times New Roman"/>
          <w:sz w:val="22"/>
          <w:szCs w:val="22"/>
          <w:b w:val="1"/>
          <w:bCs w:val="1"/>
          <w:color w:val="auto"/>
        </w:rPr>
        <w:t>European Commission</w:t>
      </w:r>
      <w:r>
        <w:rPr>
          <w:rFonts w:ascii="Times New Roman" w:cs="Times New Roman" w:eastAsia="Times New Roman" w:hAnsi="Times New Roman"/>
          <w:sz w:val="22"/>
          <w:szCs w:val="22"/>
          <w:color w:val="auto"/>
        </w:rPr>
        <w:t>” means the European Commission or any successor entity that is responsible for granting marketing approvals authorizing the sale of pharmaceuticals in Europe.</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European Union</w:t>
      </w:r>
      <w:r>
        <w:rPr>
          <w:rFonts w:ascii="Times New Roman" w:cs="Times New Roman" w:eastAsia="Times New Roman" w:hAnsi="Times New Roman"/>
          <w:sz w:val="21"/>
          <w:szCs w:val="21"/>
          <w:color w:val="auto"/>
        </w:rPr>
        <w:t>” has the meaning set forth in Section 1.63.</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Execution Date</w:t>
      </w:r>
      <w:r>
        <w:rPr>
          <w:rFonts w:ascii="Times New Roman" w:cs="Times New Roman" w:eastAsia="Times New Roman" w:hAnsi="Times New Roman"/>
          <w:sz w:val="21"/>
          <w:szCs w:val="21"/>
          <w:color w:val="auto"/>
        </w:rPr>
        <w:t>” has the meaning set forth in the Preamble.</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1.67. “</w:t>
      </w:r>
      <w:r>
        <w:rPr>
          <w:rFonts w:ascii="Times New Roman" w:cs="Times New Roman" w:eastAsia="Times New Roman" w:hAnsi="Times New Roman"/>
          <w:sz w:val="22"/>
          <w:szCs w:val="22"/>
          <w:b w:val="1"/>
          <w:bCs w:val="1"/>
          <w:color w:val="auto"/>
        </w:rPr>
        <w:t>Executive Officers</w:t>
      </w:r>
      <w:r>
        <w:rPr>
          <w:rFonts w:ascii="Times New Roman" w:cs="Times New Roman" w:eastAsia="Times New Roman" w:hAnsi="Times New Roman"/>
          <w:sz w:val="22"/>
          <w:szCs w:val="22"/>
          <w:color w:val="auto"/>
        </w:rPr>
        <w:t>” means the [***] of Company, as of the Execution Date, [***], or such [***] designee, and the [***] of Vertex, as of the Execution Date, [***], or such [***] designee, or any other executive designated by a Party in writing who has the authority to resolve the applicable matter referred to the Executive Officers in accordance with this Agreement.</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1.68. “</w:t>
      </w:r>
      <w:r>
        <w:rPr>
          <w:rFonts w:ascii="Times New Roman" w:cs="Times New Roman" w:eastAsia="Times New Roman" w:hAnsi="Times New Roman"/>
          <w:sz w:val="22"/>
          <w:szCs w:val="22"/>
          <w:b w:val="1"/>
          <w:bCs w:val="1"/>
          <w:color w:val="auto"/>
        </w:rPr>
        <w:t>Exploit</w:t>
      </w:r>
      <w:r>
        <w:rPr>
          <w:rFonts w:ascii="Times New Roman" w:cs="Times New Roman" w:eastAsia="Times New Roman" w:hAnsi="Times New Roman"/>
          <w:sz w:val="22"/>
          <w:szCs w:val="22"/>
          <w:color w:val="auto"/>
        </w:rPr>
        <w:t>” means, with respect to a Licensed Agent or Product, to Research, Develop, Manufacture, have Manufactured, use, keep, sell, offer for sale, import, export, Commercialize and otherwise exploit such Licensed Agent or Product.</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1.69. “</w:t>
      </w:r>
      <w:r>
        <w:rPr>
          <w:rFonts w:ascii="Times New Roman" w:cs="Times New Roman" w:eastAsia="Times New Roman" w:hAnsi="Times New Roman"/>
          <w:sz w:val="22"/>
          <w:szCs w:val="22"/>
          <w:b w:val="1"/>
          <w:bCs w:val="1"/>
          <w:color w:val="auto"/>
        </w:rPr>
        <w:t>FD&amp;C Act</w:t>
      </w:r>
      <w:r>
        <w:rPr>
          <w:rFonts w:ascii="Times New Roman" w:cs="Times New Roman" w:eastAsia="Times New Roman" w:hAnsi="Times New Roman"/>
          <w:sz w:val="22"/>
          <w:szCs w:val="22"/>
          <w:color w:val="auto"/>
        </w:rPr>
        <w:t>” means the United States Federal Food, Drug, and Cosmetic Act, as amended,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1" w:right="339" w:bottom="1440" w:gutter="0" w:footer="0" w:header="0"/>
        </w:sectPr>
      </w:pPr>
    </w:p>
    <w:bookmarkStart w:id="266" w:name="page267"/>
    <w:bookmarkEnd w:id="266"/>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1.70.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FDA</w:t>
      </w:r>
      <w:r>
        <w:rPr>
          <w:rFonts w:ascii="Times New Roman" w:cs="Times New Roman" w:eastAsia="Times New Roman" w:hAnsi="Times New Roman"/>
          <w:sz w:val="21"/>
          <w:szCs w:val="21"/>
          <w:color w:val="auto"/>
        </w:rPr>
        <w:t>” means the United States Food and Drug Administration and any successor entity thereto.</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1.71.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Field</w:t>
      </w:r>
      <w:r>
        <w:rPr>
          <w:rFonts w:ascii="Times New Roman" w:cs="Times New Roman" w:eastAsia="Times New Roman" w:hAnsi="Times New Roman"/>
          <w:sz w:val="21"/>
          <w:szCs w:val="21"/>
          <w:color w:val="auto"/>
        </w:rPr>
        <w:t>” means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1.72.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First Commercial Sale</w:t>
      </w:r>
      <w:r>
        <w:rPr>
          <w:rFonts w:ascii="Times New Roman" w:cs="Times New Roman" w:eastAsia="Times New Roman" w:hAnsi="Times New Roman"/>
          <w:sz w:val="21"/>
          <w:szCs w:val="21"/>
          <w:color w:val="auto"/>
        </w:rPr>
        <w:t>” means, with respect to a Product in any country in the Territory, [***].</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1.73. “</w:t>
      </w:r>
      <w:r>
        <w:rPr>
          <w:rFonts w:ascii="Times New Roman" w:cs="Times New Roman" w:eastAsia="Times New Roman" w:hAnsi="Times New Roman"/>
          <w:sz w:val="22"/>
          <w:szCs w:val="22"/>
          <w:b w:val="1"/>
          <w:bCs w:val="1"/>
          <w:color w:val="auto"/>
        </w:rPr>
        <w:t>Force Majeure</w:t>
      </w:r>
      <w:r>
        <w:rPr>
          <w:rFonts w:ascii="Times New Roman" w:cs="Times New Roman" w:eastAsia="Times New Roman" w:hAnsi="Times New Roman"/>
          <w:sz w:val="22"/>
          <w:szCs w:val="22"/>
          <w:color w:val="auto"/>
        </w:rPr>
        <w:t>” means a condition, the occurrence and continuation of which is beyond the reasonable control of a Party, including an act of God, governmental acts or restrictions, war, civil commotion, labor strike or lock-out, epidemic or pandemic, flood, failure or default of public utilities or common carriers, and destruction of production facilities or materials by fire, earthquake, storm or like catastrophe.</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1.74.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FTC</w:t>
      </w:r>
      <w:r>
        <w:rPr>
          <w:rFonts w:ascii="Times New Roman" w:cs="Times New Roman" w:eastAsia="Times New Roman" w:hAnsi="Times New Roman"/>
          <w:sz w:val="21"/>
          <w:szCs w:val="21"/>
          <w:color w:val="auto"/>
        </w:rPr>
        <w:t>” has the meaning set forth in Section 4.8.1.</w:t>
      </w:r>
    </w:p>
    <w:p>
      <w:pPr>
        <w:spacing w:after="0" w:line="179"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1.75. “</w:t>
      </w:r>
      <w:r>
        <w:rPr>
          <w:rFonts w:ascii="Times New Roman" w:cs="Times New Roman" w:eastAsia="Times New Roman" w:hAnsi="Times New Roman"/>
          <w:sz w:val="22"/>
          <w:szCs w:val="22"/>
          <w:b w:val="1"/>
          <w:bCs w:val="1"/>
          <w:color w:val="auto"/>
        </w:rPr>
        <w:t>FTE</w:t>
      </w:r>
      <w:r>
        <w:rPr>
          <w:rFonts w:ascii="Times New Roman" w:cs="Times New Roman" w:eastAsia="Times New Roman" w:hAnsi="Times New Roman"/>
          <w:sz w:val="22"/>
          <w:szCs w:val="22"/>
          <w:color w:val="auto"/>
        </w:rPr>
        <w:t>” means [***] of work per annum devoted to or in support of the Research Activities that is carried out by one or more qualified scientific or technical employees (excluding Third Party contractors) of Company or its Affiliates.</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1.76. “</w:t>
      </w:r>
      <w:r>
        <w:rPr>
          <w:rFonts w:ascii="Times New Roman" w:cs="Times New Roman" w:eastAsia="Times New Roman" w:hAnsi="Times New Roman"/>
          <w:sz w:val="22"/>
          <w:szCs w:val="22"/>
          <w:b w:val="1"/>
          <w:bCs w:val="1"/>
          <w:color w:val="auto"/>
        </w:rPr>
        <w:t>FTE Costs</w:t>
      </w:r>
      <w:r>
        <w:rPr>
          <w:rFonts w:ascii="Times New Roman" w:cs="Times New Roman" w:eastAsia="Times New Roman" w:hAnsi="Times New Roman"/>
          <w:sz w:val="22"/>
          <w:szCs w:val="22"/>
          <w:color w:val="auto"/>
        </w:rPr>
        <w:t>” means, for any period, the FTE Rate multiplied by the number of FTEs who perform a specified activity under this Agreement.</w:t>
      </w:r>
    </w:p>
    <w:p>
      <w:pPr>
        <w:spacing w:after="0" w:line="14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1.77. “</w:t>
      </w:r>
      <w:r>
        <w:rPr>
          <w:rFonts w:ascii="Times New Roman" w:cs="Times New Roman" w:eastAsia="Times New Roman" w:hAnsi="Times New Roman"/>
          <w:sz w:val="22"/>
          <w:szCs w:val="22"/>
          <w:b w:val="1"/>
          <w:bCs w:val="1"/>
          <w:color w:val="auto"/>
        </w:rPr>
        <w:t>FTE Rate</w:t>
      </w:r>
      <w:r>
        <w:rPr>
          <w:rFonts w:ascii="Times New Roman" w:cs="Times New Roman" w:eastAsia="Times New Roman" w:hAnsi="Times New Roman"/>
          <w:sz w:val="22"/>
          <w:szCs w:val="22"/>
          <w:color w:val="auto"/>
        </w:rPr>
        <w:t xml:space="preserve">” means [***];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rate will increase or decrease on January 1 of each Calendar Year starting with [***] in accordance with the percentage year-over-year increase or decrease in the Consumer Price Index - Urban Wage Earners and Clerical Workers, US City Average, All Items, 1982-84 = 100, published by the United States Department of Labor, Bureau of Labor Statistics (or its successor equivalent index) over the 12 month period preceding each such January 1. The FTE Rate includes (a) all wages and salaries, employee benefits, bonus, travel and entertainment, supplies and other direct expenses and (b) indirect allocations, including all general and administrative expenses, human resources, finance, occupancy and depreciation.</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1.78.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GAAP</w:t>
      </w:r>
      <w:r>
        <w:rPr>
          <w:rFonts w:ascii="Times New Roman" w:cs="Times New Roman" w:eastAsia="Times New Roman" w:hAnsi="Times New Roman"/>
          <w:sz w:val="21"/>
          <w:szCs w:val="21"/>
          <w:color w:val="auto"/>
        </w:rPr>
        <w:t>” means United States generally accepted accounting principles, consistently applied.</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1.79. “</w:t>
      </w:r>
      <w:r>
        <w:rPr>
          <w:rFonts w:ascii="Times New Roman" w:cs="Times New Roman" w:eastAsia="Times New Roman" w:hAnsi="Times New Roman"/>
          <w:sz w:val="22"/>
          <w:szCs w:val="22"/>
          <w:b w:val="1"/>
          <w:bCs w:val="1"/>
          <w:color w:val="auto"/>
        </w:rPr>
        <w:t>GCP</w:t>
      </w:r>
      <w:r>
        <w:rPr>
          <w:rFonts w:ascii="Times New Roman" w:cs="Times New Roman" w:eastAsia="Times New Roman" w:hAnsi="Times New Roman"/>
          <w:sz w:val="22"/>
          <w:szCs w:val="22"/>
          <w:color w:val="auto"/>
        </w:rPr>
        <w:t>” means good clinical practices, which are the then-current standards for Clinical Trials for pharmaceuticals, as set forth in the FD&amp;C Act or other Applicable Law, and such standards of good clinical practice as are required by the Regulatory Authorities of Europe and other organizations and governmental authorities in countries for which the applicable Licensed Agent or Product is intended to be Developed, to the extent such standards are not less stringent than United States standards.</w:t>
      </w:r>
    </w:p>
    <w:p>
      <w:pPr>
        <w:spacing w:after="0" w:line="14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1.80. “</w:t>
      </w:r>
      <w:r>
        <w:rPr>
          <w:rFonts w:ascii="Times New Roman" w:cs="Times New Roman" w:eastAsia="Times New Roman" w:hAnsi="Times New Roman"/>
          <w:sz w:val="22"/>
          <w:szCs w:val="22"/>
          <w:b w:val="1"/>
          <w:bCs w:val="1"/>
          <w:color w:val="auto"/>
        </w:rPr>
        <w:t>GLP</w:t>
      </w:r>
      <w:r>
        <w:rPr>
          <w:rFonts w:ascii="Times New Roman" w:cs="Times New Roman" w:eastAsia="Times New Roman" w:hAnsi="Times New Roman"/>
          <w:sz w:val="22"/>
          <w:szCs w:val="22"/>
          <w:color w:val="auto"/>
        </w:rPr>
        <w:t>” means the then-current good laboratory practice standards promulgated or endorsed by the FDA as defined in 21 C.F.R. Part 58, or comparable regulatory standards in jurisdictions outside of the United States, to the extent such standards are not less stringent than United States standards.</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1.81. “</w:t>
      </w:r>
      <w:r>
        <w:rPr>
          <w:rFonts w:ascii="Times New Roman" w:cs="Times New Roman" w:eastAsia="Times New Roman" w:hAnsi="Times New Roman"/>
          <w:sz w:val="22"/>
          <w:szCs w:val="22"/>
          <w:b w:val="1"/>
          <w:bCs w:val="1"/>
          <w:color w:val="auto"/>
        </w:rPr>
        <w:t>GMP</w:t>
      </w:r>
      <w:r>
        <w:rPr>
          <w:rFonts w:ascii="Times New Roman" w:cs="Times New Roman" w:eastAsia="Times New Roman" w:hAnsi="Times New Roman"/>
          <w:sz w:val="22"/>
          <w:szCs w:val="22"/>
          <w:color w:val="auto"/>
        </w:rPr>
        <w:t>” means the then-current Good Manufacturing Practices as specified in the United States Code of Federal Regulations, ICH Guideline Q7A, or equivalent laws, rules or regulations of an applicable Regulatory Authority at the time of manufacture, to the extent such standards are not less stringent than United States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1" w:right="339" w:bottom="1440" w:gutter="0" w:footer="0" w:header="0"/>
        </w:sectPr>
      </w:pPr>
    </w:p>
    <w:bookmarkStart w:id="267" w:name="page268"/>
    <w:bookmarkEnd w:id="267"/>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1.82. “</w:t>
      </w:r>
      <w:r>
        <w:rPr>
          <w:rFonts w:ascii="Times New Roman" w:cs="Times New Roman" w:eastAsia="Times New Roman" w:hAnsi="Times New Roman"/>
          <w:sz w:val="22"/>
          <w:szCs w:val="22"/>
          <w:b w:val="1"/>
          <w:bCs w:val="1"/>
          <w:color w:val="auto"/>
        </w:rPr>
        <w:t>Government Official</w:t>
      </w:r>
      <w:r>
        <w:rPr>
          <w:rFonts w:ascii="Times New Roman" w:cs="Times New Roman" w:eastAsia="Times New Roman" w:hAnsi="Times New Roman"/>
          <w:sz w:val="22"/>
          <w:szCs w:val="22"/>
          <w:color w:val="auto"/>
        </w:rPr>
        <w:t>” means (a) any elected or appointed government official (e.g., a member of a ministry of health), (b) any employee or person acting for or on behalf of a government official, Governmental Authority, or other enterprise performing a governmental function, (c) any political party, candidate for public office, officer, employee, or person acting for or on behalf of a political party or candidate for public office, and (d) any employee or person acting for or on behalf of a public international organization (e.g., the United Nations). For clarity, healthcare professionals or healthcare providers employed by government-owned hospitals will be considered Government Officials.</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1.83. “</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any court, agency, department, authority or other instrumentality of any national, state, county, city or other political subdivision.</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1.84.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Grantor</w:t>
      </w:r>
      <w:r>
        <w:rPr>
          <w:rFonts w:ascii="Times New Roman" w:cs="Times New Roman" w:eastAsia="Times New Roman" w:hAnsi="Times New Roman"/>
          <w:sz w:val="21"/>
          <w:szCs w:val="21"/>
          <w:color w:val="auto"/>
        </w:rPr>
        <w:t>” has the meaning set forth in Section 5.7.1.</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1.85.</w:t>
      </w:r>
      <w:r>
        <w:rPr>
          <w:sz w:val="20"/>
          <w:szCs w:val="20"/>
          <w:color w:val="auto"/>
        </w:rPr>
        <w:tab/>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1.86. “</w:t>
      </w:r>
      <w:r>
        <w:rPr>
          <w:rFonts w:ascii="Times New Roman" w:cs="Times New Roman" w:eastAsia="Times New Roman" w:hAnsi="Times New Roman"/>
          <w:sz w:val="22"/>
          <w:szCs w:val="22"/>
          <w:b w:val="1"/>
          <w:bCs w:val="1"/>
          <w:color w:val="auto"/>
        </w:rPr>
        <w:t>HSR Act</w:t>
      </w:r>
      <w:r>
        <w:rPr>
          <w:rFonts w:ascii="Times New Roman" w:cs="Times New Roman" w:eastAsia="Times New Roman" w:hAnsi="Times New Roman"/>
          <w:sz w:val="22"/>
          <w:szCs w:val="22"/>
          <w:color w:val="auto"/>
        </w:rPr>
        <w:t>” means the Hart-Scott-Rodino Antitrust Improvements Act of 1976, as amended, and the rules and regulations promulgated thereunder.</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1.87. “</w:t>
      </w:r>
      <w:r>
        <w:rPr>
          <w:rFonts w:ascii="Times New Roman" w:cs="Times New Roman" w:eastAsia="Times New Roman" w:hAnsi="Times New Roman"/>
          <w:sz w:val="22"/>
          <w:szCs w:val="22"/>
          <w:b w:val="1"/>
          <w:bCs w:val="1"/>
          <w:color w:val="auto"/>
        </w:rPr>
        <w:t>HSR Filing</w:t>
      </w:r>
      <w:r>
        <w:rPr>
          <w:rFonts w:ascii="Times New Roman" w:cs="Times New Roman" w:eastAsia="Times New Roman" w:hAnsi="Times New Roman"/>
          <w:sz w:val="22"/>
          <w:szCs w:val="22"/>
          <w:color w:val="auto"/>
        </w:rPr>
        <w:t>” means a filing by Company and Vertex or their ultimate parent entities as that term is defined in the HSR Act with the FTC and the DOJ of a Notification and Report Form for Certain Mergers and Acquisitions (as that term is defined in the HSR Act) with respect to the transactions contemplated under this Agreement together with all required documentary attachments thereto.</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1.88. “</w:t>
      </w:r>
      <w:r>
        <w:rPr>
          <w:rFonts w:ascii="Times New Roman" w:cs="Times New Roman" w:eastAsia="Times New Roman" w:hAnsi="Times New Roman"/>
          <w:sz w:val="22"/>
          <w:szCs w:val="22"/>
          <w:b w:val="1"/>
          <w:bCs w:val="1"/>
          <w:color w:val="auto"/>
        </w:rPr>
        <w:t>IND</w:t>
      </w:r>
      <w:r>
        <w:rPr>
          <w:rFonts w:ascii="Times New Roman" w:cs="Times New Roman" w:eastAsia="Times New Roman" w:hAnsi="Times New Roman"/>
          <w:sz w:val="22"/>
          <w:szCs w:val="22"/>
          <w:color w:val="auto"/>
        </w:rPr>
        <w:t>” means any Investigational New Drug application filed with the FDA pursuant to Part 312 of Title 21 of the U.S. Code of Federal Regulations or a similar application or submission for a Product filed with a Regulatory Authority in a country or group of countries.</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1.89.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Indemnified Party</w:t>
      </w:r>
      <w:r>
        <w:rPr>
          <w:rFonts w:ascii="Times New Roman" w:cs="Times New Roman" w:eastAsia="Times New Roman" w:hAnsi="Times New Roman"/>
          <w:sz w:val="21"/>
          <w:szCs w:val="21"/>
          <w:color w:val="auto"/>
        </w:rPr>
        <w:t>” has the meaning set forth in Section 8.1.3.</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1.90.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Indemnifying Party</w:t>
      </w:r>
      <w:r>
        <w:rPr>
          <w:rFonts w:ascii="Times New Roman" w:cs="Times New Roman" w:eastAsia="Times New Roman" w:hAnsi="Times New Roman"/>
          <w:sz w:val="21"/>
          <w:szCs w:val="21"/>
          <w:color w:val="auto"/>
        </w:rPr>
        <w:t>” has the meaning set forth in Section 8.1.3.</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1.91. “</w:t>
      </w:r>
      <w:r>
        <w:rPr>
          <w:rFonts w:ascii="Times New Roman" w:cs="Times New Roman" w:eastAsia="Times New Roman" w:hAnsi="Times New Roman"/>
          <w:sz w:val="22"/>
          <w:szCs w:val="22"/>
          <w:b w:val="1"/>
          <w:bCs w:val="1"/>
          <w:color w:val="auto"/>
        </w:rPr>
        <w:t>Initiation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Initiate</w:t>
      </w:r>
      <w:r>
        <w:rPr>
          <w:rFonts w:ascii="Times New Roman" w:cs="Times New Roman" w:eastAsia="Times New Roman" w:hAnsi="Times New Roman"/>
          <w:sz w:val="22"/>
          <w:szCs w:val="22"/>
          <w:color w:val="auto"/>
        </w:rPr>
        <w:t>” means, with respect to any Clinical Trial, first dosing in such Clinical Trial of the first human subject with the disease or condition for which the Product in such Clinical Trial is intended.</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1.92.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Insolvency Event</w:t>
      </w:r>
      <w:r>
        <w:rPr>
          <w:rFonts w:ascii="Times New Roman" w:cs="Times New Roman" w:eastAsia="Times New Roman" w:hAnsi="Times New Roman"/>
          <w:sz w:val="21"/>
          <w:szCs w:val="21"/>
          <w:color w:val="auto"/>
        </w:rPr>
        <w:t>” has the meaning set forth in Section 9.2.5.</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1.93.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IP Committee</w:t>
      </w:r>
      <w:r>
        <w:rPr>
          <w:rFonts w:ascii="Times New Roman" w:cs="Times New Roman" w:eastAsia="Times New Roman" w:hAnsi="Times New Roman"/>
          <w:sz w:val="21"/>
          <w:szCs w:val="21"/>
          <w:color w:val="auto"/>
        </w:rPr>
        <w:t>” has the meaning set forth in Section 3.2.</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1.94.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JAMS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Schedule 1.19</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1.95.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Joint Agreement Know-How</w:t>
      </w:r>
      <w:r>
        <w:rPr>
          <w:rFonts w:ascii="Times New Roman" w:cs="Times New Roman" w:eastAsia="Times New Roman" w:hAnsi="Times New Roman"/>
          <w:sz w:val="21"/>
          <w:szCs w:val="21"/>
          <w:color w:val="auto"/>
        </w:rPr>
        <w:t>” has the meaning set forth in Section 6.1.3.</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1.96.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Joint Agreement Patents</w:t>
      </w:r>
      <w:r>
        <w:rPr>
          <w:rFonts w:ascii="Times New Roman" w:cs="Times New Roman" w:eastAsia="Times New Roman" w:hAnsi="Times New Roman"/>
          <w:sz w:val="21"/>
          <w:szCs w:val="21"/>
          <w:color w:val="auto"/>
        </w:rPr>
        <w:t>” has the meaning set forth in Section 6.1.3.</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1.97.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Joint Agreement Technology</w:t>
      </w:r>
      <w:r>
        <w:rPr>
          <w:rFonts w:ascii="Times New Roman" w:cs="Times New Roman" w:eastAsia="Times New Roman" w:hAnsi="Times New Roman"/>
          <w:sz w:val="21"/>
          <w:szCs w:val="21"/>
          <w:color w:val="auto"/>
        </w:rPr>
        <w:t>” has the meaning set forth in Section 6.1.3.</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1.98.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JRC</w:t>
      </w:r>
      <w:r>
        <w:rPr>
          <w:rFonts w:ascii="Times New Roman" w:cs="Times New Roman" w:eastAsia="Times New Roman" w:hAnsi="Times New Roman"/>
          <w:sz w:val="21"/>
          <w:szCs w:val="21"/>
          <w:color w:val="auto"/>
        </w:rPr>
        <w:t>” has the meaning set forth in Section 3.1.1.</w:t>
      </w:r>
    </w:p>
    <w:p>
      <w:pPr>
        <w:spacing w:after="0" w:line="179"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1.99. “</w:t>
      </w:r>
      <w:r>
        <w:rPr>
          <w:rFonts w:ascii="Times New Roman" w:cs="Times New Roman" w:eastAsia="Times New Roman" w:hAnsi="Times New Roman"/>
          <w:sz w:val="22"/>
          <w:szCs w:val="22"/>
          <w:b w:val="1"/>
          <w:bCs w:val="1"/>
          <w:color w:val="auto"/>
        </w:rPr>
        <w:t>Know-How</w:t>
      </w:r>
      <w:r>
        <w:rPr>
          <w:rFonts w:ascii="Times New Roman" w:cs="Times New Roman" w:eastAsia="Times New Roman" w:hAnsi="Times New Roman"/>
          <w:sz w:val="22"/>
          <w:szCs w:val="22"/>
          <w:color w:val="auto"/>
        </w:rPr>
        <w:t>” means data, results, protocols, chemical structures, chemical sequences, materials, inventions, know-how, formulas, trade secrets, techniques, methods,</w:t>
      </w:r>
    </w:p>
    <w:p>
      <w:pPr>
        <w:sectPr>
          <w:pgSz w:w="11900" w:h="16838" w:orient="portrait"/>
          <w:cols w:equalWidth="0" w:num="1">
            <w:col w:w="11240"/>
          </w:cols>
          <w:pgMar w:left="320" w:top="13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1391" w:right="339" w:bottom="1440" w:gutter="0" w:footer="0" w:header="0"/>
          <w:type w:val="continuous"/>
        </w:sectPr>
      </w:pPr>
    </w:p>
    <w:bookmarkStart w:id="268" w:name="page269"/>
    <w:bookmarkEnd w:id="268"/>
    <w:p>
      <w:pPr>
        <w:jc w:val="both"/>
        <w:spacing w:after="0" w:line="236" w:lineRule="auto"/>
        <w:rPr>
          <w:sz w:val="20"/>
          <w:szCs w:val="20"/>
          <w:color w:val="auto"/>
        </w:rPr>
      </w:pPr>
      <w:r>
        <w:rPr>
          <w:rFonts w:ascii="Times New Roman" w:cs="Times New Roman" w:eastAsia="Times New Roman" w:hAnsi="Times New Roman"/>
          <w:sz w:val="22"/>
          <w:szCs w:val="22"/>
          <w:color w:val="auto"/>
        </w:rPr>
        <w:t>processes, procedures and developments, and other scientific, technical or manufacturing information, whether or not patentable; provided that Know-How does not include Patents.</w:t>
      </w:r>
    </w:p>
    <w:p>
      <w:pPr>
        <w:spacing w:after="0" w:line="14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1.100.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Lead Prosecuting Party</w:t>
      </w:r>
      <w:r>
        <w:rPr>
          <w:rFonts w:ascii="Times New Roman" w:cs="Times New Roman" w:eastAsia="Times New Roman" w:hAnsi="Times New Roman"/>
          <w:sz w:val="21"/>
          <w:szCs w:val="21"/>
          <w:color w:val="auto"/>
        </w:rPr>
        <w:t>” has the meaning set forth in Section 6.2.5.</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1.101.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Liability</w:t>
      </w:r>
      <w:r>
        <w:rPr>
          <w:rFonts w:ascii="Times New Roman" w:cs="Times New Roman" w:eastAsia="Times New Roman" w:hAnsi="Times New Roman"/>
          <w:sz w:val="21"/>
          <w:szCs w:val="21"/>
          <w:color w:val="auto"/>
        </w:rPr>
        <w:t>” has the meaning set forth in Section 8.1.</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1.102. “</w:t>
      </w:r>
      <w:r>
        <w:rPr>
          <w:rFonts w:ascii="Times New Roman" w:cs="Times New Roman" w:eastAsia="Times New Roman" w:hAnsi="Times New Roman"/>
          <w:sz w:val="22"/>
          <w:szCs w:val="22"/>
          <w:b w:val="1"/>
          <w:bCs w:val="1"/>
          <w:color w:val="auto"/>
        </w:rPr>
        <w:t>Licensed Agents</w:t>
      </w:r>
      <w:r>
        <w:rPr>
          <w:rFonts w:ascii="Times New Roman" w:cs="Times New Roman" w:eastAsia="Times New Roman" w:hAnsi="Times New Roman"/>
          <w:sz w:val="22"/>
          <w:szCs w:val="22"/>
          <w:color w:val="auto"/>
        </w:rPr>
        <w:t xml:space="preserve">” means (a) that compound known as ENTR-701 with the chemical structure set forth on </w:t>
      </w:r>
      <w:r>
        <w:rPr>
          <w:rFonts w:ascii="Times New Roman" w:cs="Times New Roman" w:eastAsia="Times New Roman" w:hAnsi="Times New Roman"/>
          <w:sz w:val="22"/>
          <w:szCs w:val="22"/>
          <w:u w:val="single" w:color="auto"/>
          <w:color w:val="auto"/>
        </w:rPr>
        <w:t>Schedule 1.102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ENTR-701</w:t>
      </w:r>
      <w:r>
        <w:rPr>
          <w:rFonts w:ascii="Times New Roman" w:cs="Times New Roman" w:eastAsia="Times New Roman" w:hAnsi="Times New Roman"/>
          <w:sz w:val="22"/>
          <w:szCs w:val="22"/>
          <w:color w:val="auto"/>
        </w:rPr>
        <w:t>”), [***].</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1.103. “</w:t>
      </w:r>
      <w:r>
        <w:rPr>
          <w:rFonts w:ascii="Times New Roman" w:cs="Times New Roman" w:eastAsia="Times New Roman" w:hAnsi="Times New Roman"/>
          <w:sz w:val="22"/>
          <w:szCs w:val="22"/>
          <w:b w:val="1"/>
          <w:bCs w:val="1"/>
          <w:color w:val="auto"/>
        </w:rPr>
        <w:t>Licensed Know-How</w:t>
      </w:r>
      <w:r>
        <w:rPr>
          <w:rFonts w:ascii="Times New Roman" w:cs="Times New Roman" w:eastAsia="Times New Roman" w:hAnsi="Times New Roman"/>
          <w:sz w:val="22"/>
          <w:szCs w:val="22"/>
          <w:color w:val="auto"/>
        </w:rPr>
        <w:t>” means any Know-How Controlled by Company or its Affiliates on or after the Effective Date that is necessary or useful to Research, Develop, Manufacture or Commercialize Licensed Agents or Products in the Field. Notwithstanding the foregoing, Licensed Know-How will not include “OSIF Know-How” as defined in the Sublicense Agreement.</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1.104. “</w:t>
      </w:r>
      <w:r>
        <w:rPr>
          <w:rFonts w:ascii="Times New Roman" w:cs="Times New Roman" w:eastAsia="Times New Roman" w:hAnsi="Times New Roman"/>
          <w:sz w:val="22"/>
          <w:szCs w:val="22"/>
          <w:b w:val="1"/>
          <w:bCs w:val="1"/>
          <w:color w:val="auto"/>
        </w:rPr>
        <w:t>Licensed Patents</w:t>
      </w:r>
      <w:r>
        <w:rPr>
          <w:rFonts w:ascii="Times New Roman" w:cs="Times New Roman" w:eastAsia="Times New Roman" w:hAnsi="Times New Roman"/>
          <w:sz w:val="22"/>
          <w:szCs w:val="22"/>
          <w:color w:val="auto"/>
        </w:rPr>
        <w:t>” means any Patents, including Company Agreement Patents and Joint Agreement Patents, Controlled by Company or its Affiliates on or after the Effective Date that claim or disclose any Licensed Know-How or otherwise Cover the Licensed Agents or Products in the Field. Notwithstanding the foregoing, Licensed Patents will not include “OSIF Patents” as defined in the Sublicense Agreement.</w:t>
      </w:r>
    </w:p>
    <w:p>
      <w:pPr>
        <w:spacing w:after="0" w:line="152"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1.105.</w:t>
      </w:r>
      <w:r>
        <w:rPr>
          <w:sz w:val="20"/>
          <w:szCs w:val="20"/>
          <w:color w:val="auto"/>
        </w:rPr>
        <w:tab/>
      </w:r>
      <w:r>
        <w:rPr>
          <w:rFonts w:ascii="Times New Roman" w:cs="Times New Roman" w:eastAsia="Times New Roman" w:hAnsi="Times New Roman"/>
          <w:sz w:val="21"/>
          <w:szCs w:val="21"/>
          <w:color w:val="auto"/>
        </w:rPr>
        <w:t>“Licensed Platform Patent” means [***].</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1.106.</w:t>
      </w:r>
      <w:r>
        <w:rPr>
          <w:sz w:val="20"/>
          <w:szCs w:val="20"/>
          <w:color w:val="auto"/>
        </w:rPr>
        <w:tab/>
      </w:r>
      <w:r>
        <w:rPr>
          <w:rFonts w:ascii="Times New Roman" w:cs="Times New Roman" w:eastAsia="Times New Roman" w:hAnsi="Times New Roman"/>
          <w:sz w:val="21"/>
          <w:szCs w:val="21"/>
          <w:color w:val="auto"/>
        </w:rPr>
        <w:t>“Licensed Product-Specific Patent” means [***].</w:t>
      </w:r>
    </w:p>
    <w:p>
      <w:pPr>
        <w:spacing w:after="0" w:line="175"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1.107.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Licensed Technology</w:t>
      </w:r>
      <w:r>
        <w:rPr>
          <w:rFonts w:ascii="Times New Roman" w:cs="Times New Roman" w:eastAsia="Times New Roman" w:hAnsi="Times New Roman"/>
          <w:sz w:val="21"/>
          <w:szCs w:val="21"/>
          <w:color w:val="auto"/>
        </w:rPr>
        <w:t>” means the Licensed Patents and Licensed Know-How.</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1.108.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Licensee</w:t>
      </w:r>
      <w:r>
        <w:rPr>
          <w:rFonts w:ascii="Times New Roman" w:cs="Times New Roman" w:eastAsia="Times New Roman" w:hAnsi="Times New Roman"/>
          <w:sz w:val="21"/>
          <w:szCs w:val="21"/>
          <w:color w:val="auto"/>
        </w:rPr>
        <w:t>” has the meaning set forth in Section 5.7.2.</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1.109.</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2"/>
          <w:szCs w:val="22"/>
          <w:color w:val="auto"/>
        </w:rPr>
        <w:t>1.110.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Major Market Country</w:t>
      </w:r>
      <w:r>
        <w:rPr>
          <w:rFonts w:ascii="Times New Roman" w:cs="Times New Roman" w:eastAsia="Times New Roman" w:hAnsi="Times New Roman"/>
          <w:sz w:val="21"/>
          <w:szCs w:val="21"/>
          <w:color w:val="auto"/>
        </w:rPr>
        <w:t>” means any one of the following countries: [***].</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1.111. “</w:t>
      </w:r>
      <w:r>
        <w:rPr>
          <w:rFonts w:ascii="Times New Roman" w:cs="Times New Roman" w:eastAsia="Times New Roman" w:hAnsi="Times New Roman"/>
          <w:sz w:val="22"/>
          <w:szCs w:val="22"/>
          <w:b w:val="1"/>
          <w:bCs w:val="1"/>
          <w:color w:val="auto"/>
        </w:rPr>
        <w:t>Manufacture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Manufactured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Manufacturing</w:t>
      </w:r>
      <w:r>
        <w:rPr>
          <w:rFonts w:ascii="Times New Roman" w:cs="Times New Roman" w:eastAsia="Times New Roman" w:hAnsi="Times New Roman"/>
          <w:sz w:val="22"/>
          <w:szCs w:val="22"/>
          <w:color w:val="auto"/>
        </w:rPr>
        <w:t>” means activities directed to making, having made, producing, manufacturing, processing, filling, finishing, packaging, labeling, quality control testing and quality assurance release, shipping or storage of a Licensed Agent or Product.</w:t>
      </w:r>
    </w:p>
    <w:p>
      <w:pPr>
        <w:spacing w:after="0" w:line="150"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2"/>
          <w:szCs w:val="22"/>
          <w:color w:val="auto"/>
        </w:rPr>
        <w:t>1.112.</w:t>
      </w:r>
      <w:r>
        <w:rPr>
          <w:sz w:val="20"/>
          <w:szCs w:val="20"/>
          <w:color w:val="auto"/>
        </w:rPr>
        <w:tab/>
      </w:r>
      <w:r>
        <w:rPr>
          <w:rFonts w:ascii="Times New Roman" w:cs="Times New Roman" w:eastAsia="Times New Roman" w:hAnsi="Times New Roman"/>
          <w:sz w:val="21"/>
          <w:szCs w:val="21"/>
          <w:color w:val="auto"/>
        </w:rPr>
        <w:t>“Manufacturing Cost” means [***].</w:t>
      </w:r>
    </w:p>
    <w:p>
      <w:pPr>
        <w:spacing w:after="0" w:line="175"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2"/>
          <w:szCs w:val="22"/>
          <w:color w:val="auto"/>
        </w:rPr>
        <w:t>1.113.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Manufacturing Transfer Date</w:t>
      </w:r>
      <w:r>
        <w:rPr>
          <w:rFonts w:ascii="Times New Roman" w:cs="Times New Roman" w:eastAsia="Times New Roman" w:hAnsi="Times New Roman"/>
          <w:sz w:val="21"/>
          <w:szCs w:val="21"/>
          <w:color w:val="auto"/>
        </w:rPr>
        <w:t>” means the date on which [***].</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1.114. “</w:t>
      </w:r>
      <w:r>
        <w:rPr>
          <w:rFonts w:ascii="Times New Roman" w:cs="Times New Roman" w:eastAsia="Times New Roman" w:hAnsi="Times New Roman"/>
          <w:sz w:val="22"/>
          <w:szCs w:val="22"/>
          <w:b w:val="1"/>
          <w:bCs w:val="1"/>
          <w:color w:val="auto"/>
        </w:rPr>
        <w:t>Marketing Approval</w:t>
      </w:r>
      <w:r>
        <w:rPr>
          <w:rFonts w:ascii="Times New Roman" w:cs="Times New Roman" w:eastAsia="Times New Roman" w:hAnsi="Times New Roman"/>
          <w:sz w:val="22"/>
          <w:szCs w:val="22"/>
          <w:color w:val="auto"/>
        </w:rPr>
        <w:t>” means, with respect to a Product in a particular jurisdiction, all approvals (including regular or accelerated approval of a BLA or NDA), licenses, registrations or authorizations necessary for the Commercialization of such Product in such jurisdiction, including, with respect to the United States, approval of an Approval Application for such Product by the FDA and with respect to Europe, approval of an Approval Application for such Product by the European Commission or the applicable Regulatory Authority in any particular country in Europe.</w:t>
      </w:r>
    </w:p>
    <w:p>
      <w:pPr>
        <w:spacing w:after="0" w:line="147"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1.115. “</w:t>
      </w:r>
      <w:r>
        <w:rPr>
          <w:rFonts w:ascii="Times New Roman" w:cs="Times New Roman" w:eastAsia="Times New Roman" w:hAnsi="Times New Roman"/>
          <w:sz w:val="22"/>
          <w:szCs w:val="22"/>
          <w:b w:val="1"/>
          <w:bCs w:val="1"/>
          <w:color w:val="auto"/>
        </w:rPr>
        <w:t>Materials</w:t>
      </w:r>
      <w:r>
        <w:rPr>
          <w:rFonts w:ascii="Times New Roman" w:cs="Times New Roman" w:eastAsia="Times New Roman" w:hAnsi="Times New Roman"/>
          <w:sz w:val="22"/>
          <w:szCs w:val="22"/>
          <w:color w:val="auto"/>
        </w:rPr>
        <w:t>” means chemical compounds, biological materials, including Clinical Trial samples, cell lines, EEVs, lipids, assays, viruses and vectors, and other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269" w:name="page270"/>
    <w:bookmarkEnd w:id="269"/>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1.116. “</w:t>
      </w:r>
      <w:r>
        <w:rPr>
          <w:rFonts w:ascii="Times New Roman" w:cs="Times New Roman" w:eastAsia="Times New Roman" w:hAnsi="Times New Roman"/>
          <w:sz w:val="22"/>
          <w:szCs w:val="22"/>
          <w:b w:val="1"/>
          <w:bCs w:val="1"/>
          <w:color w:val="auto"/>
        </w:rPr>
        <w:t>NDA</w:t>
      </w:r>
      <w:r>
        <w:rPr>
          <w:rFonts w:ascii="Times New Roman" w:cs="Times New Roman" w:eastAsia="Times New Roman" w:hAnsi="Times New Roman"/>
          <w:sz w:val="22"/>
          <w:szCs w:val="22"/>
          <w:color w:val="auto"/>
        </w:rPr>
        <w:t>” means a new drug application that is submitted to the FDA for marketing approval for a Product, pursuant to 21 C.F.R. § 314.3.</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1"/>
          <w:szCs w:val="21"/>
          <w:color w:val="auto"/>
        </w:rPr>
        <w:t>1.117. “</w:t>
      </w:r>
      <w:r>
        <w:rPr>
          <w:rFonts w:ascii="Times New Roman" w:cs="Times New Roman" w:eastAsia="Times New Roman" w:hAnsi="Times New Roman"/>
          <w:sz w:val="21"/>
          <w:szCs w:val="21"/>
          <w:b w:val="1"/>
          <w:bCs w:val="1"/>
          <w:color w:val="auto"/>
        </w:rPr>
        <w:t>Net Sales</w:t>
      </w:r>
      <w:r>
        <w:rPr>
          <w:rFonts w:ascii="Times New Roman" w:cs="Times New Roman" w:eastAsia="Times New Roman" w:hAnsi="Times New Roman"/>
          <w:sz w:val="21"/>
          <w:szCs w:val="21"/>
          <w:color w:val="auto"/>
        </w:rPr>
        <w:t>” means the [***] for Products sold by Vertex (including sales generated from named patient programs and excluding sales deferred for GAAP accounting purposes until such sales are recognized), its Affiliates or Sublicensees (the “</w:t>
      </w:r>
      <w:r>
        <w:rPr>
          <w:rFonts w:ascii="Times New Roman" w:cs="Times New Roman" w:eastAsia="Times New Roman" w:hAnsi="Times New Roman"/>
          <w:sz w:val="21"/>
          <w:szCs w:val="21"/>
          <w:b w:val="1"/>
          <w:bCs w:val="1"/>
          <w:color w:val="auto"/>
        </w:rPr>
        <w:t>Selling Party</w:t>
      </w:r>
      <w:r>
        <w:rPr>
          <w:rFonts w:ascii="Times New Roman" w:cs="Times New Roman" w:eastAsia="Times New Roman" w:hAnsi="Times New Roman"/>
          <w:sz w:val="21"/>
          <w:szCs w:val="21"/>
          <w:color w:val="auto"/>
        </w:rPr>
        <w:t>”) to Third Parties (including Distributors), less the following deductions from such [***] amounts:</w:t>
      </w:r>
    </w:p>
    <w:p>
      <w:pPr>
        <w:spacing w:after="0" w:line="150" w:lineRule="exact"/>
        <w:rPr>
          <w:sz w:val="20"/>
          <w:szCs w:val="20"/>
          <w:color w:val="auto"/>
        </w:rPr>
      </w:pPr>
    </w:p>
    <w:p>
      <w:pPr>
        <w:ind w:left="2400" w:hanging="448"/>
        <w:spacing w:after="0"/>
        <w:tabs>
          <w:tab w:leader="none" w:pos="240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Only items that are deducted from the Selling Party’s [***] of Product(s), as included in the Selling Party’s published financial statements and that are in accordance with GAAP, applied on a consistent basis, will be deducted from such [***] for purposes of the calculation of Net Sales;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amounts written off by the Selling Party by reason of uncollectible debt pursuant to clause (a) or amounts of compulsory payments deducted pursuant to clause (f) above, respectively, may be deducted from Net Sales in accordance with clause (a) or clause (f) above, respectively, regardless of whether such amounts are classified as deduction from gross sales in the Selling Party’s published financial statements.</w:t>
      </w:r>
    </w:p>
    <w:p>
      <w:pPr>
        <w:spacing w:after="0" w:line="15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A qualifying amount may be deducted only once regardless of the number of the preceding categories that describes such amount. If a Selling Party makes any adjustment to such deductions after the associated Net Sales have been reported pursuant to this Agreement, the adjustments and payment of any royalties due will be reported with a subsequent quarterly report. Sales between or among Vertex, its Affiliates and Sublicensees will be excluded from the computation of Net Sales if such sales are not intended for end use, but Net Sales will include the subsequent final sales to Third Parties by Vertex or any such Affiliates or Sublicensees. A Product will not be deemed to be sold if the Product is provided free of charge to a Third Party in reasonable quantities as a sample consistent with industry standard promotional and sample practices. For clarity, Net Sales include sales such as so-called “treatment IND sales,” “named patient sales,” and “compassionate use sales,” even if such sales occur prior to receipt of Marketing Approval.</w:t>
      </w:r>
    </w:p>
    <w:p>
      <w:pPr>
        <w:spacing w:after="0" w:line="15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If a sale, transfer or other disposition with respect to a Product involves consideration other than cash or is not at arm’s length, the Net Sales from such sale, transfer or other disposition will be calculated based on the average Net Sales price of the Product in arm’s length sales for cash in the relevant country during the same Calendar Quarter as such sale, transfer or other disposition or, in the absence of such sales, based on the fair market value of the Product as mutually determined by the Parties.</w:t>
      </w:r>
    </w:p>
    <w:p>
      <w:pPr>
        <w:spacing w:after="0" w:line="14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color w:val="auto"/>
        </w:rPr>
        <w:t>Solely for purposes of calculating Net Sales, [***] (“</w:t>
      </w:r>
      <w:r>
        <w:rPr>
          <w:rFonts w:ascii="Times New Roman" w:cs="Times New Roman" w:eastAsia="Times New Roman" w:hAnsi="Times New Roman"/>
          <w:sz w:val="22"/>
          <w:szCs w:val="22"/>
          <w:b w:val="1"/>
          <w:bCs w:val="1"/>
          <w:color w:val="auto"/>
        </w:rPr>
        <w:t>Other Product</w:t>
      </w:r>
      <w:r>
        <w:rPr>
          <w:rFonts w:ascii="Times New Roman" w:cs="Times New Roman" w:eastAsia="Times New Roman" w:hAnsi="Times New Roman"/>
          <w:sz w:val="22"/>
          <w:szCs w:val="22"/>
          <w:color w:val="auto"/>
        </w:rPr>
        <w:t>”) (whether combined in a single formulation or package, as applicable, or formulated separately but packaged under a single label approved by a Regulatory Authority and sold together for a single price) (such combination product, a “</w:t>
      </w:r>
      <w:r>
        <w:rPr>
          <w:rFonts w:ascii="Times New Roman" w:cs="Times New Roman" w:eastAsia="Times New Roman" w:hAnsi="Times New Roman"/>
          <w:sz w:val="22"/>
          <w:szCs w:val="22"/>
          <w:b w:val="1"/>
          <w:bCs w:val="1"/>
          <w:color w:val="auto"/>
        </w:rPr>
        <w:t>Combination Product</w:t>
      </w:r>
      <w:r>
        <w:rPr>
          <w:rFonts w:ascii="Times New Roman" w:cs="Times New Roman" w:eastAsia="Times New Roman" w:hAnsi="Times New Roman"/>
          <w:sz w:val="22"/>
          <w:szCs w:val="22"/>
          <w:color w:val="auto"/>
        </w:rPr>
        <w:t>”), Net Sales of such Combination Product for the purpose of determining the payments due to Company pursuant to this Agreement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1" w:right="339" w:bottom="1440" w:gutter="0" w:footer="0" w:header="0"/>
        </w:sectPr>
      </w:pPr>
    </w:p>
    <w:bookmarkStart w:id="270" w:name="page271"/>
    <w:bookmarkEnd w:id="270"/>
    <w:p>
      <w:pPr>
        <w:jc w:val="both"/>
        <w:spacing w:after="0" w:line="225" w:lineRule="auto"/>
        <w:rPr>
          <w:sz w:val="20"/>
          <w:szCs w:val="20"/>
          <w:color w:val="auto"/>
        </w:rPr>
      </w:pPr>
      <w:r>
        <w:rPr>
          <w:rFonts w:ascii="Times New Roman" w:cs="Times New Roman" w:eastAsia="Times New Roman" w:hAnsi="Times New Roman"/>
          <w:sz w:val="22"/>
          <w:szCs w:val="22"/>
          <w:color w:val="auto"/>
        </w:rPr>
        <w:t>calculated by [***]. If the [***] selling price of a [***] in such country [***] can be determined but the [***] selling price of the Other Product in such country cannot be determined, Net Sales in such country for purposes of determining royalty payments will be calculated by [***]. If such separate sales are not made in a country, Net Sales will be calculated by [***].</w:t>
      </w:r>
    </w:p>
    <w:p>
      <w:pPr>
        <w:spacing w:after="0" w:line="148"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2"/>
          <w:szCs w:val="22"/>
          <w:color w:val="auto"/>
        </w:rPr>
        <w:t>1.118.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New Company Agreement</w:t>
      </w:r>
      <w:r>
        <w:rPr>
          <w:rFonts w:ascii="Times New Roman" w:cs="Times New Roman" w:eastAsia="Times New Roman" w:hAnsi="Times New Roman"/>
          <w:sz w:val="21"/>
          <w:szCs w:val="21"/>
          <w:color w:val="auto"/>
        </w:rPr>
        <w:t>” has the meaning set forth in Section 5.7.2.</w:t>
      </w:r>
    </w:p>
    <w:p>
      <w:pPr>
        <w:spacing w:after="0" w:line="179"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2"/>
          <w:szCs w:val="22"/>
          <w:color w:val="auto"/>
        </w:rPr>
        <w:t>1.119.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Non-Breaching Party</w:t>
      </w:r>
      <w:r>
        <w:rPr>
          <w:rFonts w:ascii="Times New Roman" w:cs="Times New Roman" w:eastAsia="Times New Roman" w:hAnsi="Times New Roman"/>
          <w:sz w:val="21"/>
          <w:szCs w:val="21"/>
          <w:color w:val="auto"/>
        </w:rPr>
        <w:t>” means the Party that believes the other Party is in material breach of this Agreement.</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1.120.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Ongoing Study</w:t>
      </w:r>
      <w:r>
        <w:rPr>
          <w:rFonts w:ascii="Times New Roman" w:cs="Times New Roman" w:eastAsia="Times New Roman" w:hAnsi="Times New Roman"/>
          <w:sz w:val="21"/>
          <w:szCs w:val="21"/>
          <w:color w:val="auto"/>
        </w:rPr>
        <w:t>” means [***].</w:t>
      </w:r>
    </w:p>
    <w:p>
      <w:pPr>
        <w:spacing w:after="0" w:line="166" w:lineRule="exact"/>
        <w:rPr>
          <w:sz w:val="20"/>
          <w:szCs w:val="20"/>
          <w:color w:val="auto"/>
        </w:rPr>
      </w:pPr>
    </w:p>
    <w:p>
      <w:pPr>
        <w:ind w:left="660"/>
        <w:spacing w:after="0"/>
        <w:tabs>
          <w:tab w:leader="none" w:pos="1460" w:val="left"/>
        </w:tabs>
        <w:rPr>
          <w:sz w:val="20"/>
          <w:szCs w:val="20"/>
          <w:color w:val="auto"/>
        </w:rPr>
      </w:pPr>
      <w:r>
        <w:rPr>
          <w:rFonts w:ascii="Times New Roman" w:cs="Times New Roman" w:eastAsia="Times New Roman" w:hAnsi="Times New Roman"/>
          <w:sz w:val="22"/>
          <w:szCs w:val="22"/>
          <w:color w:val="auto"/>
        </w:rPr>
        <w:t>1.121.</w:t>
        <w:tab/>
        <w:t>“</w:t>
      </w:r>
      <w:r>
        <w:rPr>
          <w:rFonts w:ascii="Times New Roman" w:cs="Times New Roman" w:eastAsia="Times New Roman" w:hAnsi="Times New Roman"/>
          <w:sz w:val="22"/>
          <w:szCs w:val="22"/>
          <w:b w:val="1"/>
          <w:bCs w:val="1"/>
          <w:color w:val="auto"/>
        </w:rPr>
        <w:t>OSIF</w:t>
      </w:r>
      <w:r>
        <w:rPr>
          <w:rFonts w:ascii="Times New Roman" w:cs="Times New Roman" w:eastAsia="Times New Roman" w:hAnsi="Times New Roman"/>
          <w:sz w:val="22"/>
          <w:szCs w:val="22"/>
          <w:color w:val="auto"/>
        </w:rPr>
        <w:t>” means Ohio State Innovation Foundation, with an address at 1524 North High Street, Columbus, OH</w:t>
      </w:r>
    </w:p>
    <w:p>
      <w:pPr>
        <w:spacing w:after="0"/>
        <w:rPr>
          <w:sz w:val="20"/>
          <w:szCs w:val="20"/>
          <w:color w:val="auto"/>
        </w:rPr>
      </w:pPr>
      <w:r>
        <w:rPr>
          <w:rFonts w:ascii="Times New Roman" w:cs="Times New Roman" w:eastAsia="Times New Roman" w:hAnsi="Times New Roman"/>
          <w:sz w:val="22"/>
          <w:szCs w:val="22"/>
          <w:color w:val="auto"/>
        </w:rPr>
        <w:t>43201.</w:t>
      </w:r>
    </w:p>
    <w:p>
      <w:pPr>
        <w:spacing w:after="0" w:line="15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1.122. “</w:t>
      </w:r>
      <w:r>
        <w:rPr>
          <w:rFonts w:ascii="Times New Roman" w:cs="Times New Roman" w:eastAsia="Times New Roman" w:hAnsi="Times New Roman"/>
          <w:sz w:val="22"/>
          <w:szCs w:val="22"/>
          <w:b w:val="1"/>
          <w:bCs w:val="1"/>
          <w:color w:val="auto"/>
        </w:rPr>
        <w:t>OSIF Agreement</w:t>
      </w:r>
      <w:r>
        <w:rPr>
          <w:rFonts w:ascii="Times New Roman" w:cs="Times New Roman" w:eastAsia="Times New Roman" w:hAnsi="Times New Roman"/>
          <w:sz w:val="22"/>
          <w:szCs w:val="22"/>
          <w:color w:val="auto"/>
        </w:rPr>
        <w:t>” means that certain Exclusive License Agreement, dated December 14, 2018, by and between Company and OSIF.</w:t>
      </w:r>
    </w:p>
    <w:p>
      <w:pPr>
        <w:spacing w:after="0" w:line="14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Joint Patents</w:t>
      </w:r>
      <w:r>
        <w:rPr>
          <w:rFonts w:ascii="Times New Roman" w:cs="Times New Roman" w:eastAsia="Times New Roman" w:hAnsi="Times New Roman"/>
          <w:sz w:val="21"/>
          <w:szCs w:val="21"/>
          <w:color w:val="auto"/>
        </w:rPr>
        <w:t>” has the meaning set forth in Section 6.2.5.</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1.124.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Product</w:t>
      </w:r>
      <w:r>
        <w:rPr>
          <w:rFonts w:ascii="Times New Roman" w:cs="Times New Roman" w:eastAsia="Times New Roman" w:hAnsi="Times New Roman"/>
          <w:sz w:val="21"/>
          <w:szCs w:val="21"/>
          <w:color w:val="auto"/>
        </w:rPr>
        <w:t>” has the meaning set forth in Section 1.117.</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1.125. “</w:t>
      </w:r>
      <w:r>
        <w:rPr>
          <w:rFonts w:ascii="Times New Roman" w:cs="Times New Roman" w:eastAsia="Times New Roman" w:hAnsi="Times New Roman"/>
          <w:sz w:val="22"/>
          <w:szCs w:val="22"/>
          <w:b w:val="1"/>
          <w:bCs w:val="1"/>
          <w:color w:val="auto"/>
        </w:rPr>
        <w:t>Other Safety Information</w:t>
      </w:r>
      <w:r>
        <w:rPr>
          <w:rFonts w:ascii="Times New Roman" w:cs="Times New Roman" w:eastAsia="Times New Roman" w:hAnsi="Times New Roman"/>
          <w:sz w:val="22"/>
          <w:szCs w:val="22"/>
          <w:color w:val="auto"/>
        </w:rPr>
        <w:t>” means all emerging and known information about the Products involving known or potential risks to humans including: misuse, abuse, overdose, off-label use, medication error, lack of effect, suspected transmission of an infectious agent, occupational exposure, pregnancy exposure or any use of a falsified product.</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1.126. “</w:t>
      </w:r>
      <w:r>
        <w:rPr>
          <w:rFonts w:ascii="Times New Roman" w:cs="Times New Roman" w:eastAsia="Times New Roman" w:hAnsi="Times New Roman"/>
          <w:sz w:val="22"/>
          <w:szCs w:val="22"/>
          <w:b w:val="1"/>
          <w:bCs w:val="1"/>
          <w:color w:val="auto"/>
        </w:rPr>
        <w:t>Out-of-Pocket Costs</w:t>
      </w:r>
      <w:r>
        <w:rPr>
          <w:rFonts w:ascii="Times New Roman" w:cs="Times New Roman" w:eastAsia="Times New Roman" w:hAnsi="Times New Roman"/>
          <w:sz w:val="22"/>
          <w:szCs w:val="22"/>
          <w:color w:val="auto"/>
        </w:rPr>
        <w:t>” means, with respect to a Party, costs and expenses paid by such Party or its Affiliates to Third Parties (or payable to Third Parties and accrued in accordance with GAAP), other than employees of such Party or its Affiliates.</w:t>
      </w:r>
    </w:p>
    <w:p>
      <w:pPr>
        <w:spacing w:after="0" w:line="14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1.127.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 has the meaning set forth in the Preamble.</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1.128. “</w:t>
      </w:r>
      <w:r>
        <w:rPr>
          <w:rFonts w:ascii="Times New Roman" w:cs="Times New Roman" w:eastAsia="Times New Roman" w:hAnsi="Times New Roman"/>
          <w:sz w:val="22"/>
          <w:szCs w:val="22"/>
          <w:b w:val="1"/>
          <w:bCs w:val="1"/>
          <w:color w:val="auto"/>
        </w:rPr>
        <w:t>Party Specific Regulations</w:t>
      </w:r>
      <w:r>
        <w:rPr>
          <w:rFonts w:ascii="Times New Roman" w:cs="Times New Roman" w:eastAsia="Times New Roman" w:hAnsi="Times New Roman"/>
          <w:sz w:val="22"/>
          <w:szCs w:val="22"/>
          <w:color w:val="auto"/>
        </w:rPr>
        <w:t>” means all non-monetary judgments, decrees, orders or similar decisions issued by any Governmental Authority specific to a Party, and all consent decrees, corporate integrity agreements, or other agreements or undertakings of any kind by a Party with any Governmental Authority, in each case as the same may be in effect from time to time and applicable to a Party’s activities contemplated by this Agreement.</w:t>
      </w:r>
    </w:p>
    <w:p>
      <w:pPr>
        <w:spacing w:after="0" w:line="148"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Patent Challenge</w:t>
      </w:r>
      <w:r>
        <w:rPr>
          <w:rFonts w:ascii="Times New Roman" w:cs="Times New Roman" w:eastAsia="Times New Roman" w:hAnsi="Times New Roman"/>
          <w:sz w:val="21"/>
          <w:szCs w:val="21"/>
          <w:color w:val="auto"/>
        </w:rPr>
        <w:t>” has the meaning set forth in Section 9.4.</w:t>
      </w:r>
    </w:p>
    <w:p>
      <w:pPr>
        <w:spacing w:after="0" w:line="17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1.130. “</w:t>
      </w:r>
      <w:r>
        <w:rPr>
          <w:rFonts w:ascii="Times New Roman" w:cs="Times New Roman" w:eastAsia="Times New Roman" w:hAnsi="Times New Roman"/>
          <w:sz w:val="22"/>
          <w:szCs w:val="22"/>
          <w:b w:val="1"/>
          <w:bCs w:val="1"/>
          <w:color w:val="auto"/>
        </w:rPr>
        <w:t>Patents</w:t>
      </w:r>
      <w:r>
        <w:rPr>
          <w:rFonts w:ascii="Times New Roman" w:cs="Times New Roman" w:eastAsia="Times New Roman" w:hAnsi="Times New Roman"/>
          <w:sz w:val="22"/>
          <w:szCs w:val="22"/>
          <w:color w:val="auto"/>
        </w:rPr>
        <w:t>” means the rights and interests in and to issued patents and pending patent applications in any country, jurisdiction or region (including inventor’s certificates and utility models), including all provisionals, non-provisionals, substitutions, continuations, continuations-in-part, divisionals, renewals and all patents granted thereon, and all reissues, reexaminations, extensions, confirmations, revalidations, registrations and patents of addition thereof, including patent term extensions and supplementary protection certificates, international patent applications filed under the Patent Cooperation Treaty (PCT) and any foreign equivalents to any of the foregoing.</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1.131.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sole proprietorship, partnership, limited partnership, limited liability partnership, corporation, limited liability company, business trust, joint stock company, trust, incorporated association, joint venture or similar entity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5" w:right="3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22"/>
          <w:szCs w:val="22"/>
          <w:color w:val="auto"/>
        </w:rPr>
        <w:t>organization, including a government or political subdivision or department or agency of a government.</w:t>
      </w:r>
    </w:p>
    <w:p>
      <w:pPr>
        <w:spacing w:after="0" w:line="175"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1.132. “</w:t>
      </w:r>
      <w:r>
        <w:rPr>
          <w:rFonts w:ascii="Times New Roman" w:cs="Times New Roman" w:eastAsia="Times New Roman" w:hAnsi="Times New Roman"/>
          <w:sz w:val="22"/>
          <w:szCs w:val="22"/>
          <w:b w:val="1"/>
          <w:bCs w:val="1"/>
          <w:color w:val="auto"/>
        </w:rPr>
        <w:t>Pivotal Clinical Trial</w:t>
      </w:r>
      <w:r>
        <w:rPr>
          <w:rFonts w:ascii="Times New Roman" w:cs="Times New Roman" w:eastAsia="Times New Roman" w:hAnsi="Times New Roman"/>
          <w:sz w:val="22"/>
          <w:szCs w:val="22"/>
          <w:color w:val="auto"/>
        </w:rPr>
        <w:t>” means, with respect to a Product, a Clinical Trial in humans performed to gain evidence with statistical significance of the efficacy of such Product in a target population, and to obtain expanded evidence of safety for such Product that is needed to evaluate the overall benefit-risk relationship of such Product, to form the basis for filing an Approval Application and obtaining Marketing Approval from a Regulatory Authority for such Product. [***].</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1.133. “</w:t>
      </w:r>
      <w:r>
        <w:rPr>
          <w:rFonts w:ascii="Times New Roman" w:cs="Times New Roman" w:eastAsia="Times New Roman" w:hAnsi="Times New Roman"/>
          <w:sz w:val="22"/>
          <w:szCs w:val="22"/>
          <w:b w:val="1"/>
          <w:bCs w:val="1"/>
          <w:color w:val="auto"/>
        </w:rPr>
        <w:t>Price Approval</w:t>
      </w:r>
      <w:r>
        <w:rPr>
          <w:rFonts w:ascii="Times New Roman" w:cs="Times New Roman" w:eastAsia="Times New Roman" w:hAnsi="Times New Roman"/>
          <w:sz w:val="22"/>
          <w:szCs w:val="22"/>
          <w:color w:val="auto"/>
        </w:rPr>
        <w:t>” means, in any country where a Governmental Authority authorizes reimbursement for, or approves or determines pricing for, pharmaceutical products, receipt (or, if required to make such authorization, approval or determination effective, publication) of such reimbursement authorization or pricing approval or determination.</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1.134. “</w:t>
      </w:r>
      <w:r>
        <w:rPr>
          <w:rFonts w:ascii="Times New Roman" w:cs="Times New Roman" w:eastAsia="Times New Roman" w:hAnsi="Times New Roman"/>
          <w:sz w:val="22"/>
          <w:szCs w:val="22"/>
          <w:b w:val="1"/>
          <w:bCs w:val="1"/>
          <w:color w:val="auto"/>
        </w:rPr>
        <w:t>Proceeding</w:t>
      </w:r>
      <w:r>
        <w:rPr>
          <w:rFonts w:ascii="Times New Roman" w:cs="Times New Roman" w:eastAsia="Times New Roman" w:hAnsi="Times New Roman"/>
          <w:sz w:val="22"/>
          <w:szCs w:val="22"/>
          <w:color w:val="auto"/>
        </w:rPr>
        <w:t>” means any action, suit, litigation, arbitration, proceeding (including any civil, criminal, administrative, investigative or appellate proceeding), prosecution, contest, hearing, inquiry, inquest, audit, examination or investigation that is, has been or may in the future be commenced, brought, conducted or heard at law or in equity or before any Governmental Authority.</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1.135. “</w:t>
      </w:r>
      <w:r>
        <w:rPr>
          <w:rFonts w:ascii="Times New Roman" w:cs="Times New Roman" w:eastAsia="Times New Roman" w:hAnsi="Times New Roman"/>
          <w:sz w:val="22"/>
          <w:szCs w:val="22"/>
          <w:b w:val="1"/>
          <w:bCs w:val="1"/>
          <w:color w:val="auto"/>
        </w:rPr>
        <w:t>Product</w:t>
      </w:r>
      <w:r>
        <w:rPr>
          <w:rFonts w:ascii="Times New Roman" w:cs="Times New Roman" w:eastAsia="Times New Roman" w:hAnsi="Times New Roman"/>
          <w:sz w:val="22"/>
          <w:szCs w:val="22"/>
          <w:color w:val="auto"/>
        </w:rPr>
        <w:t>” means any product, medical therapy, preparation or substance, comprising or employing a Licensed Agent, in any form or formulation, and whether alone or together with one or more other therapeutically active ingredients, delivery devices or other components. [***].</w:t>
      </w:r>
    </w:p>
    <w:p>
      <w:pPr>
        <w:spacing w:after="0" w:line="14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1.136.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Progress Report</w:t>
      </w:r>
      <w:r>
        <w:rPr>
          <w:rFonts w:ascii="Times New Roman" w:cs="Times New Roman" w:eastAsia="Times New Roman" w:hAnsi="Times New Roman"/>
          <w:sz w:val="21"/>
          <w:szCs w:val="21"/>
          <w:color w:val="auto"/>
        </w:rPr>
        <w:t>” has the meaning set forth in Section 2.1.8</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1.137.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Proposed New Company Agreement</w:t>
      </w:r>
      <w:r>
        <w:rPr>
          <w:rFonts w:ascii="Times New Roman" w:cs="Times New Roman" w:eastAsia="Times New Roman" w:hAnsi="Times New Roman"/>
          <w:sz w:val="21"/>
          <w:szCs w:val="21"/>
          <w:color w:val="auto"/>
        </w:rPr>
        <w:t>” has the meaning set forth in Section 5.7.1.</w:t>
      </w:r>
    </w:p>
    <w:p>
      <w:pPr>
        <w:spacing w:after="0" w:line="17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1.138. “</w:t>
      </w:r>
      <w:r>
        <w:rPr>
          <w:rFonts w:ascii="Times New Roman" w:cs="Times New Roman" w:eastAsia="Times New Roman" w:hAnsi="Times New Roman"/>
          <w:sz w:val="22"/>
          <w:szCs w:val="22"/>
          <w:b w:val="1"/>
          <w:bCs w:val="1"/>
          <w:color w:val="auto"/>
        </w:rPr>
        <w:t>Prosecution and Maintenance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Prosecute and Maintain</w:t>
      </w:r>
      <w:r>
        <w:rPr>
          <w:rFonts w:ascii="Times New Roman" w:cs="Times New Roman" w:eastAsia="Times New Roman" w:hAnsi="Times New Roman"/>
          <w:sz w:val="22"/>
          <w:szCs w:val="22"/>
          <w:color w:val="auto"/>
        </w:rPr>
        <w:t>” means, with regard to a Patent, the preparing, filing, prosecuting and maintenance of such Patent, as well as handling re-examinations and reissues with respect to such Patent, together with the conduct of interferences, derivation proceedings, the defense of oppositions, post-grant patent proceedings (such as inter partes review and post grant review) and other similar proceedings with respect to the particular Patent. For clarification, “</w:t>
      </w:r>
      <w:r>
        <w:rPr>
          <w:rFonts w:ascii="Times New Roman" w:cs="Times New Roman" w:eastAsia="Times New Roman" w:hAnsi="Times New Roman"/>
          <w:sz w:val="22"/>
          <w:szCs w:val="22"/>
          <w:b w:val="1"/>
          <w:bCs w:val="1"/>
          <w:color w:val="auto"/>
        </w:rPr>
        <w:t>Prosecution and Maintenance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Prosecute and Maintain</w:t>
      </w:r>
      <w:r>
        <w:rPr>
          <w:rFonts w:ascii="Times New Roman" w:cs="Times New Roman" w:eastAsia="Times New Roman" w:hAnsi="Times New Roman"/>
          <w:sz w:val="22"/>
          <w:szCs w:val="22"/>
          <w:color w:val="auto"/>
        </w:rPr>
        <w:t>” will not include any other enforcement actions taken with respect to a Patent.</w:t>
      </w:r>
    </w:p>
    <w:p>
      <w:pPr>
        <w:spacing w:after="0" w:line="14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1.139.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Receiving Party</w:t>
      </w:r>
      <w:r>
        <w:rPr>
          <w:rFonts w:ascii="Times New Roman" w:cs="Times New Roman" w:eastAsia="Times New Roman" w:hAnsi="Times New Roman"/>
          <w:sz w:val="21"/>
          <w:szCs w:val="21"/>
          <w:color w:val="auto"/>
        </w:rPr>
        <w:t>” has the meaning set forth in Section 10.1.</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1.140.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Recipient</w:t>
      </w:r>
      <w:r>
        <w:rPr>
          <w:rFonts w:ascii="Times New Roman" w:cs="Times New Roman" w:eastAsia="Times New Roman" w:hAnsi="Times New Roman"/>
          <w:sz w:val="21"/>
          <w:szCs w:val="21"/>
          <w:color w:val="auto"/>
        </w:rPr>
        <w:t>” has the meaning set forth in Section 10.8.</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1.141. “</w:t>
      </w:r>
      <w:r>
        <w:rPr>
          <w:rFonts w:ascii="Times New Roman" w:cs="Times New Roman" w:eastAsia="Times New Roman" w:hAnsi="Times New Roman"/>
          <w:sz w:val="22"/>
          <w:szCs w:val="22"/>
          <w:b w:val="1"/>
          <w:bCs w:val="1"/>
          <w:color w:val="auto"/>
        </w:rPr>
        <w:t>Regulatory Approval</w:t>
      </w:r>
      <w:r>
        <w:rPr>
          <w:rFonts w:ascii="Times New Roman" w:cs="Times New Roman" w:eastAsia="Times New Roman" w:hAnsi="Times New Roman"/>
          <w:sz w:val="22"/>
          <w:szCs w:val="22"/>
          <w:color w:val="auto"/>
        </w:rPr>
        <w:t>” means the technical, medical and scientific licenses, registrations, authorizations, clearances, accreditations and approvals (including approvals of Approval Applications, supplements and amendments, pre- and post- approvals, and labeling approvals) of any Regulatory Authority, necessary for the research, development, clinical testing, commercial manufacture, distribution, marketing, promotion, offer for sale, use, import, export or sale of a pharmaceutical product in a regulatory jurisdiction, including Marketing Approval but excluding Price Approval.</w:t>
      </w:r>
    </w:p>
    <w:p>
      <w:pPr>
        <w:spacing w:after="0" w:line="14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1.142. “</w:t>
      </w:r>
      <w:r>
        <w:rPr>
          <w:rFonts w:ascii="Times New Roman" w:cs="Times New Roman" w:eastAsia="Times New Roman" w:hAnsi="Times New Roman"/>
          <w:sz w:val="22"/>
          <w:szCs w:val="22"/>
          <w:b w:val="1"/>
          <w:bCs w:val="1"/>
          <w:color w:val="auto"/>
        </w:rPr>
        <w:t>Regulatory Authority</w:t>
      </w:r>
      <w:r>
        <w:rPr>
          <w:rFonts w:ascii="Times New Roman" w:cs="Times New Roman" w:eastAsia="Times New Roman" w:hAnsi="Times New Roman"/>
          <w:sz w:val="22"/>
          <w:szCs w:val="22"/>
          <w:color w:val="auto"/>
        </w:rPr>
        <w:t>” means, with respect to a country in the Territory, any national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FDA), supra-national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European Commission, the Council of the European Union, or the EMA), regional, state or local regulatory agency, department, bureau,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5" w:right="339" w:bottom="1440" w:gutter="0" w:footer="0" w:header="0"/>
        </w:sectPr>
      </w:pPr>
    </w:p>
    <w:bookmarkStart w:id="272" w:name="page273"/>
    <w:bookmarkEnd w:id="272"/>
    <w:p>
      <w:pPr>
        <w:jc w:val="both"/>
        <w:spacing w:after="0" w:line="236" w:lineRule="auto"/>
        <w:rPr>
          <w:sz w:val="20"/>
          <w:szCs w:val="20"/>
          <w:color w:val="auto"/>
        </w:rPr>
      </w:pPr>
      <w:r>
        <w:rPr>
          <w:rFonts w:ascii="Times New Roman" w:cs="Times New Roman" w:eastAsia="Times New Roman" w:hAnsi="Times New Roman"/>
          <w:sz w:val="22"/>
          <w:szCs w:val="22"/>
          <w:color w:val="auto"/>
        </w:rPr>
        <w:t>commission, council or other Governmental Authority involved in the granting of Regulatory Approvals or Price Approvals for pharmaceutical products in such country or countries.</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1"/>
          <w:szCs w:val="21"/>
          <w:color w:val="auto"/>
        </w:rPr>
        <w:t>1.143. “</w:t>
      </w:r>
      <w:r>
        <w:rPr>
          <w:rFonts w:ascii="Times New Roman" w:cs="Times New Roman" w:eastAsia="Times New Roman" w:hAnsi="Times New Roman"/>
          <w:sz w:val="21"/>
          <w:szCs w:val="21"/>
          <w:b w:val="1"/>
          <w:bCs w:val="1"/>
          <w:color w:val="auto"/>
        </w:rPr>
        <w:t>Regulatory Filings</w:t>
      </w:r>
      <w:r>
        <w:rPr>
          <w:rFonts w:ascii="Times New Roman" w:cs="Times New Roman" w:eastAsia="Times New Roman" w:hAnsi="Times New Roman"/>
          <w:sz w:val="21"/>
          <w:szCs w:val="21"/>
          <w:color w:val="auto"/>
        </w:rPr>
        <w:t>” means, collectively: (a) all (i) INDs or other filings needed to initiate clinical testing of any pharmaceutical product, (ii) Approval Applications, establishment license applications and drug master files, (iii) applications for designation as an “Orphan Product(s)” under the Orphan Drug Act, (iv) applications for “Fast Track” status, “Breakthrough Therapy” status or “Regenerative Medicine Advances Therapy Designation” under Section 506 of the FD&amp;C Act (21 U.S.C. §</w:t>
      </w:r>
    </w:p>
    <w:p>
      <w:pPr>
        <w:spacing w:after="0" w:line="3" w:lineRule="exact"/>
        <w:rPr>
          <w:sz w:val="20"/>
          <w:szCs w:val="20"/>
          <w:color w:val="auto"/>
        </w:rPr>
      </w:pPr>
    </w:p>
    <w:p>
      <w:pPr>
        <w:jc w:val="both"/>
        <w:ind w:firstLine="8"/>
        <w:spacing w:after="0" w:line="211" w:lineRule="auto"/>
        <w:tabs>
          <w:tab w:leader="none" w:pos="461"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(y) for a Special Protocol Assessment under Section 505(b)(4)(B) and (C) of the FD&amp;C Act (21 U.S.C. § 355(b)(4)(B)) and all other similar filings (including counterparts of any of the foregoing in any country or region in the Territory); (b) any applications for Regulatory Approval or Price Approval and other applications, filings, dossiers or similar documents submitted to a Regulatory Authority in any country for the purpose of obtaining Regulatory Approval or Price Approval from that Regulatory Authority; (c) any supplements and amendments to any of the foregoing; and (d) any correspondence with any Regulatory Authority relating to any of the foregoing.</w:t>
      </w:r>
    </w:p>
    <w:p>
      <w:pPr>
        <w:spacing w:after="0" w:line="150"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1.144.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Regulatory Materials</w:t>
      </w:r>
      <w:r>
        <w:rPr>
          <w:rFonts w:ascii="Times New Roman" w:cs="Times New Roman" w:eastAsia="Times New Roman" w:hAnsi="Times New Roman"/>
          <w:sz w:val="21"/>
          <w:szCs w:val="21"/>
          <w:color w:val="auto"/>
        </w:rPr>
        <w:t>” has the meaning set forth in Section 9.6.2(f).</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1.145.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Representatives</w:t>
      </w:r>
      <w:r>
        <w:rPr>
          <w:rFonts w:ascii="Times New Roman" w:cs="Times New Roman" w:eastAsia="Times New Roman" w:hAnsi="Times New Roman"/>
          <w:sz w:val="21"/>
          <w:szCs w:val="21"/>
          <w:color w:val="auto"/>
        </w:rPr>
        <w:t>” has the meaning set forth in Section 10.8.</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1.146. “</w:t>
      </w:r>
      <w:r>
        <w:rPr>
          <w:rFonts w:ascii="Times New Roman" w:cs="Times New Roman" w:eastAsia="Times New Roman" w:hAnsi="Times New Roman"/>
          <w:sz w:val="22"/>
          <w:szCs w:val="22"/>
          <w:b w:val="1"/>
          <w:bCs w:val="1"/>
          <w:color w:val="auto"/>
        </w:rPr>
        <w:t>Research</w:t>
      </w:r>
      <w:r>
        <w:rPr>
          <w:rFonts w:ascii="Times New Roman" w:cs="Times New Roman" w:eastAsia="Times New Roman" w:hAnsi="Times New Roman"/>
          <w:sz w:val="22"/>
          <w:szCs w:val="22"/>
          <w:color w:val="auto"/>
        </w:rPr>
        <w:t>” means conducting research activities to discover, design, optimize, deliver and advance Licensed Agents and Products, including pre-clinical studies and optimization up to the filing of an IND for such Licensed Agent or Product, but excluding Development, Manufacture and Commercialization. When used as a verb, “Researching” means to engage in Research. [***].</w:t>
      </w:r>
    </w:p>
    <w:p>
      <w:pPr>
        <w:spacing w:after="0" w:line="148"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1.147.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Research Activities</w:t>
      </w:r>
      <w:r>
        <w:rPr>
          <w:rFonts w:ascii="Times New Roman" w:cs="Times New Roman" w:eastAsia="Times New Roman" w:hAnsi="Times New Roman"/>
          <w:sz w:val="21"/>
          <w:szCs w:val="21"/>
          <w:color w:val="auto"/>
        </w:rPr>
        <w:t>” has the meaning set forth in Section 2.1.1.</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1.148.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Research Budget</w:t>
      </w:r>
      <w:r>
        <w:rPr>
          <w:rFonts w:ascii="Times New Roman" w:cs="Times New Roman" w:eastAsia="Times New Roman" w:hAnsi="Times New Roman"/>
          <w:sz w:val="21"/>
          <w:szCs w:val="21"/>
          <w:color w:val="auto"/>
        </w:rPr>
        <w:t>” has the meaning set forth in Section 2.1.1.</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1.149.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Research Plan</w:t>
      </w:r>
      <w:r>
        <w:rPr>
          <w:rFonts w:ascii="Times New Roman" w:cs="Times New Roman" w:eastAsia="Times New Roman" w:hAnsi="Times New Roman"/>
          <w:sz w:val="21"/>
          <w:szCs w:val="21"/>
          <w:color w:val="auto"/>
        </w:rPr>
        <w:t>” has the meaning set forth in Section 2.1.1.</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1.150.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Research Program</w:t>
      </w:r>
      <w:r>
        <w:rPr>
          <w:rFonts w:ascii="Times New Roman" w:cs="Times New Roman" w:eastAsia="Times New Roman" w:hAnsi="Times New Roman"/>
          <w:sz w:val="21"/>
          <w:szCs w:val="21"/>
          <w:color w:val="auto"/>
        </w:rPr>
        <w:t>” means the research program to [***].</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1.151.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Research Term</w:t>
      </w:r>
      <w:r>
        <w:rPr>
          <w:rFonts w:ascii="Times New Roman" w:cs="Times New Roman" w:eastAsia="Times New Roman" w:hAnsi="Times New Roman"/>
          <w:sz w:val="21"/>
          <w:szCs w:val="21"/>
          <w:color w:val="auto"/>
        </w:rPr>
        <w:t>” means the period beginning on the Effective Date and ending after four years.</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1.152. “</w:t>
      </w:r>
      <w:r>
        <w:rPr>
          <w:rFonts w:ascii="Times New Roman" w:cs="Times New Roman" w:eastAsia="Times New Roman" w:hAnsi="Times New Roman"/>
          <w:sz w:val="22"/>
          <w:szCs w:val="22"/>
          <w:b w:val="1"/>
          <w:bCs w:val="1"/>
          <w:color w:val="auto"/>
        </w:rPr>
        <w:t>Residual Knowledge</w:t>
      </w:r>
      <w:r>
        <w:rPr>
          <w:rFonts w:ascii="Times New Roman" w:cs="Times New Roman" w:eastAsia="Times New Roman" w:hAnsi="Times New Roman"/>
          <w:sz w:val="22"/>
          <w:szCs w:val="22"/>
          <w:color w:val="auto"/>
        </w:rPr>
        <w:t>” means knowledge, techniques, experience and Know-How that are (a) reflected in any Confidential Information owned or Controlled by the Disclosing Party and (b) retained in the unaided memory of any authorized representative of the Receiving Party after having access to such Confidential Information. A Person’s memory will be considered to be unaided if the Person has not intentionally memorized the Confidential Information for the purpose of retaining and subsequently using or disclosing it.</w:t>
      </w:r>
    </w:p>
    <w:p>
      <w:pPr>
        <w:spacing w:after="0" w:line="147"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1.153.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Rights</w:t>
      </w:r>
      <w:r>
        <w:rPr>
          <w:rFonts w:ascii="Times New Roman" w:cs="Times New Roman" w:eastAsia="Times New Roman" w:hAnsi="Times New Roman"/>
          <w:sz w:val="21"/>
          <w:szCs w:val="21"/>
          <w:color w:val="auto"/>
        </w:rPr>
        <w:t>” has the meaning set forth in Section 11.1.</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1.154.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Royalty Information</w:t>
      </w:r>
      <w:r>
        <w:rPr>
          <w:rFonts w:ascii="Times New Roman" w:cs="Times New Roman" w:eastAsia="Times New Roman" w:hAnsi="Times New Roman"/>
          <w:sz w:val="21"/>
          <w:szCs w:val="21"/>
          <w:color w:val="auto"/>
        </w:rPr>
        <w:t>” has the meaning set forth in Section 10.8.</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1.155. “</w:t>
      </w:r>
      <w:r>
        <w:rPr>
          <w:rFonts w:ascii="Times New Roman" w:cs="Times New Roman" w:eastAsia="Times New Roman" w:hAnsi="Times New Roman"/>
          <w:sz w:val="22"/>
          <w:szCs w:val="22"/>
          <w:b w:val="1"/>
          <w:bCs w:val="1"/>
          <w:color w:val="auto"/>
        </w:rPr>
        <w:t>Royalty Term</w:t>
      </w:r>
      <w:r>
        <w:rPr>
          <w:rFonts w:ascii="Times New Roman" w:cs="Times New Roman" w:eastAsia="Times New Roman" w:hAnsi="Times New Roman"/>
          <w:sz w:val="22"/>
          <w:szCs w:val="22"/>
          <w:color w:val="auto"/>
        </w:rPr>
        <w:t>” means, with respect to a Product in a country, the period commencing on the first sale of such Product giving rise to Net Sales in such country and ending upon the latest of: (a) the expiration of the last Valid Claim of a Licensed Patent that Covers such Product in such country; (b) [***] after the First Commercial Sale of such Product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5" w:right="339" w:bottom="1440" w:gutter="0" w:footer="0" w:header="0"/>
        </w:sectPr>
      </w:pPr>
    </w:p>
    <w:bookmarkStart w:id="273" w:name="page274"/>
    <w:bookmarkEnd w:id="273"/>
    <w:p>
      <w:pPr>
        <w:jc w:val="both"/>
        <w:spacing w:after="0" w:line="236" w:lineRule="auto"/>
        <w:rPr>
          <w:sz w:val="20"/>
          <w:szCs w:val="20"/>
          <w:color w:val="auto"/>
        </w:rPr>
      </w:pPr>
      <w:r>
        <w:rPr>
          <w:rFonts w:ascii="Times New Roman" w:cs="Times New Roman" w:eastAsia="Times New Roman" w:hAnsi="Times New Roman"/>
          <w:sz w:val="22"/>
          <w:szCs w:val="22"/>
          <w:color w:val="auto"/>
        </w:rPr>
        <w:t>country; and (c) expiration of all applicable regulatory exclusivity periods, including data exclusivity, in such country with respect to such Product.</w:t>
      </w:r>
    </w:p>
    <w:p>
      <w:pPr>
        <w:spacing w:after="0" w:line="14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1.156.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Rules</w:t>
      </w:r>
      <w:r>
        <w:rPr>
          <w:rFonts w:ascii="Times New Roman" w:cs="Times New Roman" w:eastAsia="Times New Roman" w:hAnsi="Times New Roman"/>
          <w:sz w:val="21"/>
          <w:szCs w:val="21"/>
          <w:color w:val="auto"/>
        </w:rPr>
        <w:t>” has the meaning set forth in Section 11.12.3(a).</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1.157.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Safety Data Exchange Agreement</w:t>
      </w:r>
      <w:r>
        <w:rPr>
          <w:rFonts w:ascii="Times New Roman" w:cs="Times New Roman" w:eastAsia="Times New Roman" w:hAnsi="Times New Roman"/>
          <w:sz w:val="21"/>
          <w:szCs w:val="21"/>
          <w:color w:val="auto"/>
        </w:rPr>
        <w:t>” has the meaning set forth in Section 2.8.2.</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1.158. “</w:t>
      </w:r>
      <w:r>
        <w:rPr>
          <w:rFonts w:ascii="Times New Roman" w:cs="Times New Roman" w:eastAsia="Times New Roman" w:hAnsi="Times New Roman"/>
          <w:sz w:val="22"/>
          <w:szCs w:val="22"/>
          <w:b w:val="1"/>
          <w:bCs w:val="1"/>
          <w:color w:val="auto"/>
        </w:rPr>
        <w:t>Schedule Revision Date</w:t>
      </w:r>
      <w:r>
        <w:rPr>
          <w:rFonts w:ascii="Times New Roman" w:cs="Times New Roman" w:eastAsia="Times New Roman" w:hAnsi="Times New Roman"/>
          <w:sz w:val="22"/>
          <w:szCs w:val="22"/>
          <w:color w:val="auto"/>
        </w:rPr>
        <w:t>” means the earlier of (a) the [***] following the Antitrust Clearance Date and (b) the day on or after the Antitrust Clearance Date on which Company provides to Vertex either [***].</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1.159. “</w:t>
      </w:r>
      <w:r>
        <w:rPr>
          <w:rFonts w:ascii="Times New Roman" w:cs="Times New Roman" w:eastAsia="Times New Roman" w:hAnsi="Times New Roman"/>
          <w:sz w:val="22"/>
          <w:szCs w:val="22"/>
          <w:b w:val="1"/>
          <w:bCs w:val="1"/>
          <w:color w:val="auto"/>
        </w:rPr>
        <w:t>Selected Third Party Intellectual Property</w:t>
      </w:r>
      <w:r>
        <w:rPr>
          <w:rFonts w:ascii="Times New Roman" w:cs="Times New Roman" w:eastAsia="Times New Roman" w:hAnsi="Times New Roman"/>
          <w:sz w:val="22"/>
          <w:szCs w:val="22"/>
          <w:color w:val="auto"/>
        </w:rPr>
        <w:t>” means, with respect to a Licensed Agent or Product, Patents or Know-How owned or controlled by a Third Party (but not then included in Licensed Technology) that [***].</w:t>
      </w:r>
    </w:p>
    <w:p>
      <w:pPr>
        <w:spacing w:after="0" w:line="146"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1"/>
          <w:szCs w:val="21"/>
          <w:color w:val="auto"/>
        </w:rPr>
        <w:t>1.160. “</w:t>
      </w:r>
      <w:r>
        <w:rPr>
          <w:rFonts w:ascii="Times New Roman" w:cs="Times New Roman" w:eastAsia="Times New Roman" w:hAnsi="Times New Roman"/>
          <w:sz w:val="21"/>
          <w:szCs w:val="21"/>
          <w:b w:val="1"/>
          <w:bCs w:val="1"/>
          <w:color w:val="auto"/>
        </w:rPr>
        <w:t>Selected Third Party Intellectual Property Costs</w:t>
      </w:r>
      <w:r>
        <w:rPr>
          <w:rFonts w:ascii="Times New Roman" w:cs="Times New Roman" w:eastAsia="Times New Roman" w:hAnsi="Times New Roman"/>
          <w:sz w:val="21"/>
          <w:szCs w:val="21"/>
          <w:color w:val="auto"/>
        </w:rPr>
        <w:t xml:space="preserve">” means Out-of-Pocket Costs, including upfront payments, purchase price, milestones, royalties, license fees, option fees, option exercise fees and other payments paid or payable by Vertex or its Affiliates or Sublicensees to a Third Party that owns or controls Selected Third Party Intellectual Property (or that, prior to the applicable transaction with Vertex or its Affiliates or Sublicensees, owned or controlled Selected Third Party Intellectual Property) to license or acquire such Selected Third Party Intellectual Property;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applicable Selected Third Party Intellectual Property relates to both a Licensed Agent or Product and one or more other programs of Vertex or its Affiliates or Sublicensees, then any such Out-of-Pocket Costs that are not specific to the Research, Development, Manufacturing or Commercialization of a Licensed Agent or Product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upfront payments, purchase price, etc.) will be [***].</w:t>
      </w:r>
    </w:p>
    <w:p>
      <w:pPr>
        <w:spacing w:after="0" w:line="14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1.161.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Selling Party</w:t>
      </w:r>
      <w:r>
        <w:rPr>
          <w:rFonts w:ascii="Times New Roman" w:cs="Times New Roman" w:eastAsia="Times New Roman" w:hAnsi="Times New Roman"/>
          <w:sz w:val="21"/>
          <w:szCs w:val="21"/>
          <w:color w:val="auto"/>
        </w:rPr>
        <w:t>” has the meaning set forth in Section 1.117.</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1.162. “</w:t>
      </w:r>
      <w:r>
        <w:rPr>
          <w:rFonts w:ascii="Times New Roman" w:cs="Times New Roman" w:eastAsia="Times New Roman" w:hAnsi="Times New Roman"/>
          <w:sz w:val="22"/>
          <w:szCs w:val="22"/>
          <w:b w:val="1"/>
          <w:bCs w:val="1"/>
          <w:color w:val="auto"/>
        </w:rPr>
        <w:t>Stock Purchase Agreement</w:t>
      </w:r>
      <w:r>
        <w:rPr>
          <w:rFonts w:ascii="Times New Roman" w:cs="Times New Roman" w:eastAsia="Times New Roman" w:hAnsi="Times New Roman"/>
          <w:sz w:val="22"/>
          <w:szCs w:val="22"/>
          <w:color w:val="auto"/>
        </w:rPr>
        <w:t>” means that certain Stock Purchase Agreement by and between Company and Vertex, dated as of the Execution Date.</w:t>
      </w:r>
    </w:p>
    <w:p>
      <w:pPr>
        <w:spacing w:after="0" w:line="14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1.163.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Subcontractor</w:t>
      </w:r>
      <w:r>
        <w:rPr>
          <w:rFonts w:ascii="Times New Roman" w:cs="Times New Roman" w:eastAsia="Times New Roman" w:hAnsi="Times New Roman"/>
          <w:sz w:val="21"/>
          <w:szCs w:val="21"/>
          <w:color w:val="auto"/>
        </w:rPr>
        <w:t>” has the meaning set forth in Section 2.1.6.</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1.164. “</w:t>
      </w:r>
      <w:r>
        <w:rPr>
          <w:rFonts w:ascii="Times New Roman" w:cs="Times New Roman" w:eastAsia="Times New Roman" w:hAnsi="Times New Roman"/>
          <w:sz w:val="22"/>
          <w:szCs w:val="22"/>
          <w:b w:val="1"/>
          <w:bCs w:val="1"/>
          <w:color w:val="auto"/>
        </w:rPr>
        <w:t>Sublicense</w:t>
      </w:r>
      <w:r>
        <w:rPr>
          <w:rFonts w:ascii="Times New Roman" w:cs="Times New Roman" w:eastAsia="Times New Roman" w:hAnsi="Times New Roman"/>
          <w:sz w:val="22"/>
          <w:szCs w:val="22"/>
          <w:color w:val="auto"/>
        </w:rPr>
        <w:t>” means, when used as a verb, directly or indirectly, to sublicense, grant any other right with respect to, or agree not to assert, the rights granted to Vertex hereunder. When used as a noun, “Sublicense” means any agreement to Sublicense.</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1.165. “</w:t>
      </w:r>
      <w:r>
        <w:rPr>
          <w:rFonts w:ascii="Times New Roman" w:cs="Times New Roman" w:eastAsia="Times New Roman" w:hAnsi="Times New Roman"/>
          <w:sz w:val="22"/>
          <w:szCs w:val="22"/>
          <w:b w:val="1"/>
          <w:bCs w:val="1"/>
          <w:color w:val="auto"/>
        </w:rPr>
        <w:t>Sublicense Agreement</w:t>
      </w:r>
      <w:r>
        <w:rPr>
          <w:rFonts w:ascii="Times New Roman" w:cs="Times New Roman" w:eastAsia="Times New Roman" w:hAnsi="Times New Roman"/>
          <w:sz w:val="22"/>
          <w:szCs w:val="22"/>
          <w:color w:val="auto"/>
        </w:rPr>
        <w:t>” means that certain Sublicense Agreement by and between Company and Vertex, dated as of the Execution Date.</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1.166. “</w:t>
      </w:r>
      <w:r>
        <w:rPr>
          <w:rFonts w:ascii="Times New Roman" w:cs="Times New Roman" w:eastAsia="Times New Roman" w:hAnsi="Times New Roman"/>
          <w:sz w:val="22"/>
          <w:szCs w:val="22"/>
          <w:b w:val="1"/>
          <w:bCs w:val="1"/>
          <w:color w:val="auto"/>
        </w:rPr>
        <w:t>Sublicensee</w:t>
      </w:r>
      <w:r>
        <w:rPr>
          <w:rFonts w:ascii="Times New Roman" w:cs="Times New Roman" w:eastAsia="Times New Roman" w:hAnsi="Times New Roman"/>
          <w:sz w:val="22"/>
          <w:szCs w:val="22"/>
          <w:color w:val="auto"/>
        </w:rPr>
        <w:t>” means a Third Party, other than a Distributor or service provider, to whom Vertex (or a Sublicensee or Affiliate) sublicenses any of the rights granted to Vertex hereunder during the Term.</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1.167. “</w:t>
      </w:r>
      <w:r>
        <w:rPr>
          <w:rFonts w:ascii="Times New Roman" w:cs="Times New Roman" w:eastAsia="Times New Roman" w:hAnsi="Times New Roman"/>
          <w:sz w:val="22"/>
          <w:szCs w:val="22"/>
          <w:b w:val="1"/>
          <w:bCs w:val="1"/>
          <w:color w:val="auto"/>
        </w:rPr>
        <w:t>Successful Completion of Ongoing Study</w:t>
      </w:r>
      <w:r>
        <w:rPr>
          <w:rFonts w:ascii="Times New Roman" w:cs="Times New Roman" w:eastAsia="Times New Roman" w:hAnsi="Times New Roman"/>
          <w:sz w:val="22"/>
          <w:szCs w:val="22"/>
          <w:color w:val="auto"/>
        </w:rPr>
        <w:t>” means Company’s completion of its Ongoing Study with final reports [***].</w:t>
      </w:r>
    </w:p>
    <w:p>
      <w:pPr>
        <w:spacing w:after="0" w:line="14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1.168.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Supply Agreement</w:t>
      </w:r>
      <w:r>
        <w:rPr>
          <w:rFonts w:ascii="Times New Roman" w:cs="Times New Roman" w:eastAsia="Times New Roman" w:hAnsi="Times New Roman"/>
          <w:sz w:val="21"/>
          <w:szCs w:val="21"/>
          <w:color w:val="auto"/>
        </w:rPr>
        <w:t>” has the meaning set forth in Section 2.4.2.</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1.169.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 has the meaning set forth in Section 9.1.</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1.170.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Territory</w:t>
      </w:r>
      <w:r>
        <w:rPr>
          <w:rFonts w:ascii="Times New Roman" w:cs="Times New Roman" w:eastAsia="Times New Roman" w:hAnsi="Times New Roman"/>
          <w:sz w:val="21"/>
          <w:szCs w:val="21"/>
          <w:color w:val="auto"/>
        </w:rPr>
        <w:t>” means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395" w:right="339" w:bottom="1440" w:gutter="0" w:footer="0" w:header="0"/>
        </w:sectPr>
      </w:pPr>
    </w:p>
    <w:bookmarkStart w:id="274" w:name="page275"/>
    <w:bookmarkEnd w:id="274"/>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1.171.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 Party</w:t>
      </w:r>
      <w:r>
        <w:rPr>
          <w:rFonts w:ascii="Times New Roman" w:cs="Times New Roman" w:eastAsia="Times New Roman" w:hAnsi="Times New Roman"/>
          <w:sz w:val="21"/>
          <w:szCs w:val="21"/>
          <w:color w:val="auto"/>
        </w:rPr>
        <w:t>” means any Person other than Vertex, Company or their respective Affiliates.</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1.172.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 Party Infringement Claim</w:t>
      </w:r>
      <w:r>
        <w:rPr>
          <w:rFonts w:ascii="Times New Roman" w:cs="Times New Roman" w:eastAsia="Times New Roman" w:hAnsi="Times New Roman"/>
          <w:sz w:val="21"/>
          <w:szCs w:val="21"/>
          <w:color w:val="auto"/>
        </w:rPr>
        <w:t>” has the meaning set forth in Section 6.2.7.</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1.173.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 Party Publication</w:t>
      </w:r>
      <w:r>
        <w:rPr>
          <w:rFonts w:ascii="Times New Roman" w:cs="Times New Roman" w:eastAsia="Times New Roman" w:hAnsi="Times New Roman"/>
          <w:sz w:val="21"/>
          <w:szCs w:val="21"/>
          <w:color w:val="auto"/>
        </w:rPr>
        <w:t>” has the meaning set forth in Section 10.6.2.</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1.174.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Transferee Party</w:t>
      </w:r>
      <w:r>
        <w:rPr>
          <w:rFonts w:ascii="Times New Roman" w:cs="Times New Roman" w:eastAsia="Times New Roman" w:hAnsi="Times New Roman"/>
          <w:sz w:val="21"/>
          <w:szCs w:val="21"/>
          <w:color w:val="auto"/>
        </w:rPr>
        <w:t>” has the meaning set forth in Section 2.1.9.</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1.175.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Transferor Party</w:t>
      </w:r>
      <w:r>
        <w:rPr>
          <w:rFonts w:ascii="Times New Roman" w:cs="Times New Roman" w:eastAsia="Times New Roman" w:hAnsi="Times New Roman"/>
          <w:sz w:val="21"/>
          <w:szCs w:val="21"/>
          <w:color w:val="auto"/>
        </w:rPr>
        <w:t>” has the meaning set forth in Section 2.1.9.</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1.176. “</w:t>
      </w:r>
      <w:r>
        <w:rPr>
          <w:rFonts w:ascii="Times New Roman" w:cs="Times New Roman" w:eastAsia="Times New Roman" w:hAnsi="Times New Roman"/>
          <w:sz w:val="22"/>
          <w:szCs w:val="22"/>
          <w:b w:val="1"/>
          <w:bCs w:val="1"/>
          <w:color w:val="auto"/>
        </w:rPr>
        <w:t>Transparency Laws</w:t>
      </w:r>
      <w:r>
        <w:rPr>
          <w:rFonts w:ascii="Times New Roman" w:cs="Times New Roman" w:eastAsia="Times New Roman" w:hAnsi="Times New Roman"/>
          <w:sz w:val="22"/>
          <w:szCs w:val="22"/>
          <w:color w:val="auto"/>
        </w:rPr>
        <w:t>” means any Applicable Law that requires certain companies in the pharmaceutical or healthcare industry to disclose and report information regarding payments made and agreements entered into with healthcare professionals or other individuals and entities carrying out activities in certain countries.</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1.177. “</w:t>
      </w:r>
      <w:r>
        <w:rPr>
          <w:rFonts w:ascii="Times New Roman" w:cs="Times New Roman" w:eastAsia="Times New Roman" w:hAnsi="Times New Roman"/>
          <w:sz w:val="22"/>
          <w:szCs w:val="22"/>
          <w:b w:val="1"/>
          <w:bCs w:val="1"/>
          <w:color w:val="auto"/>
        </w:rPr>
        <w:t>U.S. Bankruptcy Code</w:t>
      </w:r>
      <w:r>
        <w:rPr>
          <w:rFonts w:ascii="Times New Roman" w:cs="Times New Roman" w:eastAsia="Times New Roman" w:hAnsi="Times New Roman"/>
          <w:sz w:val="22"/>
          <w:szCs w:val="22"/>
          <w:color w:val="auto"/>
        </w:rPr>
        <w:t>” means 11 U.S.C. §§ 101-1532, as amended, and the rules and regulations promulgated thereunder.</w:t>
      </w:r>
    </w:p>
    <w:p>
      <w:pPr>
        <w:spacing w:after="0" w:line="14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1.178.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United States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U.S</w:t>
      </w:r>
      <w:r>
        <w:rPr>
          <w:rFonts w:ascii="Times New Roman" w:cs="Times New Roman" w:eastAsia="Times New Roman" w:hAnsi="Times New Roman"/>
          <w:sz w:val="21"/>
          <w:szCs w:val="21"/>
          <w:color w:val="auto"/>
        </w:rPr>
        <w:t>” means the United States of America and all of its districts, territories and possessions.</w:t>
      </w:r>
    </w:p>
    <w:p>
      <w:pPr>
        <w:spacing w:after="0" w:line="17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1.179. “</w:t>
      </w:r>
      <w:r>
        <w:rPr>
          <w:rFonts w:ascii="Times New Roman" w:cs="Times New Roman" w:eastAsia="Times New Roman" w:hAnsi="Times New Roman"/>
          <w:sz w:val="22"/>
          <w:szCs w:val="22"/>
          <w:b w:val="1"/>
          <w:bCs w:val="1"/>
          <w:color w:val="auto"/>
        </w:rPr>
        <w:t>Valid Claim</w:t>
      </w:r>
      <w:r>
        <w:rPr>
          <w:rFonts w:ascii="Times New Roman" w:cs="Times New Roman" w:eastAsia="Times New Roman" w:hAnsi="Times New Roman"/>
          <w:sz w:val="22"/>
          <w:szCs w:val="22"/>
          <w:color w:val="auto"/>
        </w:rPr>
        <w:t>” means a claim (a) of any issued, unexpired United States or foreign Patent, which has not, in the country of issuance, been donated to the public, disclaimed, or held invalid or unenforceable by a court of competent jurisdiction in an unappealed or unappealable decision, or (b) of any United States or foreign patent application, which has not, in the country in question, been cancelled, withdrawn, or abandoned. Notwithstanding the foregoing, on a country-by-country basis, a patent application pending for more than [***] from the [***] with respect thereto will not be considered to have any Valid Claim for purposes of this Agreement unless and until a patent that meets the criteria set forth in clause (a) above with respect to such application issues.</w:t>
      </w:r>
    </w:p>
    <w:p>
      <w:pPr>
        <w:spacing w:after="0" w:line="14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1.180.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Vertex</w:t>
      </w:r>
      <w:r>
        <w:rPr>
          <w:rFonts w:ascii="Times New Roman" w:cs="Times New Roman" w:eastAsia="Times New Roman" w:hAnsi="Times New Roman"/>
          <w:sz w:val="21"/>
          <w:szCs w:val="21"/>
          <w:color w:val="auto"/>
        </w:rPr>
        <w:t>” has the meaning set forth in the Preamble.</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1.181.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Vertex Agreement Know-How</w:t>
      </w:r>
      <w:r>
        <w:rPr>
          <w:rFonts w:ascii="Times New Roman" w:cs="Times New Roman" w:eastAsia="Times New Roman" w:hAnsi="Times New Roman"/>
          <w:sz w:val="21"/>
          <w:szCs w:val="21"/>
          <w:color w:val="auto"/>
        </w:rPr>
        <w:t>” has the meaning set forth in Section 6.1.2.</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1.182.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Vertex Agreement Patents</w:t>
      </w:r>
      <w:r>
        <w:rPr>
          <w:rFonts w:ascii="Times New Roman" w:cs="Times New Roman" w:eastAsia="Times New Roman" w:hAnsi="Times New Roman"/>
          <w:sz w:val="21"/>
          <w:szCs w:val="21"/>
          <w:color w:val="auto"/>
        </w:rPr>
        <w:t>” has the meaning set forth in Section 6.1.2.</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1.183.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Vertex Agreement Technology</w:t>
      </w:r>
      <w:r>
        <w:rPr>
          <w:rFonts w:ascii="Times New Roman" w:cs="Times New Roman" w:eastAsia="Times New Roman" w:hAnsi="Times New Roman"/>
          <w:sz w:val="21"/>
          <w:szCs w:val="21"/>
          <w:color w:val="auto"/>
        </w:rPr>
        <w:t>” has the meaning set forth in Section 6.1.2.</w:t>
      </w:r>
    </w:p>
    <w:p>
      <w:pPr>
        <w:spacing w:after="0" w:line="183"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1.184.</w:t>
      </w:r>
      <w:r>
        <w:rPr>
          <w:sz w:val="20"/>
          <w:szCs w:val="20"/>
          <w:color w:val="auto"/>
        </w:rPr>
        <w:tab/>
      </w:r>
      <w:r>
        <w:rPr>
          <w:rFonts w:ascii="Times New Roman" w:cs="Times New Roman" w:eastAsia="Times New Roman" w:hAnsi="Times New Roman"/>
          <w:sz w:val="21"/>
          <w:szCs w:val="21"/>
          <w:color w:val="auto"/>
        </w:rPr>
        <w:t>“Vertex Core Technology” means [***].</w:t>
      </w:r>
    </w:p>
    <w:p>
      <w:pPr>
        <w:spacing w:after="0" w:line="175"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1.185. “</w:t>
      </w:r>
      <w:r>
        <w:rPr>
          <w:rFonts w:ascii="Times New Roman" w:cs="Times New Roman" w:eastAsia="Times New Roman" w:hAnsi="Times New Roman"/>
          <w:sz w:val="22"/>
          <w:szCs w:val="22"/>
          <w:b w:val="1"/>
          <w:bCs w:val="1"/>
          <w:color w:val="auto"/>
        </w:rPr>
        <w:t>Vertex Core Technology Improvement</w:t>
      </w:r>
      <w:r>
        <w:rPr>
          <w:rFonts w:ascii="Times New Roman" w:cs="Times New Roman" w:eastAsia="Times New Roman" w:hAnsi="Times New Roman"/>
          <w:sz w:val="22"/>
          <w:szCs w:val="22"/>
          <w:color w:val="auto"/>
        </w:rPr>
        <w:t>” any Know-How that is generated by or on behalf of a Party or its Affiliates or Third Parties acting on its or their behalf, whether alone or jointly with the other Party or its Affiliates or Third Parties acting on its or their behalf, in each case, in the performance of activities under this Agreement, whether or not patented or patentable, to the extent that such Know-How is [***].</w:t>
      </w:r>
    </w:p>
    <w:p>
      <w:pPr>
        <w:spacing w:after="0" w:line="148"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1.186.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Vertex Indemnified Party</w:t>
      </w:r>
      <w:r>
        <w:rPr>
          <w:rFonts w:ascii="Times New Roman" w:cs="Times New Roman" w:eastAsia="Times New Roman" w:hAnsi="Times New Roman"/>
          <w:sz w:val="21"/>
          <w:szCs w:val="21"/>
          <w:color w:val="auto"/>
        </w:rPr>
        <w:t>” has the meaning set forth in Section 8.1.2.</w:t>
      </w:r>
    </w:p>
    <w:p>
      <w:pPr>
        <w:spacing w:after="0" w:line="17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ARTICLE 2.</w:t>
      </w:r>
    </w:p>
    <w:p>
      <w:pPr>
        <w:ind w:left="660" w:right="1560" w:firstLine="906"/>
        <w:spacing w:after="0" w:line="415" w:lineRule="auto"/>
        <w:rPr>
          <w:sz w:val="20"/>
          <w:szCs w:val="20"/>
          <w:color w:val="auto"/>
        </w:rPr>
      </w:pPr>
      <w:r>
        <w:rPr>
          <w:rFonts w:ascii="Times New Roman" w:cs="Times New Roman" w:eastAsia="Times New Roman" w:hAnsi="Times New Roman"/>
          <w:sz w:val="22"/>
          <w:szCs w:val="22"/>
          <w:b w:val="1"/>
          <w:bCs w:val="1"/>
          <w:color w:val="auto"/>
        </w:rPr>
        <w:t xml:space="preserve">RESEARCH, DEVELOPMENT, MANUFACTURING AND COMMERCIALIZATION </w:t>
      </w: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b w:val="1"/>
          <w:bCs w:val="1"/>
          <w:u w:val="single" w:color="auto"/>
          <w:color w:val="auto"/>
        </w:rPr>
        <w:t>Research</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391" w:right="339" w:bottom="1440" w:gutter="0" w:footer="0" w:header="0"/>
        </w:sectPr>
      </w:pPr>
    </w:p>
    <w:bookmarkStart w:id="275" w:name="page276"/>
    <w:bookmarkEnd w:id="275"/>
    <w:p>
      <w:pPr>
        <w:jc w:val="both"/>
        <w:ind w:firstLine="1296"/>
        <w:spacing w:after="0" w:line="213" w:lineRule="auto"/>
        <w:rPr>
          <w:sz w:val="20"/>
          <w:szCs w:val="20"/>
          <w:color w:val="auto"/>
        </w:rPr>
      </w:pPr>
      <w:r>
        <w:rPr>
          <w:rFonts w:ascii="Times New Roman" w:cs="Times New Roman" w:eastAsia="Times New Roman" w:hAnsi="Times New Roman"/>
          <w:sz w:val="22"/>
          <w:szCs w:val="22"/>
          <w:b w:val="1"/>
          <w:bCs w:val="1"/>
          <w:color w:val="auto"/>
        </w:rPr>
        <w:t>2.1.1. Research Plan &amp; Budget</w:t>
      </w:r>
      <w:r>
        <w:rPr>
          <w:rFonts w:ascii="Times New Roman" w:cs="Times New Roman" w:eastAsia="Times New Roman" w:hAnsi="Times New Roman"/>
          <w:sz w:val="22"/>
          <w:szCs w:val="22"/>
          <w:color w:val="auto"/>
        </w:rPr>
        <w:t>. During the Research Term, the Parties will collaborate in the Research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Program pursuant to a research plan (such plan, as may be amended pursuant to Section 2.1.2, the “</w:t>
      </w:r>
      <w:r>
        <w:rPr>
          <w:rFonts w:ascii="Times New Roman" w:cs="Times New Roman" w:eastAsia="Times New Roman" w:hAnsi="Times New Roman"/>
          <w:sz w:val="22"/>
          <w:szCs w:val="22"/>
          <w:b w:val="1"/>
          <w:bCs w:val="1"/>
          <w:color w:val="auto"/>
        </w:rPr>
        <w:t>Research Plan</w:t>
      </w:r>
      <w:r>
        <w:rPr>
          <w:rFonts w:ascii="Times New Roman" w:cs="Times New Roman" w:eastAsia="Times New Roman" w:hAnsi="Times New Roman"/>
          <w:sz w:val="22"/>
          <w:szCs w:val="22"/>
          <w:color w:val="auto"/>
        </w:rPr>
        <w:t>”). All of the activities with respect to the Research of Licensed Agents and Product to be conducted by the Parties under this Agreement during the Research Term will be set forth in the Research Plan (such activities, the “</w:t>
      </w:r>
      <w:r>
        <w:rPr>
          <w:rFonts w:ascii="Times New Roman" w:cs="Times New Roman" w:eastAsia="Times New Roman" w:hAnsi="Times New Roman"/>
          <w:sz w:val="22"/>
          <w:szCs w:val="22"/>
          <w:b w:val="1"/>
          <w:bCs w:val="1"/>
          <w:color w:val="auto"/>
        </w:rPr>
        <w:t>Research Activities</w:t>
      </w:r>
      <w:r>
        <w:rPr>
          <w:rFonts w:ascii="Times New Roman" w:cs="Times New Roman" w:eastAsia="Times New Roman" w:hAnsi="Times New Roman"/>
          <w:sz w:val="22"/>
          <w:szCs w:val="22"/>
          <w:color w:val="auto"/>
        </w:rPr>
        <w:t>”). The Research Plan will include a budget for any Research Activities to be conducted by Company (such budget, the “</w:t>
      </w:r>
      <w:r>
        <w:rPr>
          <w:rFonts w:ascii="Times New Roman" w:cs="Times New Roman" w:eastAsia="Times New Roman" w:hAnsi="Times New Roman"/>
          <w:sz w:val="22"/>
          <w:szCs w:val="22"/>
          <w:b w:val="1"/>
          <w:bCs w:val="1"/>
          <w:color w:val="auto"/>
        </w:rPr>
        <w:t>Research Budget</w:t>
      </w:r>
      <w:r>
        <w:rPr>
          <w:rFonts w:ascii="Times New Roman" w:cs="Times New Roman" w:eastAsia="Times New Roman" w:hAnsi="Times New Roman"/>
          <w:sz w:val="22"/>
          <w:szCs w:val="22"/>
          <w:color w:val="auto"/>
        </w:rPr>
        <w:t xml:space="preserve">”). The Research Plan and Research Budget may be amended as set forth in this Agreement. The initial Research Plan and initial Research Budget are set forth in </w:t>
      </w:r>
      <w:r>
        <w:rPr>
          <w:rFonts w:ascii="Times New Roman" w:cs="Times New Roman" w:eastAsia="Times New Roman" w:hAnsi="Times New Roman"/>
          <w:sz w:val="22"/>
          <w:szCs w:val="22"/>
          <w:u w:val="single" w:color="auto"/>
          <w:color w:val="auto"/>
        </w:rPr>
        <w:t>Schedule 2.1.1</w:t>
      </w:r>
      <w:r>
        <w:rPr>
          <w:rFonts w:ascii="Times New Roman" w:cs="Times New Roman" w:eastAsia="Times New Roman" w:hAnsi="Times New Roman"/>
          <w:sz w:val="22"/>
          <w:szCs w:val="22"/>
          <w:color w:val="auto"/>
        </w:rPr>
        <w:t xml:space="preserve"> and Section 1, Section 2, and Section 4 thereof includes all Research Activities related to on-going pre-clinical studies with respect to ENTR-701.</w:t>
      </w:r>
    </w:p>
    <w:p>
      <w:pPr>
        <w:spacing w:after="0" w:line="148"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b w:val="1"/>
          <w:bCs w:val="1"/>
          <w:color w:val="auto"/>
        </w:rPr>
        <w:t>2.1.2. Amendments to Research Plan and Budget</w:t>
      </w:r>
      <w:r>
        <w:rPr>
          <w:rFonts w:ascii="Times New Roman" w:cs="Times New Roman" w:eastAsia="Times New Roman" w:hAnsi="Times New Roman"/>
          <w:sz w:val="22"/>
          <w:szCs w:val="22"/>
          <w:color w:val="auto"/>
        </w:rPr>
        <w:t>. During the Research Term, in addition to the Research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Activities described in the last sentence of Section 2.1.1, the Parties will conduct Research related to [***] as described in Section 3 of the initial Research Plan set forth in </w:t>
      </w:r>
      <w:r>
        <w:rPr>
          <w:rFonts w:ascii="Times New Roman" w:cs="Times New Roman" w:eastAsia="Times New Roman" w:hAnsi="Times New Roman"/>
          <w:sz w:val="22"/>
          <w:szCs w:val="22"/>
          <w:u w:val="single" w:color="auto"/>
          <w:color w:val="auto"/>
        </w:rPr>
        <w:t>Schedule 2.1.1</w:t>
      </w:r>
      <w:r>
        <w:rPr>
          <w:rFonts w:ascii="Times New Roman" w:cs="Times New Roman" w:eastAsia="Times New Roman" w:hAnsi="Times New Roman"/>
          <w:sz w:val="22"/>
          <w:szCs w:val="22"/>
          <w:color w:val="auto"/>
        </w:rPr>
        <w:t>. Within [***] after the Effective Date, the JRC will amend (i) the initial Research Plan to include a detailed plan for the Research Activities set forth in this Section 2.1.2, and (ii) the initial Research Budget to include Company’s FTE Costs, Out-of-Pocket Costs, and Manufacturing Costs for such Research Activities. In addition, during the Research Term, the Research Plan and Research Budget will be reviewed at least [***] by the JRC and the JRC will amend the Research Plan and Research Budget during such review as is appropriate to reflect any material developments and adjustments to the planned Research Activities. In addition, the JRC may amend the Research Plan and Research Budget at any other time during the Research Term to adjust the Research of Licensed Agents and Products.</w:t>
      </w:r>
    </w:p>
    <w:p>
      <w:pPr>
        <w:spacing w:after="0" w:line="149"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b w:val="1"/>
          <w:bCs w:val="1"/>
          <w:color w:val="auto"/>
        </w:rPr>
        <w:t>2.1.3. Conduct of the Research</w:t>
      </w:r>
      <w:r>
        <w:rPr>
          <w:rFonts w:ascii="Times New Roman" w:cs="Times New Roman" w:eastAsia="Times New Roman" w:hAnsi="Times New Roman"/>
          <w:sz w:val="22"/>
          <w:szCs w:val="22"/>
          <w:color w:val="auto"/>
        </w:rPr>
        <w:t>. Each Party, directly or through its Affiliates or permitted Subcontractors,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use Commercially Reasonable Efforts to conduct the activities allocated to it in the Research Plan in accordance with the Research Plan, including the timelines set forth therein, and in a professional and timely manner. Each Party will, and will require its Affiliates and Subcontractors to, perform its obligations under the Research Plan in compliance with Applicable Law. [***]. Vertex will reimburse Company in accordance with Section 5.8 for Company’s FTE Costs and Out-of-Pocket Costs incurred in conducting such Research Activities in accordance with the Research Plan and Research Budget.</w:t>
      </w:r>
    </w:p>
    <w:p>
      <w:pPr>
        <w:spacing w:after="0" w:line="146"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2.1.4. Additional Research</w:t>
      </w:r>
      <w:r>
        <w:rPr>
          <w:rFonts w:ascii="Times New Roman" w:cs="Times New Roman" w:eastAsia="Times New Roman" w:hAnsi="Times New Roman"/>
          <w:sz w:val="22"/>
          <w:szCs w:val="22"/>
          <w:color w:val="auto"/>
        </w:rPr>
        <w:t>. Following the Research Term, upon Vertex’s request for Company to conduct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certain additional Research activities with respect to Licensed Agents and Products, the Parties will discuss in good faith and, if the Parties agree that Company will conduct such activities, agree on a plan (each, an “</w:t>
      </w:r>
      <w:r>
        <w:rPr>
          <w:rFonts w:ascii="Times New Roman" w:cs="Times New Roman" w:eastAsia="Times New Roman" w:hAnsi="Times New Roman"/>
          <w:sz w:val="22"/>
          <w:szCs w:val="22"/>
          <w:b w:val="1"/>
          <w:bCs w:val="1"/>
          <w:color w:val="auto"/>
        </w:rPr>
        <w:t>Additional Research Plan</w:t>
      </w:r>
      <w:r>
        <w:rPr>
          <w:rFonts w:ascii="Times New Roman" w:cs="Times New Roman" w:eastAsia="Times New Roman" w:hAnsi="Times New Roman"/>
          <w:sz w:val="22"/>
          <w:szCs w:val="22"/>
          <w:color w:val="auto"/>
        </w:rPr>
        <w:t>”) and budget (each, an “</w:t>
      </w:r>
      <w:r>
        <w:rPr>
          <w:rFonts w:ascii="Times New Roman" w:cs="Times New Roman" w:eastAsia="Times New Roman" w:hAnsi="Times New Roman"/>
          <w:sz w:val="22"/>
          <w:szCs w:val="22"/>
          <w:b w:val="1"/>
          <w:bCs w:val="1"/>
          <w:color w:val="auto"/>
        </w:rPr>
        <w:t>Additional Research Budget</w:t>
      </w:r>
      <w:r>
        <w:rPr>
          <w:rFonts w:ascii="Times New Roman" w:cs="Times New Roman" w:eastAsia="Times New Roman" w:hAnsi="Times New Roman"/>
          <w:sz w:val="22"/>
          <w:szCs w:val="22"/>
          <w:color w:val="auto"/>
        </w:rPr>
        <w:t>”) for such activities (the “</w:t>
      </w:r>
      <w:r>
        <w:rPr>
          <w:rFonts w:ascii="Times New Roman" w:cs="Times New Roman" w:eastAsia="Times New Roman" w:hAnsi="Times New Roman"/>
          <w:sz w:val="22"/>
          <w:szCs w:val="22"/>
          <w:b w:val="1"/>
          <w:bCs w:val="1"/>
          <w:color w:val="auto"/>
        </w:rPr>
        <w:t>Additional Research Activities</w:t>
      </w:r>
      <w:r>
        <w:rPr>
          <w:rFonts w:ascii="Times New Roman" w:cs="Times New Roman" w:eastAsia="Times New Roman" w:hAnsi="Times New Roman"/>
          <w:sz w:val="22"/>
          <w:szCs w:val="22"/>
          <w:color w:val="auto"/>
        </w:rPr>
        <w:t>”). If the Parties agree on the Additional Research Plan and Additional Research Budget, then Company, directly or through its Affiliates or Subcontractors engaged in accordance with Section 2.1.4, will use Commercially Reasonable Efforts to perform the Additional Research Activities in accordance with the Additional Research Plan, including the timelines set forth therein, and in a professional and timely manner. Company will, and will require its Affiliates and Subcontractors to, perform its obligations under the Additional Research Plan in compliance with Applicable Law. [***]. Vertex will reimburse Company in accordance with Section 5.8 for Company’s FTE Costs and Out-of-Pocket Costs incurred in conducting such Additional Research Activities in accordance with the Additional Research Plan and Additional Research Budget. The Parties may amend any Additional Research Plan and Additional Research Budget upon mutual consent.</w:t>
      </w:r>
    </w:p>
    <w:p>
      <w:pPr>
        <w:spacing w:after="0" w:line="152"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2"/>
          <w:szCs w:val="22"/>
          <w:b w:val="1"/>
          <w:bCs w:val="1"/>
          <w:color w:val="auto"/>
        </w:rPr>
        <w:t>2.1.5.</w:t>
      </w:r>
      <w:r>
        <w:rPr>
          <w:sz w:val="20"/>
          <w:szCs w:val="20"/>
          <w:color w:val="auto"/>
        </w:rPr>
        <w:tab/>
      </w:r>
      <w:r>
        <w:rPr>
          <w:rFonts w:ascii="Times New Roman" w:cs="Times New Roman" w:eastAsia="Times New Roman" w:hAnsi="Times New Roman"/>
          <w:sz w:val="21"/>
          <w:szCs w:val="21"/>
          <w:b w:val="1"/>
          <w:bCs w:val="1"/>
          <w:color w:val="auto"/>
        </w:rPr>
        <w:t>Company Pre-Clinical Studies</w:t>
      </w:r>
      <w:r>
        <w:rPr>
          <w:rFonts w:ascii="Times New Roman" w:cs="Times New Roman" w:eastAsia="Times New Roman" w:hAnsi="Times New Roman"/>
          <w:sz w:val="21"/>
          <w:szCs w:val="21"/>
          <w:color w:val="auto"/>
        </w:rPr>
        <w:t>. [***].</w:t>
      </w:r>
    </w:p>
    <w:p>
      <w:pPr>
        <w:spacing w:after="0" w:line="179"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2.1.6. Subcontracting</w:t>
      </w:r>
      <w:r>
        <w:rPr>
          <w:rFonts w:ascii="Times New Roman" w:cs="Times New Roman" w:eastAsia="Times New Roman" w:hAnsi="Times New Roman"/>
          <w:sz w:val="22"/>
          <w:szCs w:val="22"/>
          <w:color w:val="auto"/>
        </w:rPr>
        <w:t>. Each Party may engage consultants, subcontractors, academic researchers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vendors (each, a “</w:t>
      </w:r>
      <w:r>
        <w:rPr>
          <w:rFonts w:ascii="Times New Roman" w:cs="Times New Roman" w:eastAsia="Times New Roman" w:hAnsi="Times New Roman"/>
          <w:sz w:val="22"/>
          <w:szCs w:val="22"/>
          <w:b w:val="1"/>
          <w:bCs w:val="1"/>
          <w:color w:val="auto"/>
        </w:rPr>
        <w:t>Subcontractor</w:t>
      </w:r>
      <w:r>
        <w:rPr>
          <w:rFonts w:ascii="Times New Roman" w:cs="Times New Roman" w:eastAsia="Times New Roman" w:hAnsi="Times New Roman"/>
          <w:sz w:val="22"/>
          <w:szCs w:val="22"/>
          <w:color w:val="auto"/>
        </w:rPr>
        <w:t>”) to perform Research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91" w:right="339" w:bottom="1440" w:gutter="0" w:footer="0" w:header="0"/>
        </w:sectPr>
      </w:pPr>
    </w:p>
    <w:bookmarkStart w:id="276" w:name="page277"/>
    <w:bookmarkEnd w:id="276"/>
    <w:p>
      <w:pPr>
        <w:jc w:val="both"/>
        <w:spacing w:after="0" w:line="212" w:lineRule="auto"/>
        <w:rPr>
          <w:sz w:val="20"/>
          <w:szCs w:val="20"/>
          <w:color w:val="auto"/>
        </w:rPr>
      </w:pPr>
      <w:r>
        <w:rPr>
          <w:rFonts w:ascii="Times New Roman" w:cs="Times New Roman" w:eastAsia="Times New Roman" w:hAnsi="Times New Roman"/>
          <w:sz w:val="22"/>
          <w:szCs w:val="22"/>
          <w:color w:val="auto"/>
        </w:rPr>
        <w:t xml:space="preserve">allocated to such Party under the Research Plan or Additional Research Activities allocated to such Party under the Additional Research Plan, as applicable;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Company will not engage any Subcontractor, other than to the extent set forth in the Research Plan or Additional Research Plan, as applicable, without Vertex’s written consent. Each such contract between a Party and a Subcontractor will be consistent with the provisions of this Agreement and will include confidentiality provisions that are at least as restrictive as those described in ARTICLE 10 except with respect to the duration of such obligations which will be commercially reasonable and customary for agreements of the applicable type. Each Party will be responsible for the effective and timely management of and payment of its Subcontractors. The engagement of any Subcontractor in compliance with this Section 2.1.6 will not relieve the applicable Party of its obligations under this Agreement.</w:t>
      </w:r>
    </w:p>
    <w:p>
      <w:pPr>
        <w:spacing w:after="0" w:line="152"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2.1.7. Records</w:t>
      </w:r>
      <w:r>
        <w:rPr>
          <w:rFonts w:ascii="Times New Roman" w:cs="Times New Roman" w:eastAsia="Times New Roman" w:hAnsi="Times New Roman"/>
          <w:sz w:val="22"/>
          <w:szCs w:val="22"/>
          <w:color w:val="auto"/>
        </w:rPr>
        <w:t>. Each Party will maintain, and cause its Affiliates and Subcontractors to maintain, records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activities under the Research Plan or Additional Research Plan in sufficient detail and in good scientific manner appropriate for scientific, patent and regulatory purposes, which will be complete and accurate in all material respects and will fully and properly reflect all work done, data and developments made, and results achieved.</w:t>
      </w:r>
    </w:p>
    <w:p>
      <w:pPr>
        <w:spacing w:after="0" w:line="148"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b w:val="1"/>
          <w:bCs w:val="1"/>
          <w:color w:val="auto"/>
        </w:rPr>
        <w:t>2.1.8. Progress Reports</w:t>
      </w:r>
      <w:r>
        <w:rPr>
          <w:rFonts w:ascii="Times New Roman" w:cs="Times New Roman" w:eastAsia="Times New Roman" w:hAnsi="Times New Roman"/>
          <w:sz w:val="22"/>
          <w:szCs w:val="22"/>
          <w:color w:val="auto"/>
        </w:rPr>
        <w:t>. During the Research Term, each Party will furnish to the JRC, within [***] after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end of each [***], an update on such Party’s progress under the Research Plan with respect to the performance of the Research Activities during the relevant [***], including a summary of any results and data generated by or on behalf of such Party or its Affiliates under the Research Plan during the relevant [***] (each, a “</w:t>
      </w:r>
      <w:r>
        <w:rPr>
          <w:rFonts w:ascii="Times New Roman" w:cs="Times New Roman" w:eastAsia="Times New Roman" w:hAnsi="Times New Roman"/>
          <w:sz w:val="22"/>
          <w:szCs w:val="22"/>
          <w:b w:val="1"/>
          <w:bCs w:val="1"/>
          <w:color w:val="auto"/>
        </w:rPr>
        <w:t>Progress Report</w:t>
      </w:r>
      <w:r>
        <w:rPr>
          <w:rFonts w:ascii="Times New Roman" w:cs="Times New Roman" w:eastAsia="Times New Roman" w:hAnsi="Times New Roman"/>
          <w:sz w:val="22"/>
          <w:szCs w:val="22"/>
          <w:color w:val="auto"/>
        </w:rPr>
        <w:t>”). For so long any Additional Research Plan is in effect, Company will furnish to Vertex, within [***] after the end of each [***], an update on Company’s progress under the Additional Research Plan with respect to the performance of the Additional Research Activities during the relevant [***], including a summary of any results and data generated by or on behalf of Company or its Affiliates under the Additional Research Plan during the relevant [***] (each, an “</w:t>
      </w:r>
      <w:r>
        <w:rPr>
          <w:rFonts w:ascii="Times New Roman" w:cs="Times New Roman" w:eastAsia="Times New Roman" w:hAnsi="Times New Roman"/>
          <w:sz w:val="22"/>
          <w:szCs w:val="22"/>
          <w:b w:val="1"/>
          <w:bCs w:val="1"/>
          <w:color w:val="auto"/>
        </w:rPr>
        <w:t>Additional Progress Report</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1"/>
          <w:szCs w:val="21"/>
          <w:b w:val="1"/>
          <w:bCs w:val="1"/>
          <w:color w:val="auto"/>
        </w:rPr>
        <w:t>2.1.9. Transfer of Materials</w:t>
      </w:r>
      <w:r>
        <w:rPr>
          <w:rFonts w:ascii="Times New Roman" w:cs="Times New Roman" w:eastAsia="Times New Roman" w:hAnsi="Times New Roman"/>
          <w:sz w:val="21"/>
          <w:szCs w:val="21"/>
          <w:color w:val="auto"/>
        </w:rPr>
        <w:t>. To facilitate the conduct of activities under the Research Plan or an Additional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Research Plan, as applicable, either Party (the “</w:t>
      </w:r>
      <w:r>
        <w:rPr>
          <w:rFonts w:ascii="Times New Roman" w:cs="Times New Roman" w:eastAsia="Times New Roman" w:hAnsi="Times New Roman"/>
          <w:sz w:val="21"/>
          <w:szCs w:val="21"/>
          <w:b w:val="1"/>
          <w:bCs w:val="1"/>
          <w:color w:val="auto"/>
        </w:rPr>
        <w:t>Transferor Party</w:t>
      </w:r>
      <w:r>
        <w:rPr>
          <w:rFonts w:ascii="Times New Roman" w:cs="Times New Roman" w:eastAsia="Times New Roman" w:hAnsi="Times New Roman"/>
          <w:sz w:val="21"/>
          <w:szCs w:val="21"/>
          <w:color w:val="auto"/>
        </w:rPr>
        <w:t>”) may, at its election, provide Materials to the other Party (the “</w:t>
      </w:r>
      <w:r>
        <w:rPr>
          <w:rFonts w:ascii="Times New Roman" w:cs="Times New Roman" w:eastAsia="Times New Roman" w:hAnsi="Times New Roman"/>
          <w:sz w:val="21"/>
          <w:szCs w:val="21"/>
          <w:b w:val="1"/>
          <w:bCs w:val="1"/>
          <w:color w:val="auto"/>
        </w:rPr>
        <w:t>Transferee Party</w:t>
      </w:r>
      <w:r>
        <w:rPr>
          <w:rFonts w:ascii="Times New Roman" w:cs="Times New Roman" w:eastAsia="Times New Roman" w:hAnsi="Times New Roman"/>
          <w:sz w:val="21"/>
          <w:szCs w:val="21"/>
          <w:color w:val="auto"/>
        </w:rPr>
        <w:t xml:space="preserve">”) solely as mutually agreed by the Parties or as set forth in the Research Plan or any Additional Research Plan. All such Materials (a) will remain the sole property of the Transferor Party, (b) will be used only in the exercise if the Transferee Party’s rights or fulfillment of the Transferee Party’s obligations under this Agreement, (c) except as provided in the Research Plan or Additional Research Plan or as otherwise agreed by the Parties, (i) will remain solely under the control of the Transferee Party, (ii) will not be used or delivered by the Transferee Party to or for the benefit of any Third Party, and (iii) will not be used in research or testing involving human subjects, and (d) will be subject to all additional restrictions and obligations that the Transferor Party has identified in a written notice to the Transferee Party as being necessary for the Transferor Party to comply with its obligations to Third Parties with respect to the applicable Material, which notice is provided at or prior to the delivery of such Materials to the Transferee Party. Without limitation to ARTICLE 7, all Materials supplied under this Section 2.1.9 are supplied “as is”, with no warranties of fitness for a particular purpose, and must be used with prudence and appropriate caution in any experimental work, as not all of their characteristics may be known. Following the completion of the activities for which the applicable Materials were supplied under this Section 2.1.9 or upon the Transferor Party’s earlier request, the Transferee Party will either destroy or return to the Transferor Party, at the Transferor Party’s sole discretion, all Materials provided by the Transferor Party that are unused;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Vertex will have the right to retain and continue to use any Materials provided by Company that Vertex has the right to Exploit under the license granted to Vertex pursuant to Section 4.1.1.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395" w:right="339" w:bottom="1440" w:gutter="0" w:footer="0" w:header="0"/>
        </w:sectPr>
      </w:pPr>
    </w:p>
    <w:bookmarkStart w:id="277" w:name="page278"/>
    <w:bookmarkEnd w:id="277"/>
    <w:p>
      <w:pPr>
        <w:jc w:val="both"/>
        <w:ind w:firstLine="1296"/>
        <w:spacing w:after="0" w:line="216" w:lineRule="auto"/>
        <w:rPr>
          <w:sz w:val="20"/>
          <w:szCs w:val="20"/>
          <w:color w:val="auto"/>
        </w:rPr>
      </w:pPr>
      <w:r>
        <w:rPr>
          <w:rFonts w:ascii="Times New Roman" w:cs="Times New Roman" w:eastAsia="Times New Roman" w:hAnsi="Times New Roman"/>
          <w:sz w:val="22"/>
          <w:szCs w:val="22"/>
          <w:b w:val="1"/>
          <w:bCs w:val="1"/>
          <w:color w:val="auto"/>
        </w:rPr>
        <w:t>2.1.10. Research Following Research Term</w:t>
      </w:r>
      <w:r>
        <w:rPr>
          <w:rFonts w:ascii="Times New Roman" w:cs="Times New Roman" w:eastAsia="Times New Roman" w:hAnsi="Times New Roman"/>
          <w:sz w:val="22"/>
          <w:szCs w:val="22"/>
          <w:color w:val="auto"/>
        </w:rPr>
        <w:t>. Following the Research Term, Vertex will have the sole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exclusive control over all matters relating to the Research of Licensed Agents and Products. For so long as Vertex is conducting Research activities under this Section 2.1.10, no later than [***] of each [***], Vertex will provide Company with a [***] report regarding the status of Vertex’s Research of Licensed Agents and Products;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Vertex will [***]. Such reports may be combined with any applicable reports under Section 2.2.2 and may be provided to Company in conjunction with meetings and other communications between the representatives of Vertex and Company on the JRC.</w:t>
      </w:r>
    </w:p>
    <w:p>
      <w:pPr>
        <w:spacing w:after="0" w:line="14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b w:val="1"/>
          <w:bCs w:val="1"/>
          <w:u w:val="single" w:color="auto"/>
          <w:color w:val="auto"/>
        </w:rPr>
        <w:t>Development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2.2.1. Generally</w:t>
      </w:r>
      <w:r>
        <w:rPr>
          <w:rFonts w:ascii="Times New Roman" w:cs="Times New Roman" w:eastAsia="Times New Roman" w:hAnsi="Times New Roman"/>
          <w:sz w:val="22"/>
          <w:szCs w:val="22"/>
          <w:color w:val="auto"/>
        </w:rPr>
        <w:t>. Subject to Section 2.6, Vertex will have sole and exclusive control over all matters relating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Development of Licensed Agents and Products.</w:t>
      </w:r>
    </w:p>
    <w:p>
      <w:pPr>
        <w:spacing w:after="0" w:line="146"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2.2.2. Reporting</w:t>
      </w:r>
      <w:r>
        <w:rPr>
          <w:rFonts w:ascii="Times New Roman" w:cs="Times New Roman" w:eastAsia="Times New Roman" w:hAnsi="Times New Roman"/>
          <w:sz w:val="22"/>
          <w:szCs w:val="22"/>
          <w:color w:val="auto"/>
        </w:rPr>
        <w:t>. For so long as Vertex is conducting Development activities with respect to the Licensed Agent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Products, no later than [***] of each [***], Vertex will provide Company with a [***] report regarding the status of Vertex’s Development of Licensed Agents and Products;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Vertex will [***]. Such reports may be combined with any applicable reports under Section 2.1.10 and may be provided to Company in conjunction with meetings and other communications between the representatives of Vertex and Company on the JRC.</w:t>
      </w:r>
    </w:p>
    <w:p>
      <w:pPr>
        <w:spacing w:after="0" w:line="14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b w:val="1"/>
          <w:bCs w:val="1"/>
          <w:u w:val="single" w:color="auto"/>
          <w:color w:val="auto"/>
        </w:rPr>
        <w:t>Regulatory Matters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2.3.1. Responsibilities</w:t>
      </w:r>
      <w:r>
        <w:rPr>
          <w:rFonts w:ascii="Times New Roman" w:cs="Times New Roman" w:eastAsia="Times New Roman" w:hAnsi="Times New Roman"/>
          <w:sz w:val="22"/>
          <w:szCs w:val="22"/>
          <w:color w:val="auto"/>
        </w:rPr>
        <w:t>. Vertex will have the sole and exclusive authority to (a) prepare and file Regulatory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Filings and applications for Price Approval, each in its own name (or the name of its designee(s)), for all Licensed Agents and Products in the Field in the Territory;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Vertex will provide drafts of all portions of INDs or Approval Applications for the Product (including amendments to the foregoing) that are [***] reasonably in advance of Vertex’s planned finalization of the applicable IND, Approval Application, or amendments to the applicable Regulatory Authority for Company’s review and comment, and Vertex will consider in good faith Company’s comments to any such portions of INDs, Approval Applications, or amendments to the extent they [***] that Company provides to Vertex reasonably in advance of Vertex’s planned finalization thereof, and (b) communicate with Regulatory Authorities with respect to the Licensed Agents and Products in the Field in the Territory, both prior to and following Marketing Approval and Price Approval, including all communications and decisions with respect to (i) labeling of Products, and (ii) the negotiation of Price Approvals. Without limiting the foregoing, during the Term, neither Company nor its Affiliates will prepare or file any Regulatory Filings with any Regulatory Authority with respect to any Licensed Agent or Product in the Field in the Territory.</w:t>
      </w:r>
    </w:p>
    <w:p>
      <w:pPr>
        <w:spacing w:after="0" w:line="152"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2.3.2. Ownership</w:t>
      </w:r>
      <w:r>
        <w:rPr>
          <w:rFonts w:ascii="Times New Roman" w:cs="Times New Roman" w:eastAsia="Times New Roman" w:hAnsi="Times New Roman"/>
          <w:sz w:val="22"/>
          <w:szCs w:val="22"/>
          <w:color w:val="auto"/>
        </w:rPr>
        <w:t>. Ownership of all right, title and interest in and to all Regulatory Filings, Regulatory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Approvals and Price Approvals directed to any Licensed Agent or Product in the Field in each country of the Territory will be held by and in the name of Vertex, its Affiliate, designee or Sublicensee.</w:t>
      </w:r>
    </w:p>
    <w:p>
      <w:pPr>
        <w:spacing w:after="0" w:line="146" w:lineRule="exact"/>
        <w:rPr>
          <w:sz w:val="20"/>
          <w:szCs w:val="20"/>
          <w:color w:val="auto"/>
        </w:rPr>
      </w:pPr>
    </w:p>
    <w:p>
      <w:pPr>
        <w:jc w:val="both"/>
        <w:ind w:firstLine="1296"/>
        <w:spacing w:after="0" w:line="214" w:lineRule="auto"/>
        <w:rPr>
          <w:sz w:val="20"/>
          <w:szCs w:val="20"/>
          <w:color w:val="auto"/>
        </w:rPr>
      </w:pPr>
      <w:r>
        <w:rPr>
          <w:rFonts w:ascii="Times New Roman" w:cs="Times New Roman" w:eastAsia="Times New Roman" w:hAnsi="Times New Roman"/>
          <w:sz w:val="22"/>
          <w:szCs w:val="22"/>
          <w:b w:val="1"/>
          <w:bCs w:val="1"/>
          <w:color w:val="auto"/>
        </w:rPr>
        <w:t>2.3.3. Cooperation</w:t>
      </w:r>
      <w:r>
        <w:rPr>
          <w:rFonts w:ascii="Times New Roman" w:cs="Times New Roman" w:eastAsia="Times New Roman" w:hAnsi="Times New Roman"/>
          <w:sz w:val="22"/>
          <w:szCs w:val="22"/>
          <w:color w:val="auto"/>
        </w:rPr>
        <w:t>. Company will, and will cause its Affiliates to, cooperate with Vertex with respect to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regulatory matters relating to any Licensed Agent or Product. Without limiting the foregoing, as requested by Vertex, Company will assist Vertex in preparing Regulatory Filings for Products and make information Controlled by Company or its Affiliates available to Vertex to the extent necessary or useful in connection with such Regulatory Filings. Upon Vertex’s reasonable request, Company will support the Development of Licensed Agents and Products by providing Regulatory Authorities with access to, and the right to audit, any data or other Know-How and associated documents that are in Company’s possession or Control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391" w:right="339" w:bottom="1440" w:gutter="0" w:footer="0" w:header="0"/>
        </w:sectPr>
      </w:pPr>
    </w:p>
    <w:bookmarkStart w:id="278" w:name="page279"/>
    <w:bookmarkEnd w:id="278"/>
    <w:p>
      <w:pPr>
        <w:jc w:val="both"/>
        <w:spacing w:after="0" w:line="220" w:lineRule="auto"/>
        <w:rPr>
          <w:sz w:val="20"/>
          <w:szCs w:val="20"/>
          <w:color w:val="auto"/>
        </w:rPr>
      </w:pPr>
      <w:r>
        <w:rPr>
          <w:rFonts w:ascii="Times New Roman" w:cs="Times New Roman" w:eastAsia="Times New Roman" w:hAnsi="Times New Roman"/>
          <w:sz w:val="22"/>
          <w:szCs w:val="22"/>
          <w:color w:val="auto"/>
        </w:rPr>
        <w:t>are relied on by Vertex in its Regulatory Filings for Licensed Agents and Products. Company will not make any submission to any Regulatory Authority with respect to the Licensed Agents and Products in the Field in the Territory without first obtaining Vertex’s prior written consent. Vertex will, and will cause its Affiliates to, reasonably cooperate with Company with respect to all Regulatory Filings proposed by Company to the extent [***].</w:t>
      </w:r>
    </w:p>
    <w:p>
      <w:pPr>
        <w:spacing w:after="0" w:line="148"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2"/>
          <w:szCs w:val="22"/>
          <w:b w:val="1"/>
          <w:bCs w:val="1"/>
          <w:color w:val="auto"/>
        </w:rPr>
        <w:t>2.3.4.</w:t>
      </w:r>
      <w:r>
        <w:rPr>
          <w:sz w:val="20"/>
          <w:szCs w:val="20"/>
          <w:color w:val="auto"/>
        </w:rPr>
        <w:tab/>
      </w:r>
      <w:r>
        <w:rPr>
          <w:rFonts w:ascii="Times New Roman" w:cs="Times New Roman" w:eastAsia="Times New Roman" w:hAnsi="Times New Roman"/>
          <w:sz w:val="21"/>
          <w:szCs w:val="21"/>
          <w:b w:val="1"/>
          <w:bCs w:val="1"/>
          <w:color w:val="auto"/>
        </w:rPr>
        <w:t>Right of Reference</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952"/>
        <w:spacing w:after="0" w:line="215" w:lineRule="auto"/>
        <w:tabs>
          <w:tab w:leader="none" w:pos="2409"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Company. Company hereby grants Vertex, its Affiliates, Sublicensees and Distributors a “Right of Reference” (including rights of reference or cross-reference as discussed in FDA’s regulations (see 21 C.F.R. §§ 312.23(b), 314.3(b), 601.51(a)) and any foreign counterparts to such regulations), to any Regulatory Filings Controlled by Company or its Affiliates that are [***] to Exploit a Licensed Agent or Product in the Field in the Territory solely for the purpose of Exploiting such Licensed Agent or Product in the Field in the Territory. If requested by Vertex, Company will provide a signed statement to this effect (including a statement of right of reference that can be submitted to module 1 of a Regulatory Filing of Vertex).</w:t>
      </w:r>
    </w:p>
    <w:p>
      <w:pPr>
        <w:spacing w:after="0" w:line="152" w:lineRule="exact"/>
        <w:rPr>
          <w:rFonts w:ascii="Times New Roman" w:cs="Times New Roman" w:eastAsia="Times New Roman" w:hAnsi="Times New Roman"/>
          <w:sz w:val="22"/>
          <w:szCs w:val="22"/>
          <w:color w:val="auto"/>
        </w:rPr>
      </w:pPr>
    </w:p>
    <w:p>
      <w:pPr>
        <w:jc w:val="both"/>
        <w:ind w:firstLine="1952"/>
        <w:spacing w:after="0" w:line="215" w:lineRule="auto"/>
        <w:tabs>
          <w:tab w:leader="none" w:pos="2482"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Vertex. Vertex hereby grants Company, its Affiliates, Sublicensees and Distributors a “Right of Reference” (including rights of reference or cross-reference as discussed in FDA’s regulations (see 21 C.F.R. §§ 312.23(b), 314.3(b), 601.51(a)) and any foreign counterparts to such regulations), to any Regulatory Filings Controlled by Vertex or its Affiliates that are [***] to Exploit any [***] in the Field in the Territory solely for the purpose of Exploiting such [***] in the Field in the Territory. If requested by Company, Vertex will provide a signed statement to this effect (including a statement of right of reference that can be submitted to module 1 of a Regulatory Filing of Company).</w:t>
      </w:r>
    </w:p>
    <w:p>
      <w:pPr>
        <w:spacing w:after="0" w:line="14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b w:val="1"/>
          <w:bCs w:val="1"/>
          <w:u w:val="single" w:color="auto"/>
          <w:color w:val="auto"/>
        </w:rPr>
        <w:t>Manufacturing</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2.4.1. Research Activities</w:t>
      </w:r>
      <w:r>
        <w:rPr>
          <w:rFonts w:ascii="Times New Roman" w:cs="Times New Roman" w:eastAsia="Times New Roman" w:hAnsi="Times New Roman"/>
          <w:sz w:val="22"/>
          <w:szCs w:val="22"/>
          <w:color w:val="auto"/>
        </w:rPr>
        <w:t>. Prior to the Manufacturing Transfer Date and except as set forth in the Research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any Additional Research Plan, Company will have the sole responsibility to Manufacture the Licensed Agents and Products used by each Party to complete the Research Activities allocated to it under such Research Plan and for Company to complete Additional Research Activities allocated to Company under any Additional Research Plan and at Vertex’s cost and expense in accordance with the Research Budget or Additional Research Budget, as applicable, or as otherwise provided under this Agreement. The Research Plan will set forth the total quantities of Licensed Agents and Products expected to be used by each Party to complete the Research Activities allocated to it under such Research Plan, any Additional Research Plan will set forth the total quantities of Licensed Agents and Products expected to be used by Company to complete the Additional Research Activities allocated to it under such Additional Research Plan, and the Research Budget or the Additional Research Budget, as applicable, will include the Manufacturing Cost for the quantities of Licensed Agents and Products set forth in the applicable Research Plan or Additional Research Plan.</w:t>
      </w:r>
    </w:p>
    <w:p>
      <w:pPr>
        <w:spacing w:after="0" w:line="157"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2.4.2. Development Activities</w:t>
      </w:r>
      <w:r>
        <w:rPr>
          <w:rFonts w:ascii="Times New Roman" w:cs="Times New Roman" w:eastAsia="Times New Roman" w:hAnsi="Times New Roman"/>
          <w:sz w:val="22"/>
          <w:szCs w:val="22"/>
          <w:color w:val="auto"/>
        </w:rPr>
        <w:t>. Prior to the Manufacturing Transfer Date, Company will have the sole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responsibility to Manufacture and supply to Vertex quantities of ENTR-701 reasonably requested by Vertex for Development activities at Vertex’s cost and expense. If Vertex determines that such supply will be needed prior to the Manufacturing Transfer Date, then, at Vertex’s request, the Parties will negotiate and enter into a clinical supply agreement (the “</w:t>
      </w:r>
      <w:r>
        <w:rPr>
          <w:rFonts w:ascii="Times New Roman" w:cs="Times New Roman" w:eastAsia="Times New Roman" w:hAnsi="Times New Roman"/>
          <w:sz w:val="22"/>
          <w:szCs w:val="22"/>
          <w:b w:val="1"/>
          <w:bCs w:val="1"/>
          <w:color w:val="auto"/>
        </w:rPr>
        <w:t>Supply Agreement</w:t>
      </w:r>
      <w:r>
        <w:rPr>
          <w:rFonts w:ascii="Times New Roman" w:cs="Times New Roman" w:eastAsia="Times New Roman" w:hAnsi="Times New Roman"/>
          <w:sz w:val="22"/>
          <w:szCs w:val="22"/>
          <w:color w:val="auto"/>
        </w:rPr>
        <w:t>”) and a quality agreement regarding such clinical supply on commercially reasonable terms.</w:t>
      </w:r>
    </w:p>
    <w:p>
      <w:pPr>
        <w:spacing w:after="0" w:line="14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2.4.3. Termination of Manufacturing Obligation</w:t>
      </w:r>
      <w:r>
        <w:rPr>
          <w:rFonts w:ascii="Times New Roman" w:cs="Times New Roman" w:eastAsia="Times New Roman" w:hAnsi="Times New Roman"/>
          <w:sz w:val="22"/>
          <w:szCs w:val="22"/>
          <w:color w:val="auto"/>
        </w:rPr>
        <w:t>. Vertex will use Commercially Reasonable Efforts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establish its capabilities to manufacture ENTR-701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395" w:right="339" w:bottom="1440" w:gutter="0" w:footer="0" w:header="0"/>
        </w:sectPr>
      </w:pPr>
    </w:p>
    <w:bookmarkStart w:id="279" w:name="page280"/>
    <w:bookmarkEnd w:id="279"/>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the [***] of the Effective Date. If the Manufacturing Transfer Date has not occurred prior to the [***] of the Effective Date, then Company’s obligation to Manufacture and supply to Vertex quantities of ENTR-701 will immediately terminate upon such date unless otherwise stated in the Supply Agreement or agreed by the Parties in writing;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if the Manufacturing Transfer Date has not occurred prior to the [***] of the Effective Date despite Vertex’s use of Commercially Reasonable Efforts to effectuate such Manufacturing technology transfer, then Company will not unreasonably withhold, condition, or delay its consent to continue its Manufacturing obligation as set forth in Section 2.4.1 or Section 2.4.2 until the Manufacturing Transfer Date, and Vertex will pay for such Manufacturing either (a) at the Manufacturing Cost, if such failure to achieve the Manufacturing Transfer Date by the [***] of the Effective Date is [***] or (b) at the Manufacturing Cost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 if such failure to achieve the Manufacturing Transfer Date by the [***] of the Effective Date is [***] ((a) and (b)), subject to [***] and this Agreement.</w:t>
      </w:r>
    </w:p>
    <w:p>
      <w:pPr>
        <w:spacing w:after="0" w:line="148"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2.4.4. Following Manufacturing Technology Transfer</w:t>
      </w:r>
      <w:r>
        <w:rPr>
          <w:rFonts w:ascii="Times New Roman" w:cs="Times New Roman" w:eastAsia="Times New Roman" w:hAnsi="Times New Roman"/>
          <w:sz w:val="22"/>
          <w:szCs w:val="22"/>
          <w:color w:val="auto"/>
        </w:rPr>
        <w:t>. Following the Manufacturing Transfer Date and except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set forth in the Research Plan or any Additional Research Plan, Vertex will have sole and exclusive control over all matters related to the Manufacture and supply of Licensed Agents and Products for Exploitation in the Field in the Territory.</w:t>
      </w:r>
    </w:p>
    <w:p>
      <w:pPr>
        <w:spacing w:after="0" w:line="146"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b w:val="1"/>
          <w:bCs w:val="1"/>
          <w:color w:val="auto"/>
        </w:rPr>
        <w:t>2.4.5. Manufacturing Costs</w:t>
      </w:r>
      <w:r>
        <w:rPr>
          <w:rFonts w:ascii="Times New Roman" w:cs="Times New Roman" w:eastAsia="Times New Roman" w:hAnsi="Times New Roman"/>
          <w:sz w:val="22"/>
          <w:szCs w:val="22"/>
          <w:color w:val="auto"/>
        </w:rPr>
        <w:t>. Company will provide all Licensed Agents and Products under this Section 2.4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Manufacturing Cost (with such Manufacturing Costs for Licensed Agents and Products to be used in performing Research Activities and Additional Research Activities to be included in the applicable Research Budget or Additional Research Budget) or as otherwise provided in Section 2.4.3. If requested by Vertex, the Parties will discuss Company’s Manufacturing Costs for all Licensed Agents and Products Manufactured by Company as provided hereunder and [***]. If the Parties agree that [***], Company will use Commercially Reasonable Efforts to [***] and keep Vertex reasonably informed on the progress thereof.</w:t>
      </w:r>
    </w:p>
    <w:p>
      <w:pPr>
        <w:spacing w:after="0" w:line="14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b w:val="1"/>
          <w:bCs w:val="1"/>
          <w:u w:val="single" w:color="auto"/>
          <w:color w:val="auto"/>
        </w:rPr>
        <w:t>Commercialization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2.5.1. General</w:t>
      </w:r>
      <w:r>
        <w:rPr>
          <w:rFonts w:ascii="Times New Roman" w:cs="Times New Roman" w:eastAsia="Times New Roman" w:hAnsi="Times New Roman"/>
          <w:sz w:val="22"/>
          <w:szCs w:val="22"/>
          <w:color w:val="auto"/>
        </w:rPr>
        <w:t>. Subject to Section 2.6, Vertex will have sole and exclusive control over all matters relating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Commercialization of Products in the Field in the Territory.</w:t>
      </w:r>
    </w:p>
    <w:p>
      <w:pPr>
        <w:spacing w:after="0" w:line="146"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2.5.2. Branding</w:t>
      </w:r>
      <w:r>
        <w:rPr>
          <w:rFonts w:ascii="Times New Roman" w:cs="Times New Roman" w:eastAsia="Times New Roman" w:hAnsi="Times New Roman"/>
          <w:sz w:val="22"/>
          <w:szCs w:val="22"/>
          <w:color w:val="auto"/>
        </w:rPr>
        <w:t>. Vertex will have sole and exclusive control over all matters relating to the selection of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trademarks used in connection with the Commercialization of any Product in the Field in the Territory and Vertex or its designee(s) will own all of such trademarks. Company will not use nor seek to register, anywhere in the Territory, any trademark that is confusingly similar to any trademark used by or on behalf of Vertex, its Affiliates or Sublicensees in connection with any Product.</w:t>
      </w:r>
    </w:p>
    <w:p>
      <w:pPr>
        <w:spacing w:after="0" w:line="14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b w:val="1"/>
          <w:bCs w:val="1"/>
          <w:u w:val="single" w:color="auto"/>
          <w:color w:val="auto"/>
        </w:rPr>
        <w:t>Vertex Diligence</w:t>
      </w:r>
      <w:r>
        <w:rPr>
          <w:rFonts w:ascii="Times New Roman" w:cs="Times New Roman" w:eastAsia="Times New Roman" w:hAnsi="Times New Roman"/>
          <w:sz w:val="22"/>
          <w:szCs w:val="22"/>
          <w:color w:val="auto"/>
        </w:rPr>
        <w:t>. Vertex (acting directly or through one or more Affiliates or Sublicensees) will use Commercially Reasonable Efforts to [***].</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b w:val="1"/>
          <w:bCs w:val="1"/>
          <w:u w:val="single" w:color="auto"/>
          <w:color w:val="auto"/>
        </w:rPr>
        <w:t>Applicable Laws</w:t>
      </w:r>
      <w:r>
        <w:rPr>
          <w:rFonts w:ascii="Times New Roman" w:cs="Times New Roman" w:eastAsia="Times New Roman" w:hAnsi="Times New Roman"/>
          <w:sz w:val="22"/>
          <w:szCs w:val="22"/>
          <w:color w:val="auto"/>
        </w:rPr>
        <w:t>. Vertex will, and will require its Affiliates and Sublicensees to, comply in all material respects with Applicable Law in its and their Research, Development, Manufacture and Commercialization of Licensed Agents and Products, including, where required, GMP, GCP and GLP.</w:t>
      </w:r>
    </w:p>
    <w:p>
      <w:pPr>
        <w:spacing w:after="0" w:line="14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b w:val="1"/>
          <w:bCs w:val="1"/>
          <w:u w:val="single" w:color="auto"/>
          <w:color w:val="auto"/>
        </w:rPr>
        <w:t>Safety Data Exchange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395" w:right="339" w:bottom="1440" w:gutter="0" w:footer="0" w:header="0"/>
        </w:sectPr>
      </w:pPr>
    </w:p>
    <w:bookmarkStart w:id="280" w:name="page281"/>
    <w:bookmarkEnd w:id="280"/>
    <w:p>
      <w:pPr>
        <w:jc w:val="both"/>
        <w:ind w:firstLine="1296"/>
        <w:spacing w:after="0" w:line="213" w:lineRule="auto"/>
        <w:rPr>
          <w:sz w:val="20"/>
          <w:szCs w:val="20"/>
          <w:color w:val="auto"/>
        </w:rPr>
      </w:pPr>
      <w:r>
        <w:rPr>
          <w:rFonts w:ascii="Times New Roman" w:cs="Times New Roman" w:eastAsia="Times New Roman" w:hAnsi="Times New Roman"/>
          <w:sz w:val="22"/>
          <w:szCs w:val="22"/>
          <w:b w:val="1"/>
          <w:bCs w:val="1"/>
          <w:color w:val="auto"/>
        </w:rPr>
        <w:t>2.8.1. [***]</w:t>
      </w:r>
      <w:r>
        <w:rPr>
          <w:rFonts w:ascii="Times New Roman" w:cs="Times New Roman" w:eastAsia="Times New Roman" w:hAnsi="Times New Roman"/>
          <w:sz w:val="22"/>
          <w:szCs w:val="22"/>
          <w:color w:val="auto"/>
        </w:rPr>
        <w:t>. Upon either Party’s request, the Parties will establish processes and procedures for sharing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regarding [***], as needed to support each Party’s regulatory responsibilities and to comply with applicable regulatory pharmacovigilance requirements, including [***]. Any such procedures will not be construed to restrict either Party’s ability to take any action that it deems to be appropriate or required of it under the applicable regulatory requirements, if permitted by Applicable Law. Without limiting the foregoing, (a) Company will promptly disclose to Vertex in writing any information in Company’s possession or control regarding the occurrence of any Adverse Event related to [***], and (b) Vertex will promptly disclose to the Company in writing any information in Vertex’s possession or control regarding the occurrence of any Adverse Event related to [***].</w:t>
      </w:r>
    </w:p>
    <w:p>
      <w:pPr>
        <w:spacing w:after="0" w:line="148"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b w:val="1"/>
          <w:bCs w:val="1"/>
          <w:color w:val="auto"/>
        </w:rPr>
        <w:t>2.8.2. Safety Data</w:t>
      </w:r>
      <w:r>
        <w:rPr>
          <w:rFonts w:ascii="Times New Roman" w:cs="Times New Roman" w:eastAsia="Times New Roman" w:hAnsi="Times New Roman"/>
          <w:sz w:val="22"/>
          <w:szCs w:val="22"/>
          <w:color w:val="auto"/>
        </w:rPr>
        <w:t>. Upon Vertex’s request, the Parties will negotiate and enter into a separate safety data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exchange agreement (a “</w:t>
      </w:r>
      <w:r>
        <w:rPr>
          <w:rFonts w:ascii="Times New Roman" w:cs="Times New Roman" w:eastAsia="Times New Roman" w:hAnsi="Times New Roman"/>
          <w:sz w:val="22"/>
          <w:szCs w:val="22"/>
          <w:b w:val="1"/>
          <w:bCs w:val="1"/>
          <w:color w:val="auto"/>
        </w:rPr>
        <w:t>Safety Data Exchange Agreement</w:t>
      </w:r>
      <w:r>
        <w:rPr>
          <w:rFonts w:ascii="Times New Roman" w:cs="Times New Roman" w:eastAsia="Times New Roman" w:hAnsi="Times New Roman"/>
          <w:sz w:val="22"/>
          <w:szCs w:val="22"/>
          <w:color w:val="auto"/>
        </w:rPr>
        <w:t>”). The Safety Data Exchange Agreement will set forth guidelines and procedures for the receipt, investigation, recording, review, communication, reporting and exchange between the Parties of Adverse Event reports and Other Safety Information, that, for purposes of information exchange between the Parties, will include Adverse Events and serious Adverse Events, and any other information concerning or impacting the safety of any Product or Licensed Agent. Without limiting the foregoing, upon Vertex’s request, the Parties will meet to establish a safety oversight working group comprised of members of both Parties, which, except as otherwise provided in the Safety Data Exchange Agreement, will discuss and establish processes and procedures for sharing information needed to support each Party’s regulatory responsibilities and to comply with applicable regulatory pharmacovigilance requirements. Any such procedures will not be construed to restrict either Party’s ability to take any action that it deems to be appropriate or required of it under the applicable regulatory requirements, if permitted by Applicable Law. Without limiting the foregoing, (a) Company will promptly disclose to Vertex in writing any information in Company’s possession regarding the occurrence of any Adverse Event or any Other Safety Information, in each case, that [***] and (b) Vertex will promptly disclose to Company in writing any information in Vertex’s possession regarding the occurrence of any Adverse Event or other Safety Information, in each case ((a) and (b)), that [***]. In addition, Vertex will (a) maintain a unified worldwide Adverse Event database for Products, and be responsible for reporting Adverse Events and serious Adverse Events to the applicable Regulatory Authorities and (b) be responsible for all signal detection and risk management activities with respect to Products and will develop and approve the contents of all safety communications to Regulatory Authorities, including expedited non-clinical and clinical safety reports and aggregate reports to health authorities, institutional review boards and ethics committees.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jc w:val="center"/>
        <w:spacing w:after="0"/>
        <w:rPr>
          <w:sz w:val="20"/>
          <w:szCs w:val="20"/>
          <w:color w:val="auto"/>
        </w:rPr>
      </w:pPr>
      <w:r>
        <w:rPr>
          <w:rFonts w:ascii="Times New Roman" w:cs="Times New Roman" w:eastAsia="Times New Roman" w:hAnsi="Times New Roman"/>
          <w:sz w:val="22"/>
          <w:szCs w:val="22"/>
          <w:b w:val="1"/>
          <w:bCs w:val="1"/>
          <w:color w:val="auto"/>
        </w:rPr>
        <w:t>GOVERNANCE</w:t>
      </w:r>
    </w:p>
    <w:p>
      <w:pPr>
        <w:spacing w:after="0" w:line="15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b w:val="1"/>
          <w:bCs w:val="1"/>
          <w:u w:val="single" w:color="auto"/>
          <w:color w:val="auto"/>
        </w:rPr>
        <w:t>Joint Research Committee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b w:val="1"/>
          <w:bCs w:val="1"/>
          <w:color w:val="auto"/>
        </w:rPr>
        <w:t>3.1.1. Formation</w:t>
      </w:r>
      <w:r>
        <w:rPr>
          <w:rFonts w:ascii="Times New Roman" w:cs="Times New Roman" w:eastAsia="Times New Roman" w:hAnsi="Times New Roman"/>
          <w:sz w:val="22"/>
          <w:szCs w:val="22"/>
          <w:color w:val="auto"/>
        </w:rPr>
        <w:t>. Within [***] after the Effective Date, the Parties will establish a joint steering committee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JRC</w:t>
      </w:r>
      <w:r>
        <w:rPr>
          <w:rFonts w:ascii="Times New Roman" w:cs="Times New Roman" w:eastAsia="Times New Roman" w:hAnsi="Times New Roman"/>
          <w:sz w:val="22"/>
          <w:szCs w:val="22"/>
          <w:color w:val="auto"/>
        </w:rPr>
        <w:t xml:space="preserve">”) to oversee and coordinate Research Activities during the Research Term. The JRC will be composed of [***] representatives from each Party or such other equal number of representatives from each Party as the JRC may from time to time agree. Each Party’s representatives on the JRC will be employees of such Party or its Affiliate of the seniority and experience appropriate in light of the functions, responsibilities and authority of the JRC. In addition, each Party may invite a reasonable number of additional representatives to participate in discussions and meetings of the JRC in a non-voting capacity;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any such additional representatives that are not employees of such Party will be subject to the prior written consent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other Party, which consent may be provided by its Alliance Manager, such consent not to be unreasonably withheld, conditioned, or delayed. Each Party’s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391" w:right="339" w:bottom="1440" w:gutter="0" w:footer="0" w:header="0"/>
        </w:sectPr>
      </w:pPr>
    </w:p>
    <w:bookmarkStart w:id="281" w:name="page282"/>
    <w:bookmarkEnd w:id="281"/>
    <w:p>
      <w:pPr>
        <w:jc w:val="both"/>
        <w:spacing w:after="0" w:line="220" w:lineRule="auto"/>
        <w:rPr>
          <w:sz w:val="20"/>
          <w:szCs w:val="20"/>
          <w:color w:val="auto"/>
        </w:rPr>
      </w:pPr>
      <w:r>
        <w:rPr>
          <w:rFonts w:ascii="Times New Roman" w:cs="Times New Roman" w:eastAsia="Times New Roman" w:hAnsi="Times New Roman"/>
          <w:sz w:val="21"/>
          <w:szCs w:val="21"/>
          <w:color w:val="auto"/>
        </w:rPr>
        <w:t>representatives on the JRC and all other individuals participating in discussions and meetings of the JRC on behalf of a Party will be subject to confidentiality and non-use obligations with respect to information disclosed at such meeting that are no less restrictive than the provisions of ARTICLE 10 except with respect to the duration of such obligations which will be commercially reasonable. Each Party may replace its representatives on the JRC at any time by providing notice in writing to the other Party.</w:t>
      </w:r>
    </w:p>
    <w:p>
      <w:pPr>
        <w:spacing w:after="0" w:line="3" w:lineRule="exact"/>
        <w:rPr>
          <w:sz w:val="20"/>
          <w:szCs w:val="20"/>
          <w:color w:val="auto"/>
        </w:rPr>
      </w:pPr>
    </w:p>
    <w:p>
      <w:pPr>
        <w:jc w:val="both"/>
        <w:ind w:firstLine="8"/>
        <w:spacing w:after="0" w:line="218" w:lineRule="auto"/>
        <w:tabs>
          <w:tab w:leader="none" w:pos="559"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designate the chairperson of the JRC. The chairperson of the JRC will be responsible for setting the agenda for meetings of the JRC with input from the other members, and for conducting the meetings of the JRC. The JRC will conduct its responsibilities hereunder in good faith and with reasonable care and diligence.</w:t>
      </w:r>
    </w:p>
    <w:p>
      <w:pPr>
        <w:spacing w:after="0" w:line="147"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2"/>
          <w:szCs w:val="22"/>
          <w:b w:val="1"/>
          <w:bCs w:val="1"/>
          <w:color w:val="auto"/>
        </w:rPr>
        <w:t>3.1.2.</w:t>
      </w:r>
      <w:r>
        <w:rPr>
          <w:sz w:val="20"/>
          <w:szCs w:val="20"/>
          <w:color w:val="auto"/>
        </w:rPr>
        <w:tab/>
      </w:r>
      <w:r>
        <w:rPr>
          <w:rFonts w:ascii="Times New Roman" w:cs="Times New Roman" w:eastAsia="Times New Roman" w:hAnsi="Times New Roman"/>
          <w:sz w:val="21"/>
          <w:szCs w:val="21"/>
          <w:b w:val="1"/>
          <w:bCs w:val="1"/>
          <w:color w:val="auto"/>
        </w:rPr>
        <w:t>Responsibilities</w:t>
      </w:r>
      <w:r>
        <w:rPr>
          <w:rFonts w:ascii="Times New Roman" w:cs="Times New Roman" w:eastAsia="Times New Roman" w:hAnsi="Times New Roman"/>
          <w:sz w:val="21"/>
          <w:szCs w:val="21"/>
          <w:color w:val="auto"/>
        </w:rPr>
        <w:t>. The JRC will:</w:t>
      </w:r>
    </w:p>
    <w:p>
      <w:pPr>
        <w:spacing w:after="0" w:line="183" w:lineRule="exact"/>
        <w:rPr>
          <w:sz w:val="20"/>
          <w:szCs w:val="20"/>
          <w:color w:val="auto"/>
        </w:rPr>
      </w:pPr>
    </w:p>
    <w:p>
      <w:pPr>
        <w:ind w:right="20" w:firstLine="1952"/>
        <w:spacing w:after="0" w:line="236" w:lineRule="auto"/>
        <w:tabs>
          <w:tab w:leader="none" w:pos="2446"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 forum for the Parties to discuss the progress of the Research Activities and address issues and share information relating thereto;</w:t>
      </w:r>
    </w:p>
    <w:p>
      <w:pPr>
        <w:spacing w:after="0" w:line="150" w:lineRule="exact"/>
        <w:rPr>
          <w:rFonts w:ascii="Times New Roman" w:cs="Times New Roman" w:eastAsia="Times New Roman" w:hAnsi="Times New Roman"/>
          <w:sz w:val="22"/>
          <w:szCs w:val="22"/>
          <w:color w:val="auto"/>
        </w:rPr>
      </w:pPr>
    </w:p>
    <w:p>
      <w:pPr>
        <w:ind w:firstLine="1952"/>
        <w:spacing w:after="0" w:line="236" w:lineRule="auto"/>
        <w:tabs>
          <w:tab w:leader="none" w:pos="2448"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consider for approval, and if so determined, approve, each amendment to the Research Plan, including the Research Budget;</w:t>
      </w:r>
    </w:p>
    <w:p>
      <w:pPr>
        <w:spacing w:after="0" w:line="150" w:lineRule="exact"/>
        <w:rPr>
          <w:rFonts w:ascii="Times New Roman" w:cs="Times New Roman" w:eastAsia="Times New Roman" w:hAnsi="Times New Roman"/>
          <w:sz w:val="22"/>
          <w:szCs w:val="22"/>
          <w:color w:val="auto"/>
        </w:rPr>
      </w:pPr>
    </w:p>
    <w:p>
      <w:pPr>
        <w:ind w:firstLine="1952"/>
        <w:spacing w:after="0" w:line="236" w:lineRule="auto"/>
        <w:tabs>
          <w:tab w:leader="none" w:pos="244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all material Research Activities undertaken by or on behalf of the Parties under the Research Plan, including the exchange and review of data and information generated pursuant to the Research Plan;</w:t>
      </w:r>
    </w:p>
    <w:p>
      <w:pPr>
        <w:spacing w:after="0" w:line="150"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oversee and coordinate the transfer of Licensed Technology to Vertex; and</w:t>
      </w:r>
    </w:p>
    <w:p>
      <w:pPr>
        <w:spacing w:after="0" w:line="179"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such other duties as are specifically assigned to the JRC under this Agreement.</w:t>
      </w:r>
    </w:p>
    <w:p>
      <w:pPr>
        <w:spacing w:after="0" w:line="175"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2"/>
          <w:szCs w:val="22"/>
          <w:b w:val="1"/>
          <w:bCs w:val="1"/>
          <w:color w:val="auto"/>
        </w:rPr>
        <w:t>3.1.3.</w:t>
      </w:r>
      <w:r>
        <w:rPr>
          <w:sz w:val="20"/>
          <w:szCs w:val="20"/>
          <w:color w:val="auto"/>
        </w:rPr>
        <w:tab/>
      </w:r>
      <w:r>
        <w:rPr>
          <w:rFonts w:ascii="Times New Roman" w:cs="Times New Roman" w:eastAsia="Times New Roman" w:hAnsi="Times New Roman"/>
          <w:sz w:val="21"/>
          <w:szCs w:val="21"/>
          <w:b w:val="1"/>
          <w:bCs w:val="1"/>
          <w:color w:val="auto"/>
        </w:rPr>
        <w:t>Meetings; Minutes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952"/>
        <w:spacing w:after="0" w:line="220" w:lineRule="auto"/>
        <w:tabs>
          <w:tab w:leader="none" w:pos="2433"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JRC will meet in person or by teleconference at least [***] on such dates and at such times and places as agreed to by the members of the JRC;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at least one such meeting per [***] will be in person unless the Parties agree otherwise. Each Party will be responsible for its own expenses relating to attendance at, or participation in, JRC meetings.</w:t>
      </w:r>
    </w:p>
    <w:p>
      <w:pPr>
        <w:spacing w:after="0" w:line="152" w:lineRule="exact"/>
        <w:rPr>
          <w:rFonts w:ascii="Times New Roman" w:cs="Times New Roman" w:eastAsia="Times New Roman" w:hAnsi="Times New Roman"/>
          <w:sz w:val="22"/>
          <w:szCs w:val="22"/>
          <w:color w:val="auto"/>
        </w:rPr>
      </w:pPr>
    </w:p>
    <w:p>
      <w:pPr>
        <w:jc w:val="both"/>
        <w:ind w:firstLine="1952"/>
        <w:spacing w:after="0" w:line="215" w:lineRule="auto"/>
        <w:tabs>
          <w:tab w:leader="none" w:pos="2434"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Alliance Managers will provide the members of the JRC with draft written minutes for approval from each meeting within [***] after each such meeting. The responsibility for preparing the minutes will alternate between the Alliance Managers on a meeting-by-meeting basis. If the minutes of any meeting of the JRC are not approved by the JRC (with each Party’s representatives on the JRC collectively having one vote and without regard to the decision-making procedure set forth in Section 3.1.4) within [***] after the meeting, the objecting Party will append a notice of objection with the specific details of the objection to the proposed minutes.</w:t>
      </w:r>
    </w:p>
    <w:p>
      <w:pPr>
        <w:spacing w:after="0" w:line="148" w:lineRule="exact"/>
        <w:rPr>
          <w:sz w:val="20"/>
          <w:szCs w:val="20"/>
          <w:color w:val="auto"/>
        </w:rPr>
      </w:pPr>
    </w:p>
    <w:p>
      <w:pPr>
        <w:jc w:val="both"/>
        <w:ind w:firstLine="1296"/>
        <w:spacing w:after="0" w:line="214" w:lineRule="auto"/>
        <w:rPr>
          <w:sz w:val="20"/>
          <w:szCs w:val="20"/>
          <w:color w:val="auto"/>
        </w:rPr>
      </w:pPr>
      <w:r>
        <w:rPr>
          <w:rFonts w:ascii="Times New Roman" w:cs="Times New Roman" w:eastAsia="Times New Roman" w:hAnsi="Times New Roman"/>
          <w:sz w:val="22"/>
          <w:szCs w:val="22"/>
          <w:b w:val="1"/>
          <w:bCs w:val="1"/>
          <w:color w:val="auto"/>
        </w:rPr>
        <w:t>3.1.4. Decision-Making</w:t>
      </w:r>
      <w:r>
        <w:rPr>
          <w:rFonts w:ascii="Times New Roman" w:cs="Times New Roman" w:eastAsia="Times New Roman" w:hAnsi="Times New Roman"/>
          <w:sz w:val="22"/>
          <w:szCs w:val="22"/>
          <w:color w:val="auto"/>
        </w:rPr>
        <w:t>. Each Party’s representatives on the JRC will collectively have one vote on all matters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within the scope of the JRC’s responsibilities. The JRC members will use reasonable efforts to reach agreement on all JRC matters. If the JRC is unable to reach agreement with respect to a particular matter for which it is responsible within [***] after the matter is first presented to the JRC, the matter will be referred to the Executive Officers, who will use reasonable efforts to reach agreement on such matter. If such Executive Officers are unable to reach agreement with respect to a particular matter within [***] after the matter is first referred to such Executive Officers, [***] will have the right to make the final decision with respect to such matter;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 Subject to the foregoing,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395" w:right="339" w:bottom="1440" w:gutter="0" w:footer="0" w:header="0"/>
        </w:sectPr>
      </w:pPr>
    </w:p>
    <w:bookmarkStart w:id="282" w:name="page283"/>
    <w:bookmarkEnd w:id="282"/>
    <w:p>
      <w:pPr>
        <w:jc w:val="both"/>
        <w:ind w:firstLine="1296"/>
        <w:spacing w:after="0" w:line="238" w:lineRule="auto"/>
        <w:rPr>
          <w:sz w:val="20"/>
          <w:szCs w:val="20"/>
          <w:color w:val="auto"/>
        </w:rPr>
      </w:pPr>
      <w:r>
        <w:rPr>
          <w:rFonts w:ascii="Times New Roman" w:cs="Times New Roman" w:eastAsia="Times New Roman" w:hAnsi="Times New Roman"/>
          <w:sz w:val="21"/>
          <w:szCs w:val="21"/>
          <w:b w:val="1"/>
          <w:bCs w:val="1"/>
          <w:color w:val="auto"/>
        </w:rPr>
        <w:t>3.1.5. Discontinuation of the JRC</w:t>
      </w:r>
      <w:r>
        <w:rPr>
          <w:rFonts w:ascii="Times New Roman" w:cs="Times New Roman" w:eastAsia="Times New Roman" w:hAnsi="Times New Roman"/>
          <w:sz w:val="21"/>
          <w:szCs w:val="21"/>
          <w:color w:val="auto"/>
        </w:rPr>
        <w:t>. The JRC’s authority will continue to exist until the first to occur of (a)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Parties mutually agreeing to disband the JRC and (b) the completion of the earlier of the Research Program or the Research Term. Following any termination of the JRC, any communications designated to occur at the JRC will occur between the Parties.</w:t>
      </w:r>
    </w:p>
    <w:p>
      <w:pPr>
        <w:spacing w:after="0" w:line="146"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b w:val="1"/>
          <w:bCs w:val="1"/>
          <w:u w:val="single" w:color="auto"/>
          <w:color w:val="auto"/>
        </w:rPr>
        <w:t>IP Committee</w:t>
      </w:r>
      <w:r>
        <w:rPr>
          <w:rFonts w:ascii="Times New Roman" w:cs="Times New Roman" w:eastAsia="Times New Roman" w:hAnsi="Times New Roman"/>
          <w:sz w:val="22"/>
          <w:szCs w:val="22"/>
          <w:color w:val="auto"/>
        </w:rPr>
        <w:t>. Within [***] days after the Effective Date, the Parties will form an intellectual property committee (the “</w:t>
      </w:r>
      <w:r>
        <w:rPr>
          <w:rFonts w:ascii="Times New Roman" w:cs="Times New Roman" w:eastAsia="Times New Roman" w:hAnsi="Times New Roman"/>
          <w:sz w:val="22"/>
          <w:szCs w:val="22"/>
          <w:b w:val="1"/>
          <w:bCs w:val="1"/>
          <w:color w:val="auto"/>
        </w:rPr>
        <w:t>IP Committee</w:t>
      </w:r>
      <w:r>
        <w:rPr>
          <w:rFonts w:ascii="Times New Roman" w:cs="Times New Roman" w:eastAsia="Times New Roman" w:hAnsi="Times New Roman"/>
          <w:sz w:val="22"/>
          <w:szCs w:val="22"/>
          <w:color w:val="auto"/>
        </w:rPr>
        <w:t xml:space="preserve">”), composed of [***] representatives from each Party that are employees of such Party or its Affiliates having relevant expertise, to coordinate the Prosecution and Maintenance and enforcement of Company Agreement Patents, Licensed Patents and Joint Agreement Patents. The IP Committee will meet in person or by means of telephone or video conference at least [***] each [***] during the Term or as the IP Committee may otherwise agree. Each Party may replace its representatives on the IP Committee at any time by providing notice in writing to the other Party. The IP Committee will have no decision-making authority but will act as a forum for discussion between the Parties with respect to matters relating to the ownership, prosecution and enforcement of Patents pursuant to this Agreement. In addition, each Party may invite a reasonable number of additional subject matter experts or relevant personnel of such Party to participate in discussions and meetings of the IP Committee;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any such additional subject matter experts or relevant personnel that are not employees of such Party will be subject to the prior written consent of the other Party, which consent may be provided by its Alliance Manager, such consent not to be unreasonably withheld, conditioned, or delayed. Each Party’s representatives on the IP Committee and all other individuals attending or participating in discussions and meetings of the IP Committee on behalf of a Party will be bound under written confidentiality and non-use obligations with respect to information disclosed at such meeting that are no less restrictive than the provisions of ARTICLE 10 except with respect to the duration of such obligations which will be commercially reasonable.</w:t>
      </w:r>
    </w:p>
    <w:p>
      <w:pPr>
        <w:spacing w:after="0" w:line="147"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b w:val="1"/>
          <w:bCs w:val="1"/>
          <w:u w:val="single" w:color="auto"/>
          <w:color w:val="auto"/>
        </w:rPr>
        <w:t>Other Committees</w:t>
      </w:r>
      <w:r>
        <w:rPr>
          <w:rFonts w:ascii="Times New Roman" w:cs="Times New Roman" w:eastAsia="Times New Roman" w:hAnsi="Times New Roman"/>
          <w:sz w:val="22"/>
          <w:szCs w:val="22"/>
          <w:color w:val="auto"/>
        </w:rPr>
        <w:t>. The JRC may, by mutual agreement, form such other committees or working groups as may be necessary or desirable to facilitate activities under this Agreement and delegate certain responsibilities of the JRC to such committees or working groups. Any dispute arising from such committees or working groups will be escalated to the JRC for resolution.</w:t>
      </w:r>
    </w:p>
    <w:p>
      <w:pPr>
        <w:spacing w:after="0" w:line="14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b w:val="1"/>
          <w:bCs w:val="1"/>
          <w:u w:val="single" w:color="auto"/>
          <w:color w:val="auto"/>
        </w:rPr>
        <w:t>Alliance Managers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3.4.1. Appointment</w:t>
      </w:r>
      <w:r>
        <w:rPr>
          <w:rFonts w:ascii="Times New Roman" w:cs="Times New Roman" w:eastAsia="Times New Roman" w:hAnsi="Times New Roman"/>
          <w:sz w:val="22"/>
          <w:szCs w:val="22"/>
          <w:color w:val="auto"/>
        </w:rPr>
        <w:t>. Each Party will appoint a representative of such Party to act as its alliance manager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(each, an “</w:t>
      </w:r>
      <w:r>
        <w:rPr>
          <w:rFonts w:ascii="Times New Roman" w:cs="Times New Roman" w:eastAsia="Times New Roman" w:hAnsi="Times New Roman"/>
          <w:sz w:val="22"/>
          <w:szCs w:val="22"/>
          <w:b w:val="1"/>
          <w:bCs w:val="1"/>
          <w:color w:val="auto"/>
        </w:rPr>
        <w:t>Alliance Manager</w:t>
      </w:r>
      <w:r>
        <w:rPr>
          <w:rFonts w:ascii="Times New Roman" w:cs="Times New Roman" w:eastAsia="Times New Roman" w:hAnsi="Times New Roman"/>
          <w:sz w:val="22"/>
          <w:szCs w:val="22"/>
          <w:color w:val="auto"/>
        </w:rPr>
        <w:t>”). Each Party will notify the other of its Alliance Manager within [***] of the Effective Date. Each Party may replace its Alliance Manager at any time upon notice to the other Party.</w:t>
      </w:r>
    </w:p>
    <w:p>
      <w:pPr>
        <w:spacing w:after="0" w:line="146"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3.4.2. Specific Responsibilities</w:t>
      </w:r>
      <w:r>
        <w:rPr>
          <w:rFonts w:ascii="Times New Roman" w:cs="Times New Roman" w:eastAsia="Times New Roman" w:hAnsi="Times New Roman"/>
          <w:sz w:val="22"/>
          <w:szCs w:val="22"/>
          <w:color w:val="auto"/>
        </w:rPr>
        <w:t>. Unless the Parties otherwise agree, the Alliance Managers will attend meetings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JRC but may not be members of the JRC. The Alliance Managers will serve as the primary contact point between the Parties for the purpose of providing each Party with information regarding the other Parties’ activities pursuant to this Agreement and will have the following responsibilities:</w:t>
      </w:r>
    </w:p>
    <w:p>
      <w:pPr>
        <w:spacing w:after="0" w:line="152" w:lineRule="exact"/>
        <w:rPr>
          <w:sz w:val="20"/>
          <w:szCs w:val="20"/>
          <w:color w:val="auto"/>
        </w:rPr>
      </w:pPr>
    </w:p>
    <w:p>
      <w:pPr>
        <w:ind w:left="2400" w:hanging="448"/>
        <w:spacing w:after="0"/>
        <w:tabs>
          <w:tab w:leader="none" w:pos="240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meetings of the JRC and circulate draft written minutes as provided in Section 3.1.3(b);</w:t>
      </w:r>
    </w:p>
    <w:p>
      <w:pPr>
        <w:spacing w:after="0" w:line="179" w:lineRule="exact"/>
        <w:rPr>
          <w:rFonts w:ascii="Times New Roman" w:cs="Times New Roman" w:eastAsia="Times New Roman" w:hAnsi="Times New Roman"/>
          <w:sz w:val="22"/>
          <w:szCs w:val="22"/>
          <w:color w:val="auto"/>
        </w:rPr>
      </w:pPr>
    </w:p>
    <w:p>
      <w:pPr>
        <w:ind w:firstLine="1952"/>
        <w:spacing w:after="0" w:line="236" w:lineRule="auto"/>
        <w:tabs>
          <w:tab w:leader="none" w:pos="2693"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facilitate the flow of information and otherwise promote communication, coordination and collaboration between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391" w:right="339" w:bottom="1440" w:gutter="0" w:footer="0" w:header="0"/>
        </w:sectPr>
      </w:pPr>
    </w:p>
    <w:bookmarkStart w:id="283" w:name="page284"/>
    <w:bookmarkEnd w:id="283"/>
    <w:p>
      <w:pPr>
        <w:ind w:right="20" w:firstLine="1952"/>
        <w:spacing w:after="0" w:line="236" w:lineRule="auto"/>
        <w:tabs>
          <w:tab w:leader="none" w:pos="2444"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 single point of communication for seeking consensus both internally within the respective Party’s organization and between the Parties regarding key strategy and planning issues; and</w:t>
      </w:r>
    </w:p>
    <w:p>
      <w:pPr>
        <w:spacing w:after="0" w:line="150"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such other functions as requested by the JRC.</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jc w:val="center"/>
        <w:spacing w:after="0"/>
        <w:rPr>
          <w:sz w:val="20"/>
          <w:szCs w:val="20"/>
          <w:color w:val="auto"/>
        </w:rPr>
      </w:pPr>
      <w:r>
        <w:rPr>
          <w:rFonts w:ascii="Times New Roman" w:cs="Times New Roman" w:eastAsia="Times New Roman" w:hAnsi="Times New Roman"/>
          <w:sz w:val="22"/>
          <w:szCs w:val="22"/>
          <w:b w:val="1"/>
          <w:bCs w:val="1"/>
          <w:color w:val="auto"/>
        </w:rPr>
        <w:t>LICENSE GRANTS; EXCLUSIVITY</w:t>
      </w:r>
    </w:p>
    <w:p>
      <w:pPr>
        <w:spacing w:after="0" w:line="15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b w:val="1"/>
          <w:bCs w:val="1"/>
          <w:u w:val="single" w:color="auto"/>
          <w:color w:val="auto"/>
        </w:rPr>
        <w:t>License Grant to Vertex</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4.1.1. License</w:t>
      </w:r>
      <w:r>
        <w:rPr>
          <w:rFonts w:ascii="Times New Roman" w:cs="Times New Roman" w:eastAsia="Times New Roman" w:hAnsi="Times New Roman"/>
          <w:sz w:val="22"/>
          <w:szCs w:val="22"/>
          <w:color w:val="auto"/>
        </w:rPr>
        <w:t>. Subject to the terms of this Agreement, effective upon the Effective Date, Company will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hereby grants to Vertex and its Affiliates an exclusive, royalty-bearing license, including the right to grant Sublicenses through [***] tiers in accordance with Section 4.1.2, under Company’s and its Affiliates’ interest in the Licensed Technology to Exploit the Licensed Agents and Products in the Field in the Territory.</w:t>
      </w:r>
    </w:p>
    <w:p>
      <w:pPr>
        <w:spacing w:after="0" w:line="148" w:lineRule="exact"/>
        <w:rPr>
          <w:sz w:val="20"/>
          <w:szCs w:val="20"/>
          <w:color w:val="auto"/>
        </w:rPr>
      </w:pPr>
    </w:p>
    <w:p>
      <w:pPr>
        <w:jc w:val="both"/>
        <w:ind w:firstLine="1296"/>
        <w:spacing w:after="0" w:line="214" w:lineRule="auto"/>
        <w:rPr>
          <w:sz w:val="20"/>
          <w:szCs w:val="20"/>
          <w:color w:val="auto"/>
        </w:rPr>
      </w:pPr>
      <w:r>
        <w:rPr>
          <w:rFonts w:ascii="Times New Roman" w:cs="Times New Roman" w:eastAsia="Times New Roman" w:hAnsi="Times New Roman"/>
          <w:sz w:val="22"/>
          <w:szCs w:val="22"/>
          <w:b w:val="1"/>
          <w:bCs w:val="1"/>
          <w:color w:val="auto"/>
        </w:rPr>
        <w:t>4.1.2. Sublicensing</w:t>
      </w:r>
      <w:r>
        <w:rPr>
          <w:rFonts w:ascii="Times New Roman" w:cs="Times New Roman" w:eastAsia="Times New Roman" w:hAnsi="Times New Roman"/>
          <w:sz w:val="22"/>
          <w:szCs w:val="22"/>
          <w:color w:val="auto"/>
        </w:rPr>
        <w:t>. Vertex and its Affiliates may grant Sublicenses of any rights granted to Vertex and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by Company under this Agreement through [***] tiers of Sublicenses to one or more Third Parties. Each such Sublicense will be subject to a written agreement that is consistent with the terms of this Agreement. Vertex will remain responsible for each such Third Party’s compliance with the applicable terms of this Agreement. No later than [***] following the date upon which each Sublicense becomes effective, Vertex will provide Company with a true and complete copy of each Sublicense (including the identity of the Sublicensee and, if applicable, the region or field in which such rights have been sublicensed), subject to [***].</w:t>
      </w:r>
    </w:p>
    <w:p>
      <w:pPr>
        <w:spacing w:after="0" w:line="149"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4.1.3. Limitations</w:t>
      </w:r>
      <w:r>
        <w:rPr>
          <w:rFonts w:ascii="Times New Roman" w:cs="Times New Roman" w:eastAsia="Times New Roman" w:hAnsi="Times New Roman"/>
          <w:sz w:val="22"/>
          <w:szCs w:val="22"/>
          <w:color w:val="auto"/>
        </w:rPr>
        <w:t>. Notwithstanding the license granted to Vertex pursuant to Section 4.1.1 and without limiting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4.4 or Section 4.5, Company will retain rights under the Licensed Technology for the purpose of [***]. Notwithstanding anything to the contrary in this Agreement, Company does not and will not be obligated to grant any licenses or other rights to Vertex with respect to Other Products contained in any Product that is a Combination Product.</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b w:val="1"/>
          <w:bCs w:val="1"/>
          <w:u w:val="single" w:color="auto"/>
          <w:color w:val="auto"/>
        </w:rPr>
        <w:t>License Grant to Company</w:t>
      </w:r>
      <w:r>
        <w:rPr>
          <w:rFonts w:ascii="Times New Roman" w:cs="Times New Roman" w:eastAsia="Times New Roman" w:hAnsi="Times New Roman"/>
          <w:sz w:val="21"/>
          <w:szCs w:val="21"/>
          <w:color w:val="auto"/>
        </w:rPr>
        <w:t>. Subject to the terms and conditions of this Agreement, effective upon the Effective Date, Vertex will grant and hereby grants to Company and its Affiliates a non-exclusive license in the Territory, with no right to grant sublicenses except to permitted Subcontractors, under (a) any Know-How Controlled by Vertex or its Affiliates and actually provided to Company hereunder, and (b) any Patents Controlled by Vertex or its Affiliates necessary or useful to perform the Research Activities or Additional Research Activities, if applicable, or to Manufacture the Licensed Agents and Products, in each case ((a) and (b)), (y) during the Research Term, solely to perform any Research Activities allocated to Company under the Research Plan or any Additional Research Activities allocated to Company under an Additional Research Plan, if applicable, and</w:t>
      </w:r>
    </w:p>
    <w:p>
      <w:pPr>
        <w:spacing w:after="0" w:line="5" w:lineRule="exact"/>
        <w:rPr>
          <w:sz w:val="20"/>
          <w:szCs w:val="20"/>
          <w:color w:val="auto"/>
        </w:rPr>
      </w:pPr>
    </w:p>
    <w:p>
      <w:pPr>
        <w:jc w:val="both"/>
        <w:ind w:firstLine="8"/>
        <w:spacing w:after="0" w:line="212" w:lineRule="auto"/>
        <w:tabs>
          <w:tab w:leader="none" w:pos="294"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Manufacturing Transfer Date, solely to manufacture Licensed Agents and Products (i) expected to be used by each Party to complete the Research Activities allocated to it under such Research Plan and for Company to complete Additional Research Activities allocated to Company under an Additional Research Plan, if applicable, and (ii) to perform other Research and Development activities as expressly contemplated under this Agreement or the Supply Agreement, if applicable or agreed by the Parties.</w:t>
      </w:r>
    </w:p>
    <w:p>
      <w:pPr>
        <w:spacing w:after="0" w:line="15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b w:val="1"/>
          <w:bCs w:val="1"/>
          <w:u w:val="single" w:color="auto"/>
          <w:color w:val="auto"/>
        </w:rPr>
        <w:t>Technology Transfer</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4.3.1. Initial Transfer</w:t>
      </w:r>
      <w:r>
        <w:rPr>
          <w:rFonts w:ascii="Times New Roman" w:cs="Times New Roman" w:eastAsia="Times New Roman" w:hAnsi="Times New Roman"/>
          <w:sz w:val="22"/>
          <w:szCs w:val="22"/>
          <w:color w:val="auto"/>
        </w:rPr>
        <w:t>. Promptly following the Effective Date, Company will transfer to Vertex a copy of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Licensed Know-How [***] for Vertex to perform its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395" w:right="339" w:bottom="1440" w:gutter="0" w:footer="0" w:header="0"/>
        </w:sectPr>
      </w:pPr>
    </w:p>
    <w:bookmarkStart w:id="284" w:name="page285"/>
    <w:bookmarkEnd w:id="284"/>
    <w:p>
      <w:pPr>
        <w:jc w:val="both"/>
        <w:spacing w:after="0" w:line="236" w:lineRule="auto"/>
        <w:rPr>
          <w:sz w:val="20"/>
          <w:szCs w:val="20"/>
          <w:color w:val="auto"/>
        </w:rPr>
      </w:pPr>
      <w:r>
        <w:rPr>
          <w:rFonts w:ascii="Times New Roman" w:cs="Times New Roman" w:eastAsia="Times New Roman" w:hAnsi="Times New Roman"/>
          <w:sz w:val="22"/>
          <w:szCs w:val="22"/>
          <w:color w:val="auto"/>
        </w:rPr>
        <w:t>Activities under the Research Plan, including any documentation (whether held in paper or electronic format and including copies of standard operating procedures or technical specifications), materials and other embodiments of Licensed Know-How.</w:t>
      </w:r>
    </w:p>
    <w:p>
      <w:pPr>
        <w:spacing w:after="0" w:line="146"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b w:val="1"/>
          <w:bCs w:val="1"/>
          <w:color w:val="auto"/>
        </w:rPr>
        <w:t>4.3.2. Additional Transfer</w:t>
      </w:r>
      <w:r>
        <w:rPr>
          <w:rFonts w:ascii="Times New Roman" w:cs="Times New Roman" w:eastAsia="Times New Roman" w:hAnsi="Times New Roman"/>
          <w:sz w:val="22"/>
          <w:szCs w:val="22"/>
          <w:color w:val="auto"/>
        </w:rPr>
        <w:t>. Following the initial transfer described in Section 4.3.1, Company will provide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updates to Vertex [***] per [***] regarding any newly acquired or generated Licensed Know-How, including information concerning any Products or Licensed Agents, and improved procedures for synthesis or manufacture of Licensed Agents or Product. As reasonably requested by Vertex, Company will promptly provide Vertex with any specific information included in the Licensed Technology that is necessary or useful for Vertex to Exploit the Licensed Compounds or Products. Company will provide such information to Vertex within [***] after Vertex’s request.</w:t>
      </w:r>
    </w:p>
    <w:p>
      <w:pPr>
        <w:spacing w:after="0" w:line="146"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4.3.3. Transfer of Manufacturing Know-How and Materials</w:t>
      </w:r>
      <w:r>
        <w:rPr>
          <w:rFonts w:ascii="Times New Roman" w:cs="Times New Roman" w:eastAsia="Times New Roman" w:hAnsi="Times New Roman"/>
          <w:sz w:val="22"/>
          <w:szCs w:val="22"/>
          <w:color w:val="auto"/>
        </w:rPr>
        <w:t>. Without limiting Company’s other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Section 4.3, promptly following Vertex’s request, Company will, or will cause any relevant Affiliate or Third Party (including any contract manufacturing organization engaged by Company to Manufacture any Licensed Agent or Product) to, transfer to Vertex (a) all Licensed Know-How that is [***] to enable the Manufacture of each Licensed Agent or Product, and not previously transferred to Vertex under this Agreement, by providing copies or samples of relevant documentation (whether held in paper or electronic format and including copies of standard operating procedures or technical specifications), materials and other embodiments of such Licensed Know-How, and by using reasonable efforts to make available its, or the applicable Affiliate’s or Third Party’s, qualified technical personnel on a reasonable basis to consult with Vertex with respect to such Licensed Know-How and (b) at Vertex’s request, any Materials used by Company or its Affiliates or Third Party subcontractors in the Manufacture of such Licensed Agent or Product, excluding any commercially available, off-the-shelf Materials, in each case of (a) and (b), at the sole cost of Vertex.</w:t>
      </w:r>
    </w:p>
    <w:p>
      <w:pPr>
        <w:spacing w:after="0" w:line="157" w:lineRule="exact"/>
        <w:rPr>
          <w:sz w:val="20"/>
          <w:szCs w:val="20"/>
          <w:color w:val="auto"/>
        </w:rPr>
      </w:pPr>
    </w:p>
    <w:p>
      <w:pPr>
        <w:jc w:val="both"/>
        <w:ind w:firstLine="1296"/>
        <w:spacing w:after="0" w:line="214" w:lineRule="auto"/>
        <w:rPr>
          <w:sz w:val="20"/>
          <w:szCs w:val="20"/>
          <w:color w:val="auto"/>
        </w:rPr>
      </w:pPr>
      <w:r>
        <w:rPr>
          <w:rFonts w:ascii="Times New Roman" w:cs="Times New Roman" w:eastAsia="Times New Roman" w:hAnsi="Times New Roman"/>
          <w:sz w:val="22"/>
          <w:szCs w:val="22"/>
          <w:b w:val="1"/>
          <w:bCs w:val="1"/>
          <w:color w:val="auto"/>
        </w:rPr>
        <w:t>4.3.4. Assistance by Company Personnel; Access to Records</w:t>
      </w:r>
      <w:r>
        <w:rPr>
          <w:rFonts w:ascii="Times New Roman" w:cs="Times New Roman" w:eastAsia="Times New Roman" w:hAnsi="Times New Roman"/>
          <w:sz w:val="22"/>
          <w:szCs w:val="22"/>
          <w:color w:val="auto"/>
        </w:rPr>
        <w:t>. To assist with the transfer of Licensed Know-How under this Section 4.3 and Vertex’s exploitation thereof in accordance with the terms of this Agreement, Company will make its personnel reasonably available to Vertex during normal business hours to transfer such Licensed Know-How to Vertex and respond to Vertex’s inquiries with respect thereto and Vertex will be responsible for all FTE Costs and Out-of-Pocket Costs, if applicable. In addition, following the Effective Date, Vertex will have a right, upon reasonable prior notice, to access, review and copy records, including laboratory notebooks and raw data, of Company’s and its Affiliates’ and Subcontractors’ activities under the Research Plan and Additional Research Plan.</w:t>
      </w:r>
    </w:p>
    <w:p>
      <w:pPr>
        <w:spacing w:after="0" w:line="149"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4.3.5. Manufacturing Subcontractors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4.3.5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identifies the Subcontractors that Company has currently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engaged in the Manufacture of the Licensed Agents and Products. At Vertex’s request, Company will use Commercially Reasonable Efforts to assist Vertex in establishing a business relationship with such vendors or contractors. In addition, Company will use Commercially Reasonable Efforts to [***].</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b w:val="1"/>
          <w:bCs w:val="1"/>
          <w:u w:val="single" w:color="auto"/>
          <w:color w:val="auto"/>
        </w:rPr>
        <w:t>No Implied Licenses</w:t>
      </w:r>
      <w:r>
        <w:rPr>
          <w:rFonts w:ascii="Times New Roman" w:cs="Times New Roman" w:eastAsia="Times New Roman" w:hAnsi="Times New Roman"/>
          <w:sz w:val="22"/>
          <w:szCs w:val="22"/>
          <w:color w:val="auto"/>
        </w:rPr>
        <w:t>. Except as expressly provided in this Agreement, neither Party will be deemed by estoppel or implication to have granted the other Party any licenses or other right with respect to any intellectual property.</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b w:val="1"/>
          <w:bCs w:val="1"/>
          <w:u w:val="single" w:color="auto"/>
          <w:color w:val="auto"/>
        </w:rPr>
        <w:t>Exclusivity Covenants</w:t>
      </w:r>
      <w:r>
        <w:rPr>
          <w:rFonts w:ascii="Times New Roman" w:cs="Times New Roman" w:eastAsia="Times New Roman" w:hAnsi="Times New Roman"/>
          <w:sz w:val="22"/>
          <w:szCs w:val="22"/>
          <w:color w:val="auto"/>
        </w:rPr>
        <w:t>. Subject to Section 4.6 and Section 4.7, during the Term, except in the performance of its obligations or exercise of its rights under this Agreement, neither Company nor any of its Affiliates will work independently or for or with, or grant any license or similar right to, any Third Party with respect to the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395" w:right="339" w:bottom="1440" w:gutter="0" w:footer="0" w:header="0"/>
        </w:sectPr>
      </w:pPr>
    </w:p>
    <w:bookmarkStart w:id="285" w:name="page286"/>
    <w:bookmarkEnd w:id="285"/>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b w:val="1"/>
          <w:bCs w:val="1"/>
          <w:u w:val="single" w:color="auto"/>
          <w:color w:val="auto"/>
        </w:rPr>
        <w:t>Acquisition of Distracting Product</w:t>
      </w:r>
      <w:r>
        <w:rPr>
          <w:rFonts w:ascii="Times New Roman" w:cs="Times New Roman" w:eastAsia="Times New Roman" w:hAnsi="Times New Roman"/>
          <w:sz w:val="22"/>
          <w:szCs w:val="22"/>
          <w:color w:val="auto"/>
        </w:rPr>
        <w:t>. Notwithstanding the provisions of Section 4.5, if Company or any of its Affiliates acquires rights to research, develop, manufacture or commercialize a product in the [***] as the result of a merger, acquisition or combination with or of a Third Party other than a Change of Control where Company is the acquired entity (each, an “</w:t>
      </w:r>
      <w:r>
        <w:rPr>
          <w:rFonts w:ascii="Times New Roman" w:cs="Times New Roman" w:eastAsia="Times New Roman" w:hAnsi="Times New Roman"/>
          <w:sz w:val="22"/>
          <w:szCs w:val="22"/>
          <w:b w:val="1"/>
          <w:bCs w:val="1"/>
          <w:color w:val="auto"/>
        </w:rPr>
        <w:t>Acquisition Transaction</w:t>
      </w:r>
      <w:r>
        <w:rPr>
          <w:rFonts w:ascii="Times New Roman" w:cs="Times New Roman" w:eastAsia="Times New Roman" w:hAnsi="Times New Roman"/>
          <w:sz w:val="22"/>
          <w:szCs w:val="22"/>
          <w:color w:val="auto"/>
        </w:rPr>
        <w:t>”) and, on the date of the closing of such Acquisition Transaction, such product is being researched, developed, manufactured or commercialized and such activities would, but for the provisions of this Section 4.6, constitute a breach of Section 4.5 (such product, a “</w:t>
      </w:r>
      <w:r>
        <w:rPr>
          <w:rFonts w:ascii="Times New Roman" w:cs="Times New Roman" w:eastAsia="Times New Roman" w:hAnsi="Times New Roman"/>
          <w:sz w:val="22"/>
          <w:szCs w:val="22"/>
          <w:b w:val="1"/>
          <w:bCs w:val="1"/>
          <w:color w:val="auto"/>
        </w:rPr>
        <w:t>Distracting Product</w:t>
      </w:r>
      <w:r>
        <w:rPr>
          <w:rFonts w:ascii="Times New Roman" w:cs="Times New Roman" w:eastAsia="Times New Roman" w:hAnsi="Times New Roman"/>
          <w:sz w:val="22"/>
          <w:szCs w:val="22"/>
          <w:color w:val="auto"/>
        </w:rPr>
        <w:t>”), Company or such Affiliate will, within [***] after the closing of such Acquisition Transaction notify Vertex in writing of such acquisition and either:</w:t>
      </w:r>
    </w:p>
    <w:p>
      <w:pPr>
        <w:spacing w:after="0" w:line="153" w:lineRule="exact"/>
        <w:rPr>
          <w:sz w:val="20"/>
          <w:szCs w:val="20"/>
          <w:color w:val="auto"/>
        </w:rPr>
      </w:pPr>
    </w:p>
    <w:p>
      <w:pPr>
        <w:jc w:val="both"/>
        <w:ind w:firstLine="1952"/>
        <w:spacing w:after="0" w:line="227" w:lineRule="auto"/>
        <w:tabs>
          <w:tab w:leader="none" w:pos="2496"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request that such Distracting Product be included in this Agreement on terms to be negotiated, in which case, the Parties will discuss the matter in good faith for a period of no less than [***] (or such longer period as may be agreed by the Parties) and, if unable to reach agreement on the terms on which such Distracting Product would be included hereunder within such period, Company will elect to take the action specified in either clause (b) or (c) below;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time periods specified in such clauses will be tolled for so long as the Parties are engaged in discussion under this clause (a);</w:t>
      </w:r>
    </w:p>
    <w:p>
      <w:pPr>
        <w:spacing w:after="0" w:line="153" w:lineRule="exact"/>
        <w:rPr>
          <w:rFonts w:ascii="Times New Roman" w:cs="Times New Roman" w:eastAsia="Times New Roman" w:hAnsi="Times New Roman"/>
          <w:sz w:val="21"/>
          <w:szCs w:val="21"/>
          <w:color w:val="auto"/>
        </w:rPr>
      </w:pPr>
    </w:p>
    <w:p>
      <w:pPr>
        <w:jc w:val="both"/>
        <w:ind w:firstLine="1952"/>
        <w:spacing w:after="0" w:line="225" w:lineRule="auto"/>
        <w:tabs>
          <w:tab w:leader="none" w:pos="2568"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notify Vertex in writing that Company or its Affiliate will Divest its rights to such Distracting Product, in which case, within [***] after the closing of the Acquisition Transaction, Company or its Affiliate will Divest such Distracting Product; or</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609"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notify Vertex in writing that it is ceasing all such research, development, manufacturing and commercialization activities with respect to the Distracting Product, in which case, within [***] after Vertex’s receipt of such notice, Company and its Affiliates will cease all such activities.</w:t>
      </w:r>
    </w:p>
    <w:p>
      <w:pPr>
        <w:spacing w:after="0" w:line="15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During the discussion period under clause (a), prior to the time of divestiture pursuant to clause (b), or prior to the termination of activities pursuant to clause (c), as applicable, Company and its Affiliates will use Commercially Reasonable Efforts to [***], including using Commercially Reasonable Efforts to ensure that [***].</w:t>
      </w:r>
    </w:p>
    <w:p>
      <w:pPr>
        <w:spacing w:after="0" w:line="14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b w:val="1"/>
          <w:bCs w:val="1"/>
          <w:u w:val="single" w:color="auto"/>
          <w:color w:val="auto"/>
        </w:rPr>
        <w:t>Change of Control</w:t>
      </w:r>
      <w:r>
        <w:rPr>
          <w:rFonts w:ascii="Times New Roman" w:cs="Times New Roman" w:eastAsia="Times New Roman" w:hAnsi="Times New Roman"/>
          <w:sz w:val="22"/>
          <w:szCs w:val="22"/>
          <w:color w:val="auto"/>
        </w:rPr>
        <w:t xml:space="preserve">. If there is a Change of Control involving Company (where Company is the acquired entity), the obligations of Section 4.5 will not apply to (x) any program of the relevant acquirer or its Affiliates that exists prior to the closing of such Change of Control or that arises thereafter [***], or to (y) any products Developed or Commercialized under such program;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Company and the acquirer and its Affiliates existing immediately prior to the effective date of such Change of Control [***], (b) the acquirer and its Affiliates existing immediately prior to the effective date of such Change of Control do not [***].</w:t>
      </w:r>
    </w:p>
    <w:p>
      <w:pPr>
        <w:spacing w:after="0" w:line="14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4.8.</w:t>
      </w:r>
      <w:r>
        <w:rPr>
          <w:sz w:val="20"/>
          <w:szCs w:val="20"/>
          <w:color w:val="auto"/>
        </w:rPr>
        <w:tab/>
      </w:r>
      <w:r>
        <w:rPr>
          <w:rFonts w:ascii="Times New Roman" w:cs="Times New Roman" w:eastAsia="Times New Roman" w:hAnsi="Times New Roman"/>
          <w:sz w:val="21"/>
          <w:szCs w:val="21"/>
          <w:b w:val="1"/>
          <w:bCs w:val="1"/>
          <w:u w:val="single" w:color="auto"/>
          <w:color w:val="auto"/>
        </w:rPr>
        <w:t>HSR Filings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b w:val="1"/>
          <w:bCs w:val="1"/>
          <w:color w:val="auto"/>
        </w:rPr>
        <w:t>4.8.1. Antitrust Filings</w:t>
      </w:r>
      <w:r>
        <w:rPr>
          <w:rFonts w:ascii="Times New Roman" w:cs="Times New Roman" w:eastAsia="Times New Roman" w:hAnsi="Times New Roman"/>
          <w:sz w:val="21"/>
          <w:szCs w:val="21"/>
          <w:color w:val="auto"/>
        </w:rPr>
        <w:t>. Each of Vertex and Company will, within [***] following the Execution Date (or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later time as may be agreed to in writing by the Parties), unless the Parties together determine that no HSR Filing is required for the activities and licenses contemplated under this Agreement, file (a) any HSR Filing required with respect to the transactions contemplated hereby with the United States Federal Trade Commission (“</w:t>
      </w:r>
      <w:r>
        <w:rPr>
          <w:rFonts w:ascii="Times New Roman" w:cs="Times New Roman" w:eastAsia="Times New Roman" w:hAnsi="Times New Roman"/>
          <w:sz w:val="21"/>
          <w:szCs w:val="21"/>
          <w:b w:val="1"/>
          <w:bCs w:val="1"/>
          <w:color w:val="auto"/>
        </w:rPr>
        <w:t>FTC</w:t>
      </w:r>
      <w:r>
        <w:rPr>
          <w:rFonts w:ascii="Times New Roman" w:cs="Times New Roman" w:eastAsia="Times New Roman" w:hAnsi="Times New Roman"/>
          <w:sz w:val="21"/>
          <w:szCs w:val="21"/>
          <w:color w:val="auto"/>
        </w:rPr>
        <w:t>”) and the Antitrust Division of the United States Department of Justice (“</w:t>
      </w:r>
      <w:r>
        <w:rPr>
          <w:rFonts w:ascii="Times New Roman" w:cs="Times New Roman" w:eastAsia="Times New Roman" w:hAnsi="Times New Roman"/>
          <w:sz w:val="21"/>
          <w:szCs w:val="21"/>
          <w:b w:val="1"/>
          <w:bCs w:val="1"/>
          <w:color w:val="auto"/>
        </w:rPr>
        <w:t>DOJ</w:t>
      </w:r>
      <w:r>
        <w:rPr>
          <w:rFonts w:ascii="Times New Roman" w:cs="Times New Roman" w:eastAsia="Times New Roman" w:hAnsi="Times New Roman"/>
          <w:sz w:val="21"/>
          <w:szCs w:val="21"/>
          <w:color w:val="auto"/>
        </w:rPr>
        <w:t>”), and (b) any other Antitrust Filings required with respect to the transactions contemplated hereby with the applicable Governmental Authority. The Parties will cooperate with one another to the extent necessary in preparation of any such Antitrust Filings. Each Party will be responsible for its own costs and expenses (other than filing fees, which Vertex will pay) associated with any Antitrust Filing. With respect to the HSR Filing and other Antitrust Filings made pursuant to this Section 4.8.1, each of Vertex and Company will, to the extent practicable: (a) promptly notify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391" w:right="339" w:bottom="1440" w:gutter="0" w:footer="0" w:header="0"/>
        </w:sectPr>
      </w:pPr>
    </w:p>
    <w:bookmarkStart w:id="286" w:name="page287"/>
    <w:bookmarkEnd w:id="286"/>
    <w:p>
      <w:pPr>
        <w:jc w:val="both"/>
        <w:spacing w:after="0" w:line="211" w:lineRule="auto"/>
        <w:rPr>
          <w:sz w:val="20"/>
          <w:szCs w:val="20"/>
          <w:color w:val="auto"/>
        </w:rPr>
      </w:pPr>
      <w:r>
        <w:rPr>
          <w:rFonts w:ascii="Times New Roman" w:cs="Times New Roman" w:eastAsia="Times New Roman" w:hAnsi="Times New Roman"/>
          <w:sz w:val="22"/>
          <w:szCs w:val="22"/>
          <w:color w:val="auto"/>
        </w:rPr>
        <w:t>Party of any material communication to that Party from the FTC, the DOJ, or any other agency or authority and, subject to Applicable Laws, discuss with and permit the other Party to review in advance any proposed written communication to any of the foregoing; (b) not agree to participate in any substantive meeting or discussion with the FTC, the DOJ or any other agency or authority in respect of any filings, investigation or inquiry concerning this Agreement unless it consults with the other Party in advance and, to the extent permitted by the FTC, the DOJ or any other agency or authority, give the other Party the opportunity to attend and participate thereat; and (c) furnish the other Party with copies of all correspondence and communications (and memoranda setting forth the substance thereof) between them and their Affiliates and their respective representatives on the one hand, and the FTC, the DOJ or any other agency or authority or members of their respective staffs on the other hand, with respect to this Agreement.</w:t>
      </w:r>
    </w:p>
    <w:p>
      <w:pPr>
        <w:spacing w:after="0" w:line="154"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4.8.2. Antitrust Clearance</w:t>
      </w:r>
      <w:r>
        <w:rPr>
          <w:rFonts w:ascii="Times New Roman" w:cs="Times New Roman" w:eastAsia="Times New Roman" w:hAnsi="Times New Roman"/>
          <w:sz w:val="22"/>
          <w:szCs w:val="22"/>
          <w:color w:val="auto"/>
        </w:rPr>
        <w:t>. In furtherance of obtaining clearance for an Antitrust Filing filed pursuant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4.8, Company and Vertex will use their respective reasonable best efforts to resolve as promptly as practicable any objections that may be asserted with respect to this Agreement or the transactions contemplated by this Agreement under any antitrust, competition or trade regulatory law. In connection with such clearance from the FTC, the DOJ or any other Governmental Authority, neither Party nor its Affiliates will be required to (a) sell, divest (including through license or a reversion of licensed or assigned rights), hold separate, transfer or dispose of any assets, operations, rights, product lines, businesses or interest therein of such Party or any of its Affiliates (or consent to any of the foregoing actions); (b) take any action, agree to take any action, or consent to the taking of any action other than the transactions contemplated by this Agreement, including any such action that would limit a Party’s freedom of action or the conduct of any business, asset, product line or property of such Party or its Affiliates or any joint venture in which such Party or its Affiliates hold an equity interest; or (c) litigate or otherwise formally oppose any determination (whether judicial or administrative in nature) by a Governmental Authority seeking to impose any of the restrictions referenced in clause (a) or (b) above.</w:t>
      </w:r>
    </w:p>
    <w:p>
      <w:pPr>
        <w:spacing w:after="0" w:line="152"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4.8.3. Rights and Obligations</w:t>
      </w:r>
      <w:r>
        <w:rPr>
          <w:rFonts w:ascii="Times New Roman" w:cs="Times New Roman" w:eastAsia="Times New Roman" w:hAnsi="Times New Roman"/>
          <w:sz w:val="22"/>
          <w:szCs w:val="22"/>
          <w:color w:val="auto"/>
        </w:rPr>
        <w:t>. Other than the provisions of this Section 4.8, Section 7.1, Section 7.2,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7.3, Section 9.2.1, ARTICLE 10, Section 11.5, and Section 11.11, and all definitions necessary to give effect to the foregoing provisions, each of which will each become effective on the Execution Date, the rights and obligations of the Parties under this Agreement will not become effective until the Effective Date.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jc w:val="center"/>
        <w:spacing w:after="0"/>
        <w:rPr>
          <w:sz w:val="20"/>
          <w:szCs w:val="20"/>
          <w:color w:val="auto"/>
        </w:rPr>
      </w:pPr>
      <w:r>
        <w:rPr>
          <w:rFonts w:ascii="Times New Roman" w:cs="Times New Roman" w:eastAsia="Times New Roman" w:hAnsi="Times New Roman"/>
          <w:sz w:val="22"/>
          <w:szCs w:val="22"/>
          <w:b w:val="1"/>
          <w:bCs w:val="1"/>
          <w:color w:val="auto"/>
        </w:rPr>
        <w:t>FINANCIAL PROVISIONS</w:t>
      </w:r>
    </w:p>
    <w:p>
      <w:pPr>
        <w:spacing w:after="0" w:line="151"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b w:val="1"/>
          <w:bCs w:val="1"/>
          <w:u w:val="single" w:color="auto"/>
          <w:color w:val="auto"/>
        </w:rPr>
        <w:t>Up-Front Fee</w:t>
      </w:r>
      <w:r>
        <w:rPr>
          <w:rFonts w:ascii="Times New Roman" w:cs="Times New Roman" w:eastAsia="Times New Roman" w:hAnsi="Times New Roman"/>
          <w:sz w:val="22"/>
          <w:szCs w:val="22"/>
          <w:color w:val="auto"/>
        </w:rPr>
        <w:t xml:space="preserve">. Within [***] following the Effective Date, Vertex will pay Company a one-time up-front fee of $223,681,352, which fee will be non-refundable, non-creditable and not subject to set-off. The Parties hereby acknowledge that part of such up-front fee is reimbursement of past expenses of Company. Vertex will be entitled to credit any amounts owed under Section 6.1 of the Sublicense Agreement against the foregoing;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unless the Sublicense Agreement has been assigned to OSIF, Vertex will make a single payment to Company of the amount specified this Section 5.1, which will satisfy Vertex’s obligations under both this Section 5.1 and Section 6.1 of the Sublicense Agreement.</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b w:val="1"/>
          <w:bCs w:val="1"/>
          <w:u w:val="single" w:color="auto"/>
          <w:color w:val="auto"/>
        </w:rPr>
        <w:t>Equity Investment</w:t>
      </w:r>
      <w:r>
        <w:rPr>
          <w:rFonts w:ascii="Times New Roman" w:cs="Times New Roman" w:eastAsia="Times New Roman" w:hAnsi="Times New Roman"/>
          <w:sz w:val="22"/>
          <w:szCs w:val="22"/>
          <w:color w:val="auto"/>
        </w:rPr>
        <w:t>. The Parties acknowledge that simultaneously with the execution of this Agreement, Company and Vertex have executed a Stock Purchase Agreement pursuant to which Vertex will, on the Effective Date, purchase $26,318,648 of Company common stock, $0.0001 par value per share, in accordance with the terms of such Stock Purchase Agreement, which investment is separate from the payment of the of the upfront fee described in Section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395" w:right="339" w:bottom="1440" w:gutter="0" w:footer="0" w:header="0"/>
        </w:sectPr>
      </w:pPr>
    </w:p>
    <w:bookmarkStart w:id="287" w:name="page288"/>
    <w:bookmarkEnd w:id="287"/>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b w:val="1"/>
          <w:bCs w:val="1"/>
          <w:u w:val="single" w:color="auto"/>
          <w:color w:val="auto"/>
        </w:rPr>
        <w:t>Milestone Payments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right="20"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5.3.1. Development &amp; Regulatory Milestones</w:t>
      </w:r>
      <w:r>
        <w:rPr>
          <w:rFonts w:ascii="Times New Roman" w:cs="Times New Roman" w:eastAsia="Times New Roman" w:hAnsi="Times New Roman"/>
          <w:sz w:val="22"/>
          <w:szCs w:val="22"/>
          <w:color w:val="auto"/>
        </w:rPr>
        <w:t>. Vertex will pay Company the milestone payments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this Section 5.3.1 in accordance with the procedure set forth in Section 5.3.3 upon the first achievement of the relevant milestone event by Vertex or any of its Affiliates or Sublicensees, which payments will be non-refundable, non-creditable and not subject to set-off. Each milestone payment set forth below is payable only once, regardless of the number of Products that achieve the relevant milestone event or the number of times a Product achieves the relevant milestone event. Vertex will be entitled to credit any milestone payment owed under Section 6.2.1 of the Sublicense Agreement (whether such milestone payment is owed to Company or, if the Sublicense Agreement is assigned to OSIF, to OSIF) against corresponding milestone payments paid under this Section 5.3.1;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unless the Sublicense Agreement has been assigned to OSIF, Vertex will make a single payment to Company of a milestone payment specified in this Section 5.3.1, which will satisfy Vertex’s obligations with respect to the applicable milestone under this Section 5.3.1 and with respect to the corresponding milestone under Section 6.2.1 of the Sublicense Agreement.</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680" w:type="dxa"/>
            <w:vAlign w:val="bottom"/>
            <w:tcBorders>
              <w:top w:val="single" w:sz="8" w:color="auto"/>
              <w:left w:val="single" w:sz="8" w:color="auto"/>
              <w:bottom w:val="single" w:sz="8" w:color="auto"/>
              <w:right w:val="single" w:sz="8" w:color="auto"/>
            </w:tcBorders>
            <w:shd w:val="clear" w:color="auto" w:fill="D0CECE"/>
          </w:tcPr>
          <w:p>
            <w:pPr>
              <w:spacing w:after="0"/>
              <w:rPr>
                <w:sz w:val="24"/>
                <w:szCs w:val="24"/>
                <w:color w:val="auto"/>
              </w:rPr>
            </w:pPr>
          </w:p>
        </w:tc>
        <w:tc>
          <w:tcPr>
            <w:tcW w:w="5280" w:type="dxa"/>
            <w:vAlign w:val="bottom"/>
            <w:tcBorders>
              <w:top w:val="single" w:sz="8" w:color="auto"/>
              <w:bottom w:val="single" w:sz="8" w:color="auto"/>
              <w:right w:val="single" w:sz="8" w:color="auto"/>
            </w:tcBorders>
            <w:shd w:val="clear" w:color="auto" w:fill="D0CECE"/>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Milestone Event</w:t>
            </w:r>
          </w:p>
        </w:tc>
        <w:tc>
          <w:tcPr>
            <w:tcW w:w="5300" w:type="dxa"/>
            <w:vAlign w:val="bottom"/>
            <w:tcBorders>
              <w:top w:val="single" w:sz="8" w:color="auto"/>
              <w:bottom w:val="single" w:sz="8" w:color="auto"/>
              <w:right w:val="single" w:sz="8" w:color="auto"/>
            </w:tcBorders>
            <w:shd w:val="clear" w:color="auto" w:fill="D0CECE"/>
          </w:tcPr>
          <w:p>
            <w:pPr>
              <w:ind w:left="1760"/>
              <w:spacing w:after="0"/>
              <w:rPr>
                <w:sz w:val="20"/>
                <w:szCs w:val="20"/>
                <w:color w:val="auto"/>
              </w:rPr>
            </w:pPr>
            <w:r>
              <w:rPr>
                <w:rFonts w:ascii="Times New Roman" w:cs="Times New Roman" w:eastAsia="Times New Roman" w:hAnsi="Times New Roman"/>
                <w:sz w:val="22"/>
                <w:szCs w:val="22"/>
                <w:b w:val="1"/>
                <w:bCs w:val="1"/>
                <w:color w:val="auto"/>
              </w:rPr>
              <w:t>Milestone Payment</w:t>
            </w:r>
          </w:p>
        </w:tc>
      </w:tr>
      <w:tr>
        <w:trPr>
          <w:trHeight w:val="263"/>
        </w:trPr>
        <w:tc>
          <w:tcPr>
            <w:tcW w:w="680" w:type="dxa"/>
            <w:vAlign w:val="bottom"/>
            <w:tcBorders>
              <w:left w:val="single" w:sz="8" w:color="auto"/>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1</w:t>
            </w:r>
          </w:p>
        </w:tc>
        <w:tc>
          <w:tcPr>
            <w:tcW w:w="5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5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263"/>
        </w:trPr>
        <w:tc>
          <w:tcPr>
            <w:tcW w:w="680" w:type="dxa"/>
            <w:vAlign w:val="bottom"/>
            <w:tcBorders>
              <w:left w:val="single" w:sz="8" w:color="auto"/>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w:t>
            </w:r>
          </w:p>
        </w:tc>
        <w:tc>
          <w:tcPr>
            <w:tcW w:w="5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5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w:t>
            </w:r>
          </w:p>
        </w:tc>
      </w:tr>
      <w:tr>
        <w:trPr>
          <w:trHeight w:val="263"/>
        </w:trPr>
        <w:tc>
          <w:tcPr>
            <w:tcW w:w="680" w:type="dxa"/>
            <w:vAlign w:val="bottom"/>
            <w:tcBorders>
              <w:left w:val="single" w:sz="8" w:color="auto"/>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w:t>
            </w:r>
          </w:p>
        </w:tc>
        <w:tc>
          <w:tcPr>
            <w:tcW w:w="5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5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w:t>
            </w:r>
          </w:p>
        </w:tc>
      </w:tr>
      <w:tr>
        <w:trPr>
          <w:trHeight w:val="263"/>
        </w:trPr>
        <w:tc>
          <w:tcPr>
            <w:tcW w:w="680" w:type="dxa"/>
            <w:vAlign w:val="bottom"/>
            <w:tcBorders>
              <w:left w:val="single" w:sz="8" w:color="auto"/>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w:t>
            </w:r>
          </w:p>
        </w:tc>
        <w:tc>
          <w:tcPr>
            <w:tcW w:w="5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5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w:t>
            </w:r>
          </w:p>
        </w:tc>
      </w:tr>
      <w:tr>
        <w:trPr>
          <w:trHeight w:val="264"/>
        </w:trPr>
        <w:tc>
          <w:tcPr>
            <w:tcW w:w="680" w:type="dxa"/>
            <w:vAlign w:val="bottom"/>
            <w:tcBorders>
              <w:left w:val="single" w:sz="8" w:color="auto"/>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w:t>
            </w:r>
          </w:p>
        </w:tc>
        <w:tc>
          <w:tcPr>
            <w:tcW w:w="5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5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w:t>
            </w:r>
          </w:p>
        </w:tc>
      </w:tr>
    </w:tbl>
    <w:p>
      <w:pPr>
        <w:spacing w:after="0" w:line="293" w:lineRule="exact"/>
        <w:rPr>
          <w:sz w:val="20"/>
          <w:szCs w:val="20"/>
          <w:color w:val="auto"/>
        </w:rPr>
      </w:pPr>
    </w:p>
    <w:p>
      <w:pPr>
        <w:jc w:val="both"/>
        <w:ind w:right="20"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5.3.2. Commercial Milestones</w:t>
      </w:r>
      <w:r>
        <w:rPr>
          <w:rFonts w:ascii="Times New Roman" w:cs="Times New Roman" w:eastAsia="Times New Roman" w:hAnsi="Times New Roman"/>
          <w:sz w:val="22"/>
          <w:szCs w:val="22"/>
          <w:color w:val="auto"/>
        </w:rPr>
        <w:t>. Vertex will pay Company the milestone payments set forth in this Section 5.3.2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 accordance with the procedure set forth in Section 5.3.3 upon the first achievement of the relevant milestone event by Vertex or its Affiliates or any Sublicensees, which payments will be non-refundable, non-creditable and not subject to set-off. Each milestone payment set forth below, is payable only once regardless of the number of Products that achieve the relevant milestone event or the number of times Product(s) achieve such milestone event. Vertex will be entitled to credit any milestone payment owed under Section 6.2.2 of the Sublicense Agreement (whether such milestone payment is owed to Company or, if the Sublicense Agreement is assigned to OSIF, to OSIF) against corresponding milestone payments paid under this Section 5.3.2;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unless the Sublicense Agreement has been assigned to OSIF, Vertex will make a single payment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of a milestone payment specified in this Section 5.3.2, which will satisfy Vertex’s obligations with respect to the applicable milestone under this Section 5.3.2 and with respect to the corresponding milestone under Section 6.2.2 of the Sublicense Agreement.</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60" w:type="dxa"/>
            <w:vAlign w:val="bottom"/>
            <w:tcBorders>
              <w:top w:val="single" w:sz="8" w:color="auto"/>
              <w:left w:val="single" w:sz="8" w:color="auto"/>
              <w:bottom w:val="single" w:sz="8" w:color="auto"/>
              <w:right w:val="single" w:sz="8" w:color="auto"/>
            </w:tcBorders>
            <w:shd w:val="clear" w:color="auto" w:fill="D0CECE"/>
          </w:tcPr>
          <w:p>
            <w:pPr>
              <w:spacing w:after="0"/>
              <w:rPr>
                <w:sz w:val="24"/>
                <w:szCs w:val="24"/>
                <w:color w:val="auto"/>
              </w:rPr>
            </w:pPr>
          </w:p>
        </w:tc>
        <w:tc>
          <w:tcPr>
            <w:tcW w:w="7560" w:type="dxa"/>
            <w:vAlign w:val="bottom"/>
            <w:tcBorders>
              <w:top w:val="single" w:sz="8" w:color="auto"/>
              <w:bottom w:val="single" w:sz="8" w:color="auto"/>
              <w:right w:val="single" w:sz="8" w:color="auto"/>
            </w:tcBorders>
            <w:shd w:val="clear" w:color="auto" w:fill="D0CECE"/>
          </w:tcPr>
          <w:p>
            <w:pPr>
              <w:ind w:left="3020"/>
              <w:spacing w:after="0"/>
              <w:rPr>
                <w:sz w:val="20"/>
                <w:szCs w:val="20"/>
                <w:color w:val="auto"/>
              </w:rPr>
            </w:pPr>
            <w:r>
              <w:rPr>
                <w:rFonts w:ascii="Times New Roman" w:cs="Times New Roman" w:eastAsia="Times New Roman" w:hAnsi="Times New Roman"/>
                <w:sz w:val="22"/>
                <w:szCs w:val="22"/>
                <w:b w:val="1"/>
                <w:bCs w:val="1"/>
                <w:color w:val="auto"/>
              </w:rPr>
              <w:t>Milestone Event</w:t>
            </w:r>
          </w:p>
        </w:tc>
        <w:tc>
          <w:tcPr>
            <w:tcW w:w="3140" w:type="dxa"/>
            <w:vAlign w:val="bottom"/>
            <w:tcBorders>
              <w:top w:val="single" w:sz="8" w:color="auto"/>
              <w:bottom w:val="single" w:sz="8" w:color="auto"/>
              <w:right w:val="single" w:sz="8" w:color="auto"/>
            </w:tcBorders>
            <w:shd w:val="clear" w:color="auto" w:fill="D0CECE"/>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Milestone Payment</w:t>
            </w:r>
          </w:p>
        </w:tc>
      </w:tr>
      <w:tr>
        <w:trPr>
          <w:trHeight w:val="263"/>
        </w:trPr>
        <w:tc>
          <w:tcPr>
            <w:tcW w:w="56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7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First time Annual Net Sales of all Products exceed $[***]</w:t>
            </w:r>
          </w:p>
        </w:tc>
        <w:tc>
          <w:tcPr>
            <w:tcW w:w="3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w:t>
            </w:r>
          </w:p>
        </w:tc>
      </w:tr>
      <w:tr>
        <w:trPr>
          <w:trHeight w:val="264"/>
        </w:trPr>
        <w:tc>
          <w:tcPr>
            <w:tcW w:w="56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7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First time Annual Net Sales of all Products exceed $[***]</w:t>
            </w:r>
          </w:p>
        </w:tc>
        <w:tc>
          <w:tcPr>
            <w:tcW w:w="3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w:t>
            </w:r>
          </w:p>
        </w:tc>
      </w:tr>
    </w:tbl>
    <w:p>
      <w:pPr>
        <w:spacing w:after="0" w:line="279" w:lineRule="exact"/>
        <w:rPr>
          <w:sz w:val="20"/>
          <w:szCs w:val="20"/>
          <w:color w:val="auto"/>
        </w:rPr>
      </w:pPr>
    </w:p>
    <w:p>
      <w:pPr>
        <w:jc w:val="both"/>
        <w:ind w:right="20" w:firstLine="1296"/>
        <w:spacing w:after="0" w:line="216" w:lineRule="auto"/>
        <w:rPr>
          <w:sz w:val="20"/>
          <w:szCs w:val="20"/>
          <w:color w:val="auto"/>
        </w:rPr>
      </w:pPr>
      <w:r>
        <w:rPr>
          <w:rFonts w:ascii="Times New Roman" w:cs="Times New Roman" w:eastAsia="Times New Roman" w:hAnsi="Times New Roman"/>
          <w:sz w:val="22"/>
          <w:szCs w:val="22"/>
          <w:b w:val="1"/>
          <w:bCs w:val="1"/>
          <w:color w:val="auto"/>
        </w:rPr>
        <w:t>5.3.3. Notice; Payment; Skipped Milestones</w:t>
      </w:r>
      <w:r>
        <w:rPr>
          <w:rFonts w:ascii="Times New Roman" w:cs="Times New Roman" w:eastAsia="Times New Roman" w:hAnsi="Times New Roman"/>
          <w:sz w:val="22"/>
          <w:szCs w:val="22"/>
          <w:color w:val="auto"/>
        </w:rPr>
        <w:t>. Vertex will provide Company with written notice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achievement of each of the milestone events set forth in Section 5.3.1 and Section 5.3.2, such written notice to be provided (a) with respect to any milestone event under Section 5.3.1, within [***] after such achievement and (b) with respect to any milestone event under Section 5.3.2, on or prior to the date of delivery of the royalty report under Section 5.4.7 for the [***] in which such milestone event is first achieved. Following receipt of such written notice, Company will promptly invoice Vertex for the applicable milestone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60"/>
          </w:cols>
          <w:pgMar w:left="320" w:top="1391" w:right="319" w:bottom="1440" w:gutter="0" w:footer="0" w:header="0"/>
        </w:sectPr>
      </w:pPr>
    </w:p>
    <w:bookmarkStart w:id="288" w:name="page289"/>
    <w:bookmarkEnd w:id="288"/>
    <w:p>
      <w:pPr>
        <w:jc w:val="both"/>
        <w:ind w:right="20"/>
        <w:spacing w:after="0" w:line="210" w:lineRule="auto"/>
        <w:rPr>
          <w:sz w:val="20"/>
          <w:szCs w:val="20"/>
          <w:color w:val="auto"/>
        </w:rPr>
      </w:pPr>
      <w:r>
        <w:rPr>
          <w:rFonts w:ascii="Times New Roman" w:cs="Times New Roman" w:eastAsia="Times New Roman" w:hAnsi="Times New Roman"/>
          <w:sz w:val="22"/>
          <w:szCs w:val="22"/>
          <w:color w:val="auto"/>
        </w:rPr>
        <w:t>Vertex will make the appropriate milestone payment within [***] after receipt of such invoice. Each milestone payment corresponding with the milestones numbered [***] as set forth in Section 5.3.1 are intended to be successive; if a Product is not required to undergo the event associated with any such milestone event, such skipped milestone will be deemed to have been achieved upon the achievement by such Product of the next successive milestone event. Payment for any such skipped milestone that is owed in accordance with the provisions of the foregoing sentence with respect to a given Product will be due concurrently with the payment for the next successive milestone event by such Product, it being agreed that if a Product is not required to undergo the milestone numbered [***] the corresponding payment will be made upon the first to occur of the milestones numbered [***]. For the avoidance of doubt, the occurrence of milestone number [***] will not trigger payment of milestone number [***]. For clarity, each milestone payment corresponding with the milestones numbered [***] as set forth in Section 5.3.2 are intended to be additive such that if both milestones numbered [***] are achieved in the same Calendar Year, Vertex will pay to Company a payment of $[***] (subject to any applicable credits for payments owed to Company or, if the Sublicense Agreement is assigned to OSIF, to OSIF under the Sublicense Agreement).</w:t>
      </w:r>
    </w:p>
    <w:p>
      <w:pPr>
        <w:spacing w:after="0" w:line="14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1"/>
          <w:szCs w:val="21"/>
          <w:b w:val="1"/>
          <w:bCs w:val="1"/>
          <w:u w:val="single" w:color="auto"/>
          <w:color w:val="auto"/>
        </w:rPr>
        <w:t>Royalties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right="20"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5.4.1. Royalty Rates</w:t>
      </w:r>
      <w:r>
        <w:rPr>
          <w:rFonts w:ascii="Times New Roman" w:cs="Times New Roman" w:eastAsia="Times New Roman" w:hAnsi="Times New Roman"/>
          <w:sz w:val="22"/>
          <w:szCs w:val="22"/>
          <w:color w:val="auto"/>
        </w:rPr>
        <w:t>. Subject to Sections 5.4.2, 5.4.3, 5.4.4 and 5.4.5, on a Product-by-Product basis, Vertex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pay Company non-refundable, non-creditable royalties based on the aggregate Net Sales of all Products sold by Vertex, its Affiliates or Sublicensees in the Field in the Territory during a Calendar Year at the rates set forth in the table below. The obligation to pay royalties will be imposed only once with respect to the same unit of a Product.</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7380" w:type="dxa"/>
            <w:vAlign w:val="bottom"/>
            <w:tcBorders>
              <w:top w:val="single" w:sz="8" w:color="auto"/>
              <w:left w:val="single" w:sz="8" w:color="auto"/>
              <w:right w:val="single" w:sz="8" w:color="auto"/>
            </w:tcBorders>
            <w:shd w:val="clear" w:color="auto" w:fill="D0CECE"/>
          </w:tcPr>
          <w:p>
            <w:pPr>
              <w:ind w:left="860"/>
              <w:spacing w:after="0" w:line="216" w:lineRule="exact"/>
              <w:rPr>
                <w:sz w:val="20"/>
                <w:szCs w:val="20"/>
                <w:color w:val="auto"/>
              </w:rPr>
            </w:pPr>
            <w:r>
              <w:rPr>
                <w:rFonts w:ascii="Times New Roman" w:cs="Times New Roman" w:eastAsia="Times New Roman" w:hAnsi="Times New Roman"/>
                <w:sz w:val="22"/>
                <w:szCs w:val="22"/>
                <w:b w:val="1"/>
                <w:bCs w:val="1"/>
                <w:color w:val="auto"/>
              </w:rPr>
              <w:t>Annual Net Sales (in Dollars) for all Products in the Territory</w:t>
            </w:r>
          </w:p>
        </w:tc>
        <w:tc>
          <w:tcPr>
            <w:tcW w:w="3880" w:type="dxa"/>
            <w:vAlign w:val="bottom"/>
            <w:tcBorders>
              <w:top w:val="single" w:sz="8" w:color="auto"/>
              <w:right w:val="single" w:sz="8" w:color="auto"/>
            </w:tcBorders>
            <w:shd w:val="clear" w:color="auto" w:fill="D0CECE"/>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Royalty Rates as a Percentage (%) of Net</w:t>
            </w:r>
          </w:p>
        </w:tc>
      </w:tr>
      <w:tr>
        <w:trPr>
          <w:trHeight w:val="283"/>
        </w:trPr>
        <w:tc>
          <w:tcPr>
            <w:tcW w:w="7380" w:type="dxa"/>
            <w:vAlign w:val="bottom"/>
            <w:tcBorders>
              <w:left w:val="single" w:sz="8" w:color="auto"/>
              <w:bottom w:val="single" w:sz="8" w:color="auto"/>
              <w:right w:val="single" w:sz="8" w:color="auto"/>
            </w:tcBorders>
            <w:shd w:val="clear" w:color="auto" w:fill="D0CECE"/>
          </w:tcPr>
          <w:p>
            <w:pPr>
              <w:spacing w:after="0"/>
              <w:rPr>
                <w:sz w:val="24"/>
                <w:szCs w:val="24"/>
                <w:color w:val="auto"/>
              </w:rPr>
            </w:pPr>
          </w:p>
        </w:tc>
        <w:tc>
          <w:tcPr>
            <w:tcW w:w="388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Times New Roman" w:cs="Times New Roman" w:eastAsia="Times New Roman" w:hAnsi="Times New Roman"/>
                <w:sz w:val="22"/>
                <w:szCs w:val="22"/>
                <w:b w:val="1"/>
                <w:bCs w:val="1"/>
                <w:color w:val="auto"/>
              </w:rPr>
              <w:t>Sales</w:t>
            </w:r>
          </w:p>
        </w:tc>
      </w:tr>
      <w:tr>
        <w:trPr>
          <w:trHeight w:val="263"/>
        </w:trPr>
        <w:tc>
          <w:tcPr>
            <w:tcW w:w="7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Portion of Annual Net Sales up to and including $[***]</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264"/>
        </w:trPr>
        <w:tc>
          <w:tcPr>
            <w:tcW w:w="7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Portion of Annual Net Sales that exceeds $[***] up to and including $[***]</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263"/>
        </w:trPr>
        <w:tc>
          <w:tcPr>
            <w:tcW w:w="7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Portion of Annual Net Sales that exceeds $[***]</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bl>
    <w:p>
      <w:pPr>
        <w:spacing w:after="0" w:line="293" w:lineRule="exact"/>
        <w:rPr>
          <w:sz w:val="20"/>
          <w:szCs w:val="20"/>
          <w:color w:val="auto"/>
        </w:rPr>
      </w:pPr>
    </w:p>
    <w:p>
      <w:pPr>
        <w:jc w:val="both"/>
        <w:ind w:right="20"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5.4.2. Royalty Term</w:t>
      </w:r>
      <w:r>
        <w:rPr>
          <w:rFonts w:ascii="Times New Roman" w:cs="Times New Roman" w:eastAsia="Times New Roman" w:hAnsi="Times New Roman"/>
          <w:sz w:val="22"/>
          <w:szCs w:val="22"/>
          <w:color w:val="auto"/>
        </w:rPr>
        <w:t>. Vertex will pay royalties to Company under this Section 5.4 on a Product-by-Product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country-by-country basis during the Royalty Term for the applicable Product in the applicable country. Upon the expiration of the Royalty Term for a given Product in a given country, the license granted to Vertex under Section 4.1.1 will become fully-paid, perpetual and irrevocable with respect to such Product in such country.</w:t>
      </w:r>
    </w:p>
    <w:p>
      <w:pPr>
        <w:spacing w:after="0" w:line="148" w:lineRule="exact"/>
        <w:rPr>
          <w:sz w:val="20"/>
          <w:szCs w:val="20"/>
          <w:color w:val="auto"/>
        </w:rPr>
      </w:pPr>
    </w:p>
    <w:p>
      <w:pPr>
        <w:jc w:val="both"/>
        <w:ind w:right="20"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5.4.3. Reduction for Lack of Patent Coverage and Regulatory Exclusivity</w:t>
      </w:r>
      <w:r>
        <w:rPr>
          <w:rFonts w:ascii="Times New Roman" w:cs="Times New Roman" w:eastAsia="Times New Roman" w:hAnsi="Times New Roman"/>
          <w:sz w:val="22"/>
          <w:szCs w:val="22"/>
          <w:color w:val="auto"/>
        </w:rPr>
        <w:t>. Subject to Section 5.4.6, if during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period within the applicable Royalty Term for a country, (a) no Valid Claim of a Licensed Patent exists that Covers such Product in such country, and (b) all applicable regulatory exclusivity periods, including data exclusivity periods, have expired in such country with respect to such Product, Net Sales of such Product in such country will be reduced by [***]% for purposes of calculating the royalty owed under Section 5.4.1 for the remainder of the Royalty Term.</w:t>
      </w:r>
    </w:p>
    <w:p>
      <w:pPr>
        <w:spacing w:after="0" w:line="147" w:lineRule="exact"/>
        <w:rPr>
          <w:sz w:val="20"/>
          <w:szCs w:val="20"/>
          <w:color w:val="auto"/>
        </w:rPr>
      </w:pPr>
    </w:p>
    <w:p>
      <w:pPr>
        <w:jc w:val="both"/>
        <w:ind w:right="20" w:firstLine="1296"/>
        <w:spacing w:after="0" w:line="228" w:lineRule="auto"/>
        <w:rPr>
          <w:sz w:val="20"/>
          <w:szCs w:val="20"/>
          <w:color w:val="auto"/>
        </w:rPr>
      </w:pPr>
      <w:r>
        <w:rPr>
          <w:rFonts w:ascii="Times New Roman" w:cs="Times New Roman" w:eastAsia="Times New Roman" w:hAnsi="Times New Roman"/>
          <w:sz w:val="21"/>
          <w:szCs w:val="21"/>
          <w:b w:val="1"/>
          <w:bCs w:val="1"/>
          <w:color w:val="auto"/>
        </w:rPr>
        <w:t>5.4.4. Reduction for Competition</w:t>
      </w:r>
      <w:r>
        <w:rPr>
          <w:rFonts w:ascii="Times New Roman" w:cs="Times New Roman" w:eastAsia="Times New Roman" w:hAnsi="Times New Roman"/>
          <w:sz w:val="21"/>
          <w:szCs w:val="21"/>
          <w:color w:val="auto"/>
        </w:rPr>
        <w:t>. Subject to Section 5.4.6, if during any [***] during the Royalty Term for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Product in a given country, (a) a Competitive Product with respect to such Product is sold during such [***] in such country and</w:t>
      </w:r>
    </w:p>
    <w:p>
      <w:pPr>
        <w:spacing w:after="0" w:line="1" w:lineRule="exact"/>
        <w:rPr>
          <w:sz w:val="20"/>
          <w:szCs w:val="20"/>
          <w:color w:val="auto"/>
        </w:rPr>
      </w:pPr>
    </w:p>
    <w:p>
      <w:pPr>
        <w:jc w:val="both"/>
        <w:ind w:right="40" w:firstLine="8"/>
        <w:spacing w:after="0" w:line="218" w:lineRule="auto"/>
        <w:tabs>
          <w:tab w:leader="none" w:pos="328"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Sales for such Product in such country is less than [***]% of the average Net Sales for such Product in such country during the [***] consecutive [***] immediately preceding the [***] during which any such Competitive Product is first sold in such country, then Net Sales of such Product in such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60"/>
          </w:cols>
          <w:pgMar w:left="320" w:top="1395" w:right="319" w:bottom="1440" w:gutter="0" w:footer="0" w:header="0"/>
        </w:sectPr>
      </w:pPr>
    </w:p>
    <w:bookmarkStart w:id="289" w:name="page290"/>
    <w:bookmarkEnd w:id="289"/>
    <w:p>
      <w:pPr>
        <w:jc w:val="both"/>
        <w:spacing w:after="0" w:line="225" w:lineRule="auto"/>
        <w:rPr>
          <w:sz w:val="20"/>
          <w:szCs w:val="20"/>
          <w:color w:val="auto"/>
        </w:rPr>
      </w:pPr>
      <w:r>
        <w:rPr>
          <w:rFonts w:ascii="Times New Roman" w:cs="Times New Roman" w:eastAsia="Times New Roman" w:hAnsi="Times New Roman"/>
          <w:sz w:val="21"/>
          <w:szCs w:val="21"/>
          <w:color w:val="auto"/>
        </w:rPr>
        <w:t xml:space="preserve">(after any applicable reduction pursuant to Section 5.4.3) will be reduced by [***]% for purposes of calculating the royalty owed under Section 5.4.1 for the remainder of the Royalty Term;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the royalty reduction in this Section 5.4.4 will no longer apply in any country, or in any [***] in a country, as applicable, where there are no Competitive Products for such Product marketed or sold in such country and the Net Sales of such Product sold by Vertex or its Affiliates or Sublicensees in such country during such [***] is greater than [***]% of the average Net Sales of such Product during the [***] consecutive [***] immediately prior to the [***] during which any such Competitive Product is first sold in such country.</w:t>
      </w:r>
    </w:p>
    <w:p>
      <w:pPr>
        <w:spacing w:after="0" w:line="150"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1"/>
          <w:szCs w:val="21"/>
          <w:b w:val="1"/>
          <w:bCs w:val="1"/>
          <w:color w:val="auto"/>
        </w:rPr>
        <w:t>5.4.5. Third Party Licenses</w:t>
      </w:r>
      <w:r>
        <w:rPr>
          <w:rFonts w:ascii="Times New Roman" w:cs="Times New Roman" w:eastAsia="Times New Roman" w:hAnsi="Times New Roman"/>
          <w:sz w:val="21"/>
          <w:szCs w:val="21"/>
          <w:color w:val="auto"/>
        </w:rPr>
        <w:t>. Subject to Section 5.4.6, following the JRC’s (or the Parties’ if the JRC has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disbanded) discussion of Vertex’s intent to enter into an agreement to license or acquire rights to Selected Third Party Intellectual Property, and if Vertex enters into such agreement, Vertex may deduct from the royalties payable to Company under this Section 5.4 [***]% of any Selected Third Party Intellectual Property Costs paid by Vertex, its Affiliates or Sublicensees.</w:t>
      </w:r>
    </w:p>
    <w:p>
      <w:pPr>
        <w:spacing w:after="0" w:line="146" w:lineRule="exact"/>
        <w:rPr>
          <w:sz w:val="20"/>
          <w:szCs w:val="20"/>
          <w:color w:val="auto"/>
        </w:rPr>
      </w:pPr>
    </w:p>
    <w:p>
      <w:pPr>
        <w:jc w:val="both"/>
        <w:ind w:firstLine="1296"/>
        <w:spacing w:after="0" w:line="214" w:lineRule="auto"/>
        <w:rPr>
          <w:sz w:val="20"/>
          <w:szCs w:val="20"/>
          <w:color w:val="auto"/>
        </w:rPr>
      </w:pPr>
      <w:r>
        <w:rPr>
          <w:rFonts w:ascii="Times New Roman" w:cs="Times New Roman" w:eastAsia="Times New Roman" w:hAnsi="Times New Roman"/>
          <w:sz w:val="22"/>
          <w:szCs w:val="22"/>
          <w:b w:val="1"/>
          <w:bCs w:val="1"/>
          <w:color w:val="auto"/>
        </w:rPr>
        <w:t>5.4.6. Aggregate Limitation on Deduction</w:t>
      </w:r>
      <w:r>
        <w:rPr>
          <w:rFonts w:ascii="Times New Roman" w:cs="Times New Roman" w:eastAsia="Times New Roman" w:hAnsi="Times New Roman"/>
          <w:sz w:val="22"/>
          <w:szCs w:val="22"/>
          <w:color w:val="auto"/>
        </w:rPr>
        <w:t>. Notwithstanding the foregoing, in no event will the deductions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forth in Section 5.4.3 through Section 5.4.5 reduce the royalties payable to Company with respect to a particular [***] in a given country to less than [***]% of the royalties that would otherwise be due pursuant to Section 5.4.1;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 In the event the Sublicense Agreement is assigned to OSIF, Vertex will, consistent with Section 5.5, have the right to offset the full royalty payment made to OSIF under Section 6.3 of the Sublicense Agreement without regard to the limits on reductions set forth in this Section 5.4.6, and such limits or reductions will be applied to the royalty payments owed hereunder after the offset of such full royalty payments made to OSIF.</w:t>
      </w:r>
    </w:p>
    <w:p>
      <w:pPr>
        <w:spacing w:after="0" w:line="149"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b w:val="1"/>
          <w:bCs w:val="1"/>
          <w:color w:val="auto"/>
        </w:rPr>
        <w:t>5.4.7. Royalty Reports</w:t>
      </w:r>
      <w:r>
        <w:rPr>
          <w:rFonts w:ascii="Times New Roman" w:cs="Times New Roman" w:eastAsia="Times New Roman" w:hAnsi="Times New Roman"/>
          <w:sz w:val="21"/>
          <w:szCs w:val="21"/>
          <w:color w:val="auto"/>
        </w:rPr>
        <w:t>. Following the first sale of a Product giving rise to Net Sales and continuing for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remainder of the Royalty Term for such Product, within [***] after the end of each [***], Vertex will deliver a report to Company specifying on a Product-by-Product and country-by-country basis: (a) Net Sales in the relevant [***]; (b) to the extent such Net Sales include sales not denoted in US Dollars, a summary of the then-current exchange rate methodology(ies) used for the calculation of Net Sales in accordance with Section 5.9.2, and (c) royalties payable on such Net Sales,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Vertex will provide a good faith written estimate of such report under this Section 5.8 to Company within [***] after the end of each [***]. Unless the Sublicense Agreement has been assigned to OSIF, then the royalty report submitted by Vertex under this Section 5.4.7 will satisfy Vertex’s obligations under both this Section 5.4.7 and Section 6.3.7 of the Sublicense Agreement. All royalty payments due under this Section 5.4 for each [***] will be due and payable within [***] after the end of each [***]. [***].</w:t>
      </w:r>
    </w:p>
    <w:p>
      <w:pPr>
        <w:spacing w:after="0" w:line="150"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b w:val="1"/>
          <w:bCs w:val="1"/>
          <w:u w:val="single" w:color="auto"/>
          <w:color w:val="auto"/>
        </w:rPr>
        <w:t>Payments to OSIF</w:t>
      </w:r>
      <w:r>
        <w:rPr>
          <w:rFonts w:ascii="Times New Roman" w:cs="Times New Roman" w:eastAsia="Times New Roman" w:hAnsi="Times New Roman"/>
          <w:sz w:val="22"/>
          <w:szCs w:val="22"/>
          <w:color w:val="auto"/>
        </w:rPr>
        <w:t>. In the event the Sublicense Agreement is assigned to OSIF, (a) Vertex will be entitled to offset all payments made to OSIF with respect to the OSIF Patents and OSIF Know-How (each as defined in the Sublicense Agreement, including any amendments thereto made prior to such assignment to OSIF, but excluding any payments that Vertex has agreed to make under Section 7.1.1 of the Sublicense Agreement) against payments made to Company under this Agreement, and (b) in no event will the total payments made by Vertex to both Company and OSIF under this Agreement and the Sublicense Agreement exceed the amounts that would be due to Company under this Agreement if such Sublicense Agreement had not been assigned to OSIF.</w:t>
      </w:r>
    </w:p>
    <w:p>
      <w:pPr>
        <w:spacing w:after="0" w:line="14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b w:val="1"/>
          <w:bCs w:val="1"/>
          <w:u w:val="single" w:color="auto"/>
          <w:color w:val="auto"/>
        </w:rPr>
        <w:t>Company In-License Agreements</w:t>
      </w:r>
      <w:r>
        <w:rPr>
          <w:rFonts w:ascii="Times New Roman" w:cs="Times New Roman" w:eastAsia="Times New Roman" w:hAnsi="Times New Roman"/>
          <w:sz w:val="22"/>
          <w:szCs w:val="22"/>
          <w:color w:val="auto"/>
        </w:rPr>
        <w:t xml:space="preserve">. Certain of the Licensed Technology Controlled by Company as of the Execution Date was in-licensed or acquired by Company under the agreements with Third Party licensors or sellers listed on </w:t>
      </w:r>
      <w:r>
        <w:rPr>
          <w:rFonts w:ascii="Times New Roman" w:cs="Times New Roman" w:eastAsia="Times New Roman" w:hAnsi="Times New Roman"/>
          <w:sz w:val="22"/>
          <w:szCs w:val="22"/>
          <w:u w:val="single" w:color="auto"/>
          <w:color w:val="auto"/>
        </w:rPr>
        <w:t>Schedule 5.6</w:t>
      </w:r>
      <w:r>
        <w:rPr>
          <w:rFonts w:ascii="Times New Roman" w:cs="Times New Roman" w:eastAsia="Times New Roman" w:hAnsi="Times New Roman"/>
          <w:sz w:val="22"/>
          <w:szCs w:val="22"/>
          <w:color w:val="auto"/>
        </w:rPr>
        <w:t xml:space="preserve"> (such agreements, the “</w:t>
      </w:r>
      <w:r>
        <w:rPr>
          <w:rFonts w:ascii="Times New Roman" w:cs="Times New Roman" w:eastAsia="Times New Roman" w:hAnsi="Times New Roman"/>
          <w:sz w:val="22"/>
          <w:szCs w:val="22"/>
          <w:b w:val="1"/>
          <w:bCs w:val="1"/>
          <w:color w:val="auto"/>
        </w:rPr>
        <w:t>Company In-License Agreements</w:t>
      </w:r>
      <w:r>
        <w:rPr>
          <w:rFonts w:ascii="Times New Roman" w:cs="Times New Roman" w:eastAsia="Times New Roman" w:hAnsi="Times New Roman"/>
          <w:sz w:val="22"/>
          <w:szCs w:val="22"/>
          <w:color w:val="auto"/>
        </w:rPr>
        <w:t>”). All licenses and other rights granted to Vertex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395" w:right="339" w:bottom="1440" w:gutter="0" w:footer="0" w:header="0"/>
        </w:sectPr>
      </w:pPr>
    </w:p>
    <w:bookmarkStart w:id="290" w:name="page291"/>
    <w:bookmarkEnd w:id="290"/>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Agreement (including any sublicense rights) are subject to the rights and obligations of Company under the Company In-License Agreements. Vertex acknowledges and agrees that it will comply with all the obligations under the Company In-License Agreements to the extent applicable to Vertex as a sublicensee thereunder;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 Any payment obligations arising under the Company In-License Agreements as a result of the Research, Development, Manufacture and Commercialization of a Product by or on behalf of Vertex under this Agreement will be paid solely by Company unless such payment obligations are resulted from the breach of such Company In-License Agreements by Vertex.</w:t>
      </w:r>
    </w:p>
    <w:p>
      <w:pPr>
        <w:spacing w:after="0" w:line="14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5.7.</w:t>
      </w:r>
      <w:r>
        <w:rPr>
          <w:sz w:val="20"/>
          <w:szCs w:val="20"/>
          <w:color w:val="auto"/>
        </w:rPr>
        <w:tab/>
      </w:r>
      <w:r>
        <w:rPr>
          <w:rFonts w:ascii="Times New Roman" w:cs="Times New Roman" w:eastAsia="Times New Roman" w:hAnsi="Times New Roman"/>
          <w:sz w:val="21"/>
          <w:szCs w:val="21"/>
          <w:b w:val="1"/>
          <w:bCs w:val="1"/>
          <w:u w:val="single" w:color="auto"/>
          <w:color w:val="auto"/>
        </w:rPr>
        <w:t>New Company Agreements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5.7.1. </w:t>
      </w:r>
      <w:r>
        <w:rPr>
          <w:rFonts w:ascii="Times New Roman" w:cs="Times New Roman" w:eastAsia="Times New Roman" w:hAnsi="Times New Roman"/>
          <w:sz w:val="22"/>
          <w:szCs w:val="22"/>
          <w:color w:val="auto"/>
        </w:rPr>
        <w:t>Company may during the Term, enter into one or more agreements to acquire or in-license rights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additional intellectual property that, if solely owned by Company, without any encumbrance or restriction on licensing, would constitute Licensed Technology;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in the event Company enters into, after the Execution Date, any agreement with any Third Party (the “</w:t>
      </w:r>
      <w:r>
        <w:rPr>
          <w:rFonts w:ascii="Times New Roman" w:cs="Times New Roman" w:eastAsia="Times New Roman" w:hAnsi="Times New Roman"/>
          <w:sz w:val="22"/>
          <w:szCs w:val="22"/>
          <w:b w:val="1"/>
          <w:bCs w:val="1"/>
          <w:color w:val="auto"/>
        </w:rPr>
        <w:t>Grantor</w:t>
      </w:r>
      <w:r>
        <w:rPr>
          <w:rFonts w:ascii="Times New Roman" w:cs="Times New Roman" w:eastAsia="Times New Roman" w:hAnsi="Times New Roman"/>
          <w:sz w:val="22"/>
          <w:szCs w:val="22"/>
          <w:color w:val="auto"/>
        </w:rPr>
        <w:t>”) regarding the acquisition or license of rights to such additional intellectual property (such agreements, the “</w:t>
      </w:r>
      <w:r>
        <w:rPr>
          <w:rFonts w:ascii="Times New Roman" w:cs="Times New Roman" w:eastAsia="Times New Roman" w:hAnsi="Times New Roman"/>
          <w:sz w:val="22"/>
          <w:szCs w:val="22"/>
          <w:b w:val="1"/>
          <w:bCs w:val="1"/>
          <w:color w:val="auto"/>
        </w:rPr>
        <w:t>Proposed New Company Agreements</w:t>
      </w:r>
      <w:r>
        <w:rPr>
          <w:rFonts w:ascii="Times New Roman" w:cs="Times New Roman" w:eastAsia="Times New Roman" w:hAnsi="Times New Roman"/>
          <w:sz w:val="22"/>
          <w:szCs w:val="22"/>
          <w:color w:val="auto"/>
        </w:rPr>
        <w:t>”), then (a) such Proposed New Company Agreement will not [***], and (b) Company will use Commercially Reasonable Efforts to (i) ensure such Proposed New Company Agreement is [***] or (ii) [***]. Company will use reasonable efforts to include in any such Proposed New Company Agreement that is an in-license [***]. Company will provide Vertex with a substantially final draft of such Proposed New Company Agreement, unredacted solely to the extent that such draft relates to a Product or Licensed Agent, sufficiently in advance of execution so as to afford Vertex a meaningful opportunity to review such draft. Vertex may provide comments to such draft, and Company will [***] prior to execution of the Proposed New Company Agreement.</w:t>
      </w:r>
    </w:p>
    <w:p>
      <w:pPr>
        <w:spacing w:after="0" w:line="157"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b w:val="1"/>
          <w:bCs w:val="1"/>
          <w:color w:val="auto"/>
        </w:rPr>
        <w:t xml:space="preserve">5.7.2. </w:t>
      </w:r>
      <w:r>
        <w:rPr>
          <w:rFonts w:ascii="Times New Roman" w:cs="Times New Roman" w:eastAsia="Times New Roman" w:hAnsi="Times New Roman"/>
          <w:sz w:val="22"/>
          <w:szCs w:val="22"/>
          <w:color w:val="auto"/>
        </w:rPr>
        <w:t>Promptly following execution of a Proposed New Company Agreement, in the event that such Proposed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New Company Agreement is licensable or sublicensable to Vertex hereunder in accordance with the terms set forth therein, Company will provide to Vertex a copy of such Proposed New Company Agreement (which may be redacted to exclude provisions thereof that would not be applicable to Vertex as a licensee or sublicensee) with a summary of the terms of such agreement that would be applicable to Vertex as a licensee or sublicensee (as the case may be) thereunder (a “</w:t>
      </w:r>
      <w:r>
        <w:rPr>
          <w:rFonts w:ascii="Times New Roman" w:cs="Times New Roman" w:eastAsia="Times New Roman" w:hAnsi="Times New Roman"/>
          <w:sz w:val="22"/>
          <w:szCs w:val="22"/>
          <w:b w:val="1"/>
          <w:bCs w:val="1"/>
          <w:color w:val="auto"/>
        </w:rPr>
        <w:t>Licensee</w:t>
      </w:r>
      <w:r>
        <w:rPr>
          <w:rFonts w:ascii="Times New Roman" w:cs="Times New Roman" w:eastAsia="Times New Roman" w:hAnsi="Times New Roman"/>
          <w:sz w:val="22"/>
          <w:szCs w:val="22"/>
          <w:color w:val="auto"/>
        </w:rPr>
        <w:t>”) and any milestone and royalty payments that would be owed to such Grantor arising out of Vertex’s practice of the intellectual property subject to the applicable Proposed New Company Agreement. Company will discuss in good faith with Vertex to determine whether Vertex will take a license or sublicense (as the case may be) under all or a portion of the intellectual property rights that are the subject of such Proposed New Company Agreement. Following written notice by Vertex that it desires to have such intellectual property rights included in the license granted under this Agreement and be subject to the terms of such Proposed New Company Agreement that are applicable to a Licensee thereunder, such intellectual property rights described in such notice will automatically be deemed included in the Licensed Technology (any such Proposed New Company Agreement with respect to intellectual property rights that are included in the Licensed Technology pursuant to this sentence, a “</w:t>
      </w:r>
      <w:r>
        <w:rPr>
          <w:rFonts w:ascii="Times New Roman" w:cs="Times New Roman" w:eastAsia="Times New Roman" w:hAnsi="Times New Roman"/>
          <w:sz w:val="22"/>
          <w:szCs w:val="22"/>
          <w:b w:val="1"/>
          <w:bCs w:val="1"/>
          <w:color w:val="auto"/>
        </w:rPr>
        <w:t>New 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Any payment obligations arising under the New Company Agreements as a result of the license or sublicense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granted to Vertex or the Research, Development, Manufacture or Commercialization of a Product in the Field by or on behalf of Vertex or any of its Affiliates or Sublicensees, after application of all available reductions to and deductions from such payment obligations under the applicable New Company Agreement (but, for the avoidance of doubt, excluding any such payment obligations of Company with respect to licensing or sublicensing income (as the case may be) received by Company), will be paid by Company and reimbursed by Vertex in accordance with this Section 5.7.2 and such amounts reimbursed by Vertex will be treated as Selected Third Party Intellectual Property Costs paid by Vertex pursuant to Section 5.4.5. Except as set forth in the immediately preceding sentence,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395" w:right="339" w:bottom="1440" w:gutter="0" w:footer="0" w:header="0"/>
        </w:sectPr>
      </w:pPr>
    </w:p>
    <w:bookmarkStart w:id="291" w:name="page292"/>
    <w:bookmarkEnd w:id="291"/>
    <w:p>
      <w:pPr>
        <w:jc w:val="both"/>
        <w:spacing w:after="0" w:line="208" w:lineRule="auto"/>
        <w:rPr>
          <w:sz w:val="20"/>
          <w:szCs w:val="20"/>
          <w:color w:val="auto"/>
        </w:rPr>
      </w:pPr>
      <w:r>
        <w:rPr>
          <w:rFonts w:ascii="Times New Roman" w:cs="Times New Roman" w:eastAsia="Times New Roman" w:hAnsi="Times New Roman"/>
          <w:sz w:val="22"/>
          <w:szCs w:val="22"/>
          <w:color w:val="auto"/>
        </w:rPr>
        <w:t>will be responsible for all other payment obligations under such agreements (including any such payment obligations with respect to licensing or sublicensing income (as the case may be) received by Company). Company will provide Vertex with a reasonably detailed invoice for any payments made by Company under a New Company Agreement that are reimbursable by Vertex pursuant to this Section 5.7.2 within [***] of the end of each [***] in which any such payments were made by Company, and Vertex will pay the undisputed portion of such invoices within [***] of receipt thereof. All rights granted to Vertex under such New Company Agreement will be subject to the terms and conditions of such New Company Agreement and Vertex will comply with all terms of such New Company Agreement applicable to Vertex, its Affiliates or Sublicensees thereunder. For clarity, Vertex and its Affiliates will be obligated to reimburse a given amount owed under a New Company Agreement one time only. Notwithstanding the foregoing, Vertex may, in its sole discretion, notify Company that it elects to terminate its license or sublicense with respect to any New Company Agreement with [***] prior written notice, whereupon such termination, such New Company Agreement, as applicable, will be deemed not to be a New Company Agreement, as applicable, under this Agreement and the intellectual property rights licensed or sublicensed to Vertex thereunder will no longer constitute Licensed Technology, in which case, Vertex’s reimbursement obligations under this Section 5.7.2 will terminate with respect to such New Company Agreement. Except as otherwise provided in this Agreement, as between the Parties, Company will be responsible for all payments in connection with any New Company Agreement unless such payment obligations are resulted from the material breach of such New Company Agreement by Vertex.</w:t>
      </w:r>
    </w:p>
    <w:p>
      <w:pPr>
        <w:spacing w:after="0" w:line="160"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5.7.3. </w:t>
      </w:r>
      <w:r>
        <w:rPr>
          <w:rFonts w:ascii="Times New Roman" w:cs="Times New Roman" w:eastAsia="Times New Roman" w:hAnsi="Times New Roman"/>
          <w:sz w:val="22"/>
          <w:szCs w:val="22"/>
          <w:color w:val="auto"/>
        </w:rPr>
        <w:t>Notwithstanding anything to the contrary herein, Company’s obligations under this Section 5.7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a Proposed New Company Agreement will not apply to the extent such Proposed New Company Agreement relates to Patents or Know-How that, pursuant to Section 1.46, Company and its Affiliates are deemed to not Control following a Change of Control.</w:t>
      </w:r>
    </w:p>
    <w:p>
      <w:pPr>
        <w:spacing w:after="0" w:line="14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5.8.</w:t>
      </w:r>
      <w:r>
        <w:rPr>
          <w:sz w:val="20"/>
          <w:szCs w:val="20"/>
          <w:color w:val="auto"/>
        </w:rPr>
        <w:tab/>
      </w:r>
      <w:r>
        <w:rPr>
          <w:rFonts w:ascii="Times New Roman" w:cs="Times New Roman" w:eastAsia="Times New Roman" w:hAnsi="Times New Roman"/>
          <w:sz w:val="21"/>
          <w:szCs w:val="21"/>
          <w:b w:val="1"/>
          <w:bCs w:val="1"/>
          <w:u w:val="single" w:color="auto"/>
          <w:color w:val="auto"/>
        </w:rPr>
        <w:t>Funding</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b w:val="1"/>
          <w:bCs w:val="1"/>
          <w:color w:val="auto"/>
        </w:rPr>
        <w:t>5.8.1. Cost Reimbursement</w:t>
      </w:r>
      <w:r>
        <w:rPr>
          <w:rFonts w:ascii="Times New Roman" w:cs="Times New Roman" w:eastAsia="Times New Roman" w:hAnsi="Times New Roman"/>
          <w:sz w:val="22"/>
          <w:szCs w:val="22"/>
          <w:color w:val="auto"/>
        </w:rPr>
        <w:t>. Vertex will reimburse Company for (a) its FTE Costs, Out-of-Pocket Costs,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Manufacturing Costs actually incurred by Company or its Affiliates for Research Activities performed in accordance with Research Plan and Research Budget;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Vertex will not reimburse Company for any FTE Costs, Out-of-Pocket Costs, or Manufacturing Costs incurred during any [***] in the conduct of Research Activities in excess of [***]% of the relevant Research Budget for such [***] and (ii) Company will be solely responsible for all such excess expenses above [***]% of the Research Budget incurred during such [***], unless (A) the cause of the excess expenditure is [***] or (B) otherwise agreed in writing by Vertex (including pursuant to a revised Research Budget), and (b) Manufacturing Costs actually incurred by Company for any ENTR-701 Manufactured and supplied to Vertex for its Development activities pursuant to the Supply Agreement. Vertex will be responsible for its costs and expenses incurred in the performance of Research Activities.</w:t>
      </w:r>
    </w:p>
    <w:p>
      <w:pPr>
        <w:spacing w:after="0" w:line="149" w:lineRule="exact"/>
        <w:rPr>
          <w:sz w:val="20"/>
          <w:szCs w:val="20"/>
          <w:color w:val="auto"/>
        </w:rPr>
      </w:pPr>
    </w:p>
    <w:p>
      <w:pPr>
        <w:jc w:val="both"/>
        <w:ind w:firstLine="1296"/>
        <w:spacing w:after="0" w:line="219" w:lineRule="auto"/>
        <w:rPr>
          <w:sz w:val="20"/>
          <w:szCs w:val="20"/>
          <w:color w:val="auto"/>
        </w:rPr>
      </w:pPr>
      <w:r>
        <w:rPr>
          <w:rFonts w:ascii="Times New Roman" w:cs="Times New Roman" w:eastAsia="Times New Roman" w:hAnsi="Times New Roman"/>
          <w:sz w:val="21"/>
          <w:szCs w:val="21"/>
          <w:b w:val="1"/>
          <w:bCs w:val="1"/>
          <w:color w:val="auto"/>
        </w:rPr>
        <w:t>5.8.2. Additional Research Costs</w:t>
      </w:r>
      <w:r>
        <w:rPr>
          <w:rFonts w:ascii="Times New Roman" w:cs="Times New Roman" w:eastAsia="Times New Roman" w:hAnsi="Times New Roman"/>
          <w:sz w:val="21"/>
          <w:szCs w:val="21"/>
          <w:color w:val="auto"/>
        </w:rPr>
        <w:t>. Vertex will reimburse Company for its FTE Costs and Out-of-Pocket Costs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actually incurred by Company or its Affiliates for Additional Research Activities performed in accordance with Additional Research Plan and Additional Research Budget;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Vertex will not reimburse Company for any FTE Costs or Out-of-Pocket Costs incurred during any [***] in the conduct of Additional Research Activities in excess of [***]% of the relevant Additional Research Budget for such [***] and (b) Company will be solely responsible for all such excess expenses above [***]% of the Additional Research Budget incurred during such [***], unless (A) the cause of the excess expenditure is [***] or</w:t>
      </w:r>
    </w:p>
    <w:p>
      <w:pPr>
        <w:spacing w:after="0" w:line="2" w:lineRule="exact"/>
        <w:rPr>
          <w:sz w:val="20"/>
          <w:szCs w:val="20"/>
          <w:color w:val="auto"/>
        </w:rPr>
      </w:pPr>
    </w:p>
    <w:p>
      <w:pPr>
        <w:ind w:left="360" w:hanging="352"/>
        <w:spacing w:after="0"/>
        <w:tabs>
          <w:tab w:leader="none" w:pos="36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agreed in writing by Vertex (including pursuant to a revised Additional Research Budget).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5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395" w:right="339" w:bottom="1440" w:gutter="0" w:footer="0" w:header="0"/>
        </w:sectPr>
      </w:pPr>
    </w:p>
    <w:bookmarkStart w:id="292" w:name="page293"/>
    <w:bookmarkEnd w:id="292"/>
    <w:p>
      <w:pPr>
        <w:ind w:left="130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5.8.3.</w:t>
        <w:tab/>
        <w:t>Payments</w:t>
      </w:r>
      <w:r>
        <w:rPr>
          <w:rFonts w:ascii="Times New Roman" w:cs="Times New Roman" w:eastAsia="Times New Roman" w:hAnsi="Times New Roman"/>
          <w:sz w:val="22"/>
          <w:szCs w:val="22"/>
          <w:color w:val="auto"/>
        </w:rPr>
        <w:t>. Any payments to be made to Company by Vertex pursuant to this Section 5.8 will be made</w:t>
      </w:r>
    </w:p>
    <w:p>
      <w:pPr>
        <w:jc w:val="both"/>
        <w:ind w:firstLine="8"/>
        <w:spacing w:after="0" w:line="214" w:lineRule="auto"/>
        <w:tabs>
          <w:tab w:leader="none" w:pos="530"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arrears pursuant to invoices submitted by Company to Vertex within [***] following the end of the applicable [***] for which such costs have been incurred;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Company will provide a good faith written estimate of any costs for which reimbursement is due under this Section 5.8 within [***] after each [***]. Each such invoice will be accompanied by reasonable supporting documentation evidencing the expenses incurred for Research Activities or Additional Research Activities, including Manufacturing activities, (such activities to be itemized) during such [***]. Undisputed payments will be due within [***] after Vertex receives such an invoice from Company. The Parties agree to discuss in good faith to resolve any payment disputes within</w:t>
      </w:r>
    </w:p>
    <w:p>
      <w:pPr>
        <w:spacing w:after="0" w:line="4" w:lineRule="exact"/>
        <w:rPr>
          <w:rFonts w:ascii="Times New Roman" w:cs="Times New Roman" w:eastAsia="Times New Roman" w:hAnsi="Times New Roman"/>
          <w:sz w:val="21"/>
          <w:szCs w:val="21"/>
          <w:color w:val="auto"/>
        </w:rPr>
      </w:pPr>
    </w:p>
    <w:p>
      <w:pPr>
        <w:ind w:left="520" w:hanging="512"/>
        <w:spacing w:after="0"/>
        <w:tabs>
          <w:tab w:leader="none" w:pos="52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such dispute.</w:t>
      </w:r>
    </w:p>
    <w:p>
      <w:pPr>
        <w:spacing w:after="0" w:line="15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5.9.</w:t>
      </w:r>
      <w:r>
        <w:rPr>
          <w:sz w:val="20"/>
          <w:szCs w:val="20"/>
          <w:color w:val="auto"/>
        </w:rPr>
        <w:tab/>
      </w:r>
      <w:r>
        <w:rPr>
          <w:rFonts w:ascii="Times New Roman" w:cs="Times New Roman" w:eastAsia="Times New Roman" w:hAnsi="Times New Roman"/>
          <w:sz w:val="21"/>
          <w:szCs w:val="21"/>
          <w:b w:val="1"/>
          <w:bCs w:val="1"/>
          <w:u w:val="single" w:color="auto"/>
          <w:color w:val="auto"/>
        </w:rPr>
        <w:t>Payment Terms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5.9.1. Currency; Payment Method</w:t>
      </w:r>
      <w:r>
        <w:rPr>
          <w:rFonts w:ascii="Times New Roman" w:cs="Times New Roman" w:eastAsia="Times New Roman" w:hAnsi="Times New Roman"/>
          <w:sz w:val="22"/>
          <w:szCs w:val="22"/>
          <w:color w:val="auto"/>
        </w:rPr>
        <w:t>. All payments under this Agreement are expressed in U.S. Dollars and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paid in U.S. Dollars, in immediately available funds by wire transfer or Automated Clearing House (ACH) payment to an account designated by Company (which account Company may update from time to time in writing).</w:t>
      </w:r>
    </w:p>
    <w:p>
      <w:pPr>
        <w:spacing w:after="0" w:line="146"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b w:val="1"/>
          <w:bCs w:val="1"/>
          <w:color w:val="auto"/>
        </w:rPr>
        <w:t>5.9.2. Exchange; Interest</w:t>
      </w:r>
      <w:r>
        <w:rPr>
          <w:rFonts w:ascii="Times New Roman" w:cs="Times New Roman" w:eastAsia="Times New Roman" w:hAnsi="Times New Roman"/>
          <w:sz w:val="21"/>
          <w:szCs w:val="21"/>
          <w:color w:val="auto"/>
        </w:rPr>
        <w:t>. If any amounts that are relevant to the determination of amounts to be paid under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or any calculations to be performed under this Agreement are denoted in a currency other than U.S. Dollars, such amounts will be converted to their U.S. Dollar equivalent using Vertex’s then-current standard procedures and methodology, including its then-current standard exchange rate methodology for the translation of foreign currency expenses into U.S. Dollars or, in the case of Sublicensees, such similar methodology, consistently applied. Calculation of Net Sales will exclude hedging and foreign exchange gain or loss realized through a hedging program. Interest will be payable by Vertex on any amounts payable to Company under this Agreement which are not paid by the date they become due. All interest will accrue (both before and after any judgment) at an annual rate equal to [***] percentage points above the United States effective Federal Funds Rate, on the date such payment first became due (but in no event in excess of the maximum rate permissible by Applicable Law).</w:t>
      </w:r>
    </w:p>
    <w:p>
      <w:pPr>
        <w:spacing w:after="0" w:line="150"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1"/>
          <w:szCs w:val="21"/>
          <w:color w:val="auto"/>
        </w:rPr>
        <w:t xml:space="preserve">5.10. </w:t>
      </w:r>
      <w:r>
        <w:rPr>
          <w:rFonts w:ascii="Times New Roman" w:cs="Times New Roman" w:eastAsia="Times New Roman" w:hAnsi="Times New Roman"/>
          <w:sz w:val="21"/>
          <w:szCs w:val="21"/>
          <w:b w:val="1"/>
          <w:bCs w:val="1"/>
          <w:u w:val="single" w:color="auto"/>
          <w:color w:val="auto"/>
        </w:rPr>
        <w:t>Withholding Tax</w:t>
      </w:r>
      <w:r>
        <w:rPr>
          <w:rFonts w:ascii="Times New Roman" w:cs="Times New Roman" w:eastAsia="Times New Roman" w:hAnsi="Times New Roman"/>
          <w:sz w:val="21"/>
          <w:szCs w:val="21"/>
          <w:color w:val="auto"/>
        </w:rPr>
        <w:t>. Where any sum due to be paid to Company hereunder is subject to any withholding or similar tax as required by Applicable Law, Vertex will pay such withholding or similar tax to the appropriate Governmental Authority and deduct the amount paid from the amount then due to Company. Vertex will in a timely manner transmit to Company an official tax certificate or other evidence of such withholding sufficient to enable Company to claim such payment of taxes. The Parties will cooperate with one another and use reasonable efforts to reduce or eliminate tax withholding or similar obligations in respect of royalties, milestone payments, and other payments made by Vertex to Company under this Agreement. Company will provide Vertex any tax forms that may be reasonably necessary in order for Vertex not to withhold tax or to withhold tax at a reduced rate under an applicable bilateral income tax treaty. Each Party will provide the other with reasonable assistance to enable the recovery, as permitted by Applicable Laws, of withholding taxes, value added taxes, or similar obligations resulting from payments made under this Agreement, such recovery to be for the benefit of the Party bearing such withholding tax or value added tax. Notwithstanding anything in this Agreement to the contrary, if any assignment, or sublicense or a similar transfer of rights or obligations under this Agreement (including through merger or acquisition) by Vertex leads to the imposition of withholding tax liability on any amounts payable under this Agreement that would not have been imposed in the absence of such action or in an increase in such liability above the liability that would have been imposed in the absence of such action, then the sum payable by Vertex (in respect of which such deduction or withholding is required to be made) will be increased to the extent necessary to ensure that Company receives a sum equal to the sum which it would have received had no such action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382" w:right="339" w:bottom="1440" w:gutter="0" w:footer="0" w:header="0"/>
        </w:sectPr>
      </w:pPr>
    </w:p>
    <w:bookmarkStart w:id="293" w:name="page294"/>
    <w:bookmarkEnd w:id="293"/>
    <w:p>
      <w:pPr>
        <w:jc w:val="both"/>
        <w:ind w:firstLine="648"/>
        <w:spacing w:after="0" w:line="207" w:lineRule="auto"/>
        <w:rPr>
          <w:sz w:val="20"/>
          <w:szCs w:val="20"/>
          <w:color w:val="auto"/>
        </w:rPr>
      </w:pPr>
      <w:r>
        <w:rPr>
          <w:rFonts w:ascii="Times New Roman" w:cs="Times New Roman" w:eastAsia="Times New Roman" w:hAnsi="Times New Roman"/>
          <w:sz w:val="22"/>
          <w:szCs w:val="22"/>
          <w:color w:val="auto"/>
        </w:rPr>
        <w:t xml:space="preserve">5.11. </w:t>
      </w:r>
      <w:r>
        <w:rPr>
          <w:rFonts w:ascii="Times New Roman" w:cs="Times New Roman" w:eastAsia="Times New Roman" w:hAnsi="Times New Roman"/>
          <w:sz w:val="22"/>
          <w:szCs w:val="22"/>
          <w:b w:val="1"/>
          <w:bCs w:val="1"/>
          <w:u w:val="single" w:color="auto"/>
          <w:color w:val="auto"/>
        </w:rPr>
        <w:t>Records; Audits</w:t>
      </w:r>
      <w:r>
        <w:rPr>
          <w:rFonts w:ascii="Times New Roman" w:cs="Times New Roman" w:eastAsia="Times New Roman" w:hAnsi="Times New Roman"/>
          <w:sz w:val="22"/>
          <w:szCs w:val="22"/>
          <w:color w:val="auto"/>
        </w:rPr>
        <w:t>. Vertex and its Affiliates will, and will cause their respective Sublicensees to, keep and maintain accurate and complete records regarding Net Sales during the [***]. Company and its Affiliates will, and will require their respective Subcontractors to, keep accurate and complete records regarding all FTE Costs and Out-of-Pocket Costs incurred in connection with the performance of Research Activities and Additional Research Activities in sufficient detail to confirm the accuracy of any payments required under this Agreement, covering the [***]. Upon [***] prior written notice from the other Party (the “</w:t>
      </w:r>
      <w:r>
        <w:rPr>
          <w:rFonts w:ascii="Times New Roman" w:cs="Times New Roman" w:eastAsia="Times New Roman" w:hAnsi="Times New Roman"/>
          <w:sz w:val="22"/>
          <w:szCs w:val="22"/>
          <w:b w:val="1"/>
          <w:bCs w:val="1"/>
          <w:color w:val="auto"/>
        </w:rPr>
        <w:t>Auditing Party</w:t>
      </w:r>
      <w:r>
        <w:rPr>
          <w:rFonts w:ascii="Times New Roman" w:cs="Times New Roman" w:eastAsia="Times New Roman" w:hAnsi="Times New Roman"/>
          <w:sz w:val="22"/>
          <w:szCs w:val="22"/>
          <w:color w:val="auto"/>
        </w:rPr>
        <w:t>”), the Party required to maintain such records (as applicable, the “</w:t>
      </w:r>
      <w:r>
        <w:rPr>
          <w:rFonts w:ascii="Times New Roman" w:cs="Times New Roman" w:eastAsia="Times New Roman" w:hAnsi="Times New Roman"/>
          <w:sz w:val="22"/>
          <w:szCs w:val="22"/>
          <w:b w:val="1"/>
          <w:bCs w:val="1"/>
          <w:color w:val="auto"/>
        </w:rPr>
        <w:t>Audited Party</w:t>
      </w:r>
      <w:r>
        <w:rPr>
          <w:rFonts w:ascii="Times New Roman" w:cs="Times New Roman" w:eastAsia="Times New Roman" w:hAnsi="Times New Roman"/>
          <w:sz w:val="22"/>
          <w:szCs w:val="22"/>
          <w:color w:val="auto"/>
        </w:rPr>
        <w:t>”) will permit an independent certified public accounting firm of internationally recognized standing, selected by the Auditing Party and reasonably acceptable to the Audited Party, to examine the relevant books and records of the Audited Party and its Affiliates and Sublicensees as may be reasonably necessary to verify the royalty reports submitted by Vertex in accordance with Section 5.4.6 or the FTE Costs and Out-of-Pocket Costs reported by Company in accordance with Section 5.8.1 and Section 5.8.2, as applicable. An examination by the Auditing Party under this Section 5.11 will occur not more than [***] and will be limited to the pertinent books and records for any [***] ending not more than [***] before the date of the request. The accounting firm will be provided access to such books and records at the Audited Party’s facility or facilities where such books and records are normally kept and such examination will be conducted during the Audited Party’s normal business hours. The Audited Party may require the accounting firm to sign a customary non-disclosure agreement before providing the accounting firm access to its facilities or records. Upon completion of the audit, the accounting firm will provide both Parties a written report disclosing whether the reports submitted by Vertex or the FTE Costs and Out-of-Pocket Costs submitted by Company, as applicable, are correct or incorrect and the specific details concerning any discrepancies. No other information will be provided to the Auditing Party. If the report or information submitted by the Audited Party resulted in an underpayment or overpayment, the Party owing the underpaid or overpaid amount will promptly pay such amount to the other Party. The costs and fees of any audit conducted by the Auditing Party under this Section 5.11 will be borne by the Auditing Party, unless such audit reveals an underpayment of amounts owed to or an overpayment of amounts owed by the Auditing Party of more than [***] percent of the amount that was owed by the Audited Party or owed to the Audited Party, as applicable, with respect to the relevant period, in which case, the Audited Party will reimburse the Auditing Party for the reasonable expense incurred by the Auditing Party in connection with the audit.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jc w:val="center"/>
        <w:spacing w:after="0"/>
        <w:rPr>
          <w:sz w:val="20"/>
          <w:szCs w:val="20"/>
          <w:color w:val="auto"/>
        </w:rPr>
      </w:pPr>
      <w:r>
        <w:rPr>
          <w:rFonts w:ascii="Times New Roman" w:cs="Times New Roman" w:eastAsia="Times New Roman" w:hAnsi="Times New Roman"/>
          <w:sz w:val="22"/>
          <w:szCs w:val="22"/>
          <w:b w:val="1"/>
          <w:bCs w:val="1"/>
          <w:color w:val="auto"/>
        </w:rPr>
        <w:t>INTELLECTUAL PROPERTY</w:t>
      </w:r>
    </w:p>
    <w:p>
      <w:pPr>
        <w:spacing w:after="0" w:line="15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b w:val="1"/>
          <w:bCs w:val="1"/>
          <w:u w:val="single" w:color="auto"/>
          <w:color w:val="auto"/>
        </w:rPr>
        <w:t>Ownership of Agreement Technology</w:t>
      </w:r>
      <w:r>
        <w:rPr>
          <w:rFonts w:ascii="Times New Roman" w:cs="Times New Roman" w:eastAsia="Times New Roman" w:hAnsi="Times New Roman"/>
          <w:sz w:val="22"/>
          <w:szCs w:val="22"/>
          <w:color w:val="auto"/>
        </w:rPr>
        <w:t>. For purposes of determining ownership under this Section 6.1, inventorship will be determined in accordance with United States patent laws (regardless of where the applicable activities occurred).</w:t>
      </w:r>
    </w:p>
    <w:p>
      <w:pPr>
        <w:spacing w:after="0" w:line="146"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b w:val="1"/>
          <w:bCs w:val="1"/>
          <w:color w:val="auto"/>
        </w:rPr>
        <w:t>6.1.1. Company Agreement Technology</w:t>
      </w:r>
      <w:r>
        <w:rPr>
          <w:rFonts w:ascii="Times New Roman" w:cs="Times New Roman" w:eastAsia="Times New Roman" w:hAnsi="Times New Roman"/>
          <w:sz w:val="22"/>
          <w:szCs w:val="22"/>
          <w:color w:val="auto"/>
        </w:rPr>
        <w:t>. As between the Parties, Company will be the sole owner of [***]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(b), collectively, the “</w:t>
      </w:r>
      <w:r>
        <w:rPr>
          <w:rFonts w:ascii="Times New Roman" w:cs="Times New Roman" w:eastAsia="Times New Roman" w:hAnsi="Times New Roman"/>
          <w:sz w:val="22"/>
          <w:szCs w:val="22"/>
          <w:b w:val="1"/>
          <w:bCs w:val="1"/>
          <w:color w:val="auto"/>
        </w:rPr>
        <w:t>Company Agreement Know-How</w:t>
      </w:r>
      <w:r>
        <w:rPr>
          <w:rFonts w:ascii="Times New Roman" w:cs="Times New Roman" w:eastAsia="Times New Roman" w:hAnsi="Times New Roman"/>
          <w:sz w:val="22"/>
          <w:szCs w:val="22"/>
          <w:color w:val="auto"/>
        </w:rPr>
        <w:t>”) and any Patents that claim Company Agreement Know-How (“</w:t>
      </w:r>
      <w:r>
        <w:rPr>
          <w:rFonts w:ascii="Times New Roman" w:cs="Times New Roman" w:eastAsia="Times New Roman" w:hAnsi="Times New Roman"/>
          <w:sz w:val="22"/>
          <w:szCs w:val="22"/>
          <w:b w:val="1"/>
          <w:bCs w:val="1"/>
          <w:color w:val="auto"/>
        </w:rPr>
        <w:t>Company Agreement Patents</w:t>
      </w:r>
      <w:r>
        <w:rPr>
          <w:rFonts w:ascii="Times New Roman" w:cs="Times New Roman" w:eastAsia="Times New Roman" w:hAnsi="Times New Roman"/>
          <w:sz w:val="22"/>
          <w:szCs w:val="22"/>
          <w:color w:val="auto"/>
        </w:rPr>
        <w:t>” and together with the Company Agreement Know-How, the “</w:t>
      </w:r>
      <w:r>
        <w:rPr>
          <w:rFonts w:ascii="Times New Roman" w:cs="Times New Roman" w:eastAsia="Times New Roman" w:hAnsi="Times New Roman"/>
          <w:sz w:val="22"/>
          <w:szCs w:val="22"/>
          <w:b w:val="1"/>
          <w:bCs w:val="1"/>
          <w:color w:val="auto"/>
        </w:rPr>
        <w:t>Company 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Technology</w:t>
      </w:r>
      <w:r>
        <w:rPr>
          <w:rFonts w:ascii="Times New Roman" w:cs="Times New Roman" w:eastAsia="Times New Roman" w:hAnsi="Times New Roman"/>
          <w:sz w:val="22"/>
          <w:szCs w:val="22"/>
          <w:color w:val="auto"/>
        </w:rPr>
        <w:t>”), and will retain all of its rights thereto, subject to any rights or licenses expressly granted by Company to Vertex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Agreement. Vertex will promptly disclose to Company in writing, and will cause its Affiliates to so disclose, the discovery, development, invention or creation of any Company Core Technology Improvements, whether discovered, developed, invented or created solely or jointly by Vertex or its Affiliates or Third Parties acting on its or their behalf. Company will promptly disclose to Vertex in writing, and will cause its Affiliates to so disclose, the discovery, development, invention or creation of any other Company Agreement Know-How or Company Agreement Patent within the Licensed Technology. Vertex hereby assigns to Company, Vertex’s rights, title, and interests in and to the Company Core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391" w:right="339" w:bottom="1440" w:gutter="0" w:footer="0" w:header="0"/>
        </w:sectPr>
      </w:pPr>
    </w:p>
    <w:bookmarkStart w:id="294" w:name="page295"/>
    <w:bookmarkEnd w:id="294"/>
    <w:p>
      <w:pPr>
        <w:jc w:val="both"/>
        <w:spacing w:after="0" w:line="211" w:lineRule="auto"/>
        <w:rPr>
          <w:sz w:val="20"/>
          <w:szCs w:val="20"/>
          <w:color w:val="auto"/>
        </w:rPr>
      </w:pPr>
      <w:r>
        <w:rPr>
          <w:rFonts w:ascii="Times New Roman" w:cs="Times New Roman" w:eastAsia="Times New Roman" w:hAnsi="Times New Roman"/>
          <w:sz w:val="22"/>
          <w:szCs w:val="22"/>
          <w:color w:val="auto"/>
        </w:rPr>
        <w:t>Improvements and all intellectual property rights (including Patents) therein. Vertex will take (and cause its Affiliates and Sublicensees, and their respective employees, agents, and contractors to take) such further actions reasonably requested by Company to evidence such assignment and to assist Company in obtaining Patents and other intellectual property protection for such Company Core Technology Improvements and all intellectual property rights therein, including executing further assignments, consents, releases, and other commercially reasonable documentation and providing good faith testimony by affidavit, declaration, in-person, or other proper means in support of any effort by Company to establish, perfect, defend, or enforce its rights in any Company Core Technology Improvements through prosecution of governmental filings, regulatory proceedings, litigation, and other means. Vertex will obligate its Affiliates, Sublicensees, and Subcontractors to assign all Company Core Technology Improvements to Vertex (or directly to Company) so that Vertex can comply with its obligations under this Section 6.1.1, and Vertex will promptly obtain any such assignment.</w:t>
      </w:r>
    </w:p>
    <w:p>
      <w:pPr>
        <w:spacing w:after="0" w:line="148"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b w:val="1"/>
          <w:bCs w:val="1"/>
          <w:color w:val="auto"/>
        </w:rPr>
        <w:t>6.1.2. Vertex Agreement Technology</w:t>
      </w:r>
      <w:r>
        <w:rPr>
          <w:rFonts w:ascii="Times New Roman" w:cs="Times New Roman" w:eastAsia="Times New Roman" w:hAnsi="Times New Roman"/>
          <w:sz w:val="22"/>
          <w:szCs w:val="22"/>
          <w:color w:val="auto"/>
        </w:rPr>
        <w:t>. As between the Parties, Vertex will be the sole owner of [***] ((a)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 collectively, the “</w:t>
      </w:r>
      <w:r>
        <w:rPr>
          <w:rFonts w:ascii="Times New Roman" w:cs="Times New Roman" w:eastAsia="Times New Roman" w:hAnsi="Times New Roman"/>
          <w:sz w:val="22"/>
          <w:szCs w:val="22"/>
          <w:b w:val="1"/>
          <w:bCs w:val="1"/>
          <w:color w:val="auto"/>
        </w:rPr>
        <w:t>Vertex Agreement Know-How</w:t>
      </w:r>
      <w:r>
        <w:rPr>
          <w:rFonts w:ascii="Times New Roman" w:cs="Times New Roman" w:eastAsia="Times New Roman" w:hAnsi="Times New Roman"/>
          <w:sz w:val="22"/>
          <w:szCs w:val="22"/>
          <w:color w:val="auto"/>
        </w:rPr>
        <w:t>”) and any Patents that claim Vertex Agreement Know-How (“</w:t>
      </w:r>
      <w:r>
        <w:rPr>
          <w:rFonts w:ascii="Times New Roman" w:cs="Times New Roman" w:eastAsia="Times New Roman" w:hAnsi="Times New Roman"/>
          <w:sz w:val="22"/>
          <w:szCs w:val="22"/>
          <w:b w:val="1"/>
          <w:bCs w:val="1"/>
          <w:color w:val="auto"/>
        </w:rPr>
        <w:t>Vertex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 Patents</w:t>
      </w:r>
      <w:r>
        <w:rPr>
          <w:rFonts w:ascii="Times New Roman" w:cs="Times New Roman" w:eastAsia="Times New Roman" w:hAnsi="Times New Roman"/>
          <w:sz w:val="22"/>
          <w:szCs w:val="22"/>
          <w:color w:val="auto"/>
        </w:rPr>
        <w:t>” and together with the Vertex Agreement Know-How, the “</w:t>
      </w:r>
      <w:r>
        <w:rPr>
          <w:rFonts w:ascii="Times New Roman" w:cs="Times New Roman" w:eastAsia="Times New Roman" w:hAnsi="Times New Roman"/>
          <w:sz w:val="22"/>
          <w:szCs w:val="22"/>
          <w:b w:val="1"/>
          <w:bCs w:val="1"/>
          <w:color w:val="auto"/>
        </w:rPr>
        <w:t>Vertex Agreement Technology</w:t>
      </w:r>
      <w:r>
        <w:rPr>
          <w:rFonts w:ascii="Times New Roman" w:cs="Times New Roman" w:eastAsia="Times New Roman" w:hAnsi="Times New Roman"/>
          <w:sz w:val="22"/>
          <w:szCs w:val="22"/>
          <w:color w:val="auto"/>
        </w:rPr>
        <w:t>”), and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retain all of its rights thereto, subject to any rights or licenses expressly granted by Vertex to Company under this Agreement. Company will promptly disclose to Vertex in writing, and will cause its Affiliates to so disclose, the discovery, development, invention or creation of any Vertex Core Technology Improvements, whether discovered, developed, invented or created solely or jointly by Company or its Affiliates or Third Parties acting on its or their behalf. Company hereby assigns to Vertex, Company’s rights, title, and interests in and to the Vertex Core Technology Improvements and all intellectual property rights (including Patents) therein. Company will take (and cause its Affiliates, and their respective employees, agents, and contractors to take) such further actions reasonably requested by Vertex to evidence such assignment and to assist Vertex in obtaining Patents and other intellectual property protection for such Vertex Core Technology Improvements and all intellectual property rights therein, including executing further assignments, consents, releases, and other commercially reasonable documentation and providing good faith testimony by affidavit, declaration, in-person, or other proper means in support of any effort by Vertex to establish, perfect, defend, or enforce its rights in any Vertex Core Technology Improvements through prosecution of governmental filings, regulatory proceedings, litigation, and other means. Company will obligate its Affiliates and Subcontractors to assign all Vertex Core Technology Improvements to Company (or directly to Vertex) so that Company can comply with its obligations under this Section 6.1.2, and Company will promptly obtain any such assignment.</w:t>
      </w:r>
    </w:p>
    <w:p>
      <w:pPr>
        <w:spacing w:after="0" w:line="161"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1"/>
          <w:szCs w:val="21"/>
          <w:b w:val="1"/>
          <w:bCs w:val="1"/>
          <w:color w:val="auto"/>
        </w:rPr>
        <w:t>6.1.3. Joint Agreement Technology</w:t>
      </w:r>
      <w:r>
        <w:rPr>
          <w:rFonts w:ascii="Times New Roman" w:cs="Times New Roman" w:eastAsia="Times New Roman" w:hAnsi="Times New Roman"/>
          <w:sz w:val="21"/>
          <w:szCs w:val="21"/>
          <w:color w:val="auto"/>
        </w:rPr>
        <w:t>. Any Know-How (other than [***]) that is discovered, developed, invented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created jointly by (a) Vertex, its Affiliates or Third Parties acting on its or their behalf and (b) Company, its Affiliates or Third Parties acting on its or their behalf, in each case, in the performance of activities under this Agreement (including in any meeting of the JRC) (such Know-How, “</w:t>
      </w:r>
      <w:r>
        <w:rPr>
          <w:rFonts w:ascii="Times New Roman" w:cs="Times New Roman" w:eastAsia="Times New Roman" w:hAnsi="Times New Roman"/>
          <w:sz w:val="21"/>
          <w:szCs w:val="21"/>
          <w:b w:val="1"/>
          <w:bCs w:val="1"/>
          <w:color w:val="auto"/>
        </w:rPr>
        <w:t>Joint Agreement Know-How</w:t>
      </w:r>
      <w:r>
        <w:rPr>
          <w:rFonts w:ascii="Times New Roman" w:cs="Times New Roman" w:eastAsia="Times New Roman" w:hAnsi="Times New Roman"/>
          <w:sz w:val="21"/>
          <w:szCs w:val="21"/>
          <w:color w:val="auto"/>
        </w:rPr>
        <w:t>”), and any Patents that claim such Joint Agreement Know-How (“</w:t>
      </w:r>
      <w:r>
        <w:rPr>
          <w:rFonts w:ascii="Times New Roman" w:cs="Times New Roman" w:eastAsia="Times New Roman" w:hAnsi="Times New Roman"/>
          <w:sz w:val="21"/>
          <w:szCs w:val="21"/>
          <w:b w:val="1"/>
          <w:bCs w:val="1"/>
          <w:color w:val="auto"/>
        </w:rPr>
        <w:t>Joint Agreement Patents</w:t>
      </w:r>
      <w:r>
        <w:rPr>
          <w:rFonts w:ascii="Times New Roman" w:cs="Times New Roman" w:eastAsia="Times New Roman" w:hAnsi="Times New Roman"/>
          <w:sz w:val="21"/>
          <w:szCs w:val="21"/>
          <w:color w:val="auto"/>
        </w:rPr>
        <w:t>,” and together with the Joint Agreement Know-How, the “</w:t>
      </w:r>
      <w:r>
        <w:rPr>
          <w:rFonts w:ascii="Times New Roman" w:cs="Times New Roman" w:eastAsia="Times New Roman" w:hAnsi="Times New Roman"/>
          <w:sz w:val="21"/>
          <w:szCs w:val="21"/>
          <w:b w:val="1"/>
          <w:bCs w:val="1"/>
          <w:color w:val="auto"/>
        </w:rPr>
        <w:t>Joint Agreement Technology</w:t>
      </w:r>
      <w:r>
        <w:rPr>
          <w:rFonts w:ascii="Times New Roman" w:cs="Times New Roman" w:eastAsia="Times New Roman" w:hAnsi="Times New Roman"/>
          <w:sz w:val="21"/>
          <w:szCs w:val="21"/>
          <w:color w:val="auto"/>
        </w:rPr>
        <w:t>”), will be owned jointly by Vertex and Company on an equal and undivided basis, including all rights thereto, subject to any rights or licenses expressly granted by one Party to the other Party under this Agreement. Except as expressly provided in this Agreement, neither Party will have any obligation to account to the other for profits with respect to, or to obtain any consent of the other Party to license or exploit, Joint Agreement Technology by reason of joint ownership thereof, and each Party hereby waives any right it may have under the laws of any jurisdiction to require any such consent or accounting.</w:t>
      </w:r>
    </w:p>
    <w:p>
      <w:pPr>
        <w:spacing w:after="0" w:line="15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b w:val="1"/>
          <w:bCs w:val="1"/>
          <w:u w:val="single" w:color="auto"/>
          <w:color w:val="auto"/>
        </w:rPr>
        <w:t>Prosecution and Maintenance of Patents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395" w:right="339" w:bottom="1440" w:gutter="0" w:footer="0" w:header="0"/>
        </w:sectPr>
      </w:pPr>
    </w:p>
    <w:bookmarkStart w:id="295" w:name="page296"/>
    <w:bookmarkEnd w:id="295"/>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6.2.1. Company Agreement Patents</w:t>
      </w:r>
      <w:r>
        <w:rPr>
          <w:rFonts w:ascii="Times New Roman" w:cs="Times New Roman" w:eastAsia="Times New Roman" w:hAnsi="Times New Roman"/>
          <w:sz w:val="22"/>
          <w:szCs w:val="22"/>
          <w:color w:val="auto"/>
        </w:rPr>
        <w:t>. As between the Parties, Company will have the sole right, at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expense, to control the Prosecution and Maintenance of the Patents within the Company Agreement Patents that are not Licensed Patents.</w:t>
      </w:r>
    </w:p>
    <w:p>
      <w:pPr>
        <w:spacing w:after="0" w:line="14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6.2.2. Vertex Agreement Patents</w:t>
      </w:r>
      <w:r>
        <w:rPr>
          <w:rFonts w:ascii="Times New Roman" w:cs="Times New Roman" w:eastAsia="Times New Roman" w:hAnsi="Times New Roman"/>
          <w:sz w:val="22"/>
          <w:szCs w:val="22"/>
          <w:color w:val="auto"/>
        </w:rPr>
        <w:t>. As between the Parties, Vertex will have the sole right, at Vertex’s expense,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control the Prosecution and Maintenance of the Vertex Agreement Patents.</w:t>
      </w:r>
    </w:p>
    <w:p>
      <w:pPr>
        <w:spacing w:after="0" w:line="146"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1"/>
          <w:szCs w:val="21"/>
          <w:b w:val="1"/>
          <w:bCs w:val="1"/>
          <w:color w:val="auto"/>
        </w:rPr>
        <w:t>6.2.3. Licensed Platform Patents</w:t>
      </w:r>
      <w:r>
        <w:rPr>
          <w:rFonts w:ascii="Times New Roman" w:cs="Times New Roman" w:eastAsia="Times New Roman" w:hAnsi="Times New Roman"/>
          <w:sz w:val="21"/>
          <w:szCs w:val="21"/>
          <w:color w:val="auto"/>
        </w:rPr>
        <w:t>. As between the Parties, [***] will have the first right (but not the obligation)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Prosecute and Maintain the Licensed Platform Patents at [***]’s own expense using patent counsel that is reasonably acceptable to [***]. [***] agrees to keep [***] reasonably informed with respect to the Prosecution and Maintenance of such Licensed Platform Patents and consult in good faith with [***] regarding such matters. If [***] intends to abandon any such Licensed Platform Patent that [***] is responsible for Prosecuting and Maintaining in a particular country, then [***] will notify</w:t>
      </w:r>
    </w:p>
    <w:p>
      <w:pPr>
        <w:spacing w:after="0" w:line="1" w:lineRule="exact"/>
        <w:rPr>
          <w:sz w:val="20"/>
          <w:szCs w:val="20"/>
          <w:color w:val="auto"/>
        </w:rPr>
      </w:pPr>
    </w:p>
    <w:p>
      <w:pPr>
        <w:jc w:val="both"/>
        <w:ind w:firstLine="8"/>
        <w:spacing w:after="0" w:line="218" w:lineRule="auto"/>
        <w:tabs>
          <w:tab w:leader="none" w:pos="537"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such intention at least [***] before such Patent will become abandoned. Following such notice, [***] may elect, upon written notice to [***], to control the Prosecution and Maintenance thereof at its own expense with counsel of its own choice. Upon such election, [***] will cooperate and assist in transitioning the Prosecution and Maintenance of such Patent to [***].</w:t>
      </w:r>
    </w:p>
    <w:p>
      <w:pPr>
        <w:spacing w:after="0" w:line="147"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6.2.4. Licensed Product-Specific Patents</w:t>
      </w:r>
      <w:r>
        <w:rPr>
          <w:rFonts w:ascii="Times New Roman" w:cs="Times New Roman" w:eastAsia="Times New Roman" w:hAnsi="Times New Roman"/>
          <w:sz w:val="22"/>
          <w:szCs w:val="22"/>
          <w:color w:val="auto"/>
        </w:rPr>
        <w:t>. As between the Parties, [***] will have the first right (but not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 to Prosecute and Maintain the Licensed Product-Specific Patents at [***]’s own expense. [***] agrees to keep [***] reasonably informed with respect to the Prosecution and Maintenance of Licensed Product-Specific Patents (including providing copies of any office actions or office action responses or other correspondence that [***] provides to or receives from any patent office, including notice of all interferences, reissues, re-examinations, or oppositions, and all patent-related filings of such Licensed Product-Specific Patents), to consult in good faith with [***] regarding such matters, and to [***] with respect to such matters. If [***] intends to abandon any such Licensed Product-Specific Patent that [***] is responsible for Prosecuting and Maintaining in a particular country, then [***] will notify [***] of such intention at least [***] before such Patent will become abandoned. Following such notice, [***] may elect, upon written notice to [***], to control the Prosecution and Maintenance thereof at its own expense with counsel of its own choice. Upon such election, [***] will cooperate and assist in transitioning the Prosecution and Maintenance of such Licensed Product-Specific Patent to [***]. Promptly following the Effective Date, the Parties will aim to agree on, and will thereafter comply with, a Patent filing strategy that allows for [***].</w:t>
      </w:r>
    </w:p>
    <w:p>
      <w:pPr>
        <w:spacing w:after="0" w:line="152"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6.2.5. Other Joint Patents</w:t>
      </w:r>
      <w:r>
        <w:rPr>
          <w:rFonts w:ascii="Times New Roman" w:cs="Times New Roman" w:eastAsia="Times New Roman" w:hAnsi="Times New Roman"/>
          <w:sz w:val="22"/>
          <w:szCs w:val="22"/>
          <w:color w:val="auto"/>
        </w:rPr>
        <w:t>. Upon identification of any Joint Agreement Patent that is not a Licensed Patent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Patents, the “</w:t>
      </w:r>
      <w:r>
        <w:rPr>
          <w:rFonts w:ascii="Times New Roman" w:cs="Times New Roman" w:eastAsia="Times New Roman" w:hAnsi="Times New Roman"/>
          <w:sz w:val="22"/>
          <w:szCs w:val="22"/>
          <w:b w:val="1"/>
          <w:bCs w:val="1"/>
          <w:color w:val="auto"/>
        </w:rPr>
        <w:t>Other Joint Patents</w:t>
      </w:r>
      <w:r>
        <w:rPr>
          <w:rFonts w:ascii="Times New Roman" w:cs="Times New Roman" w:eastAsia="Times New Roman" w:hAnsi="Times New Roman"/>
          <w:sz w:val="22"/>
          <w:szCs w:val="22"/>
          <w:color w:val="auto"/>
        </w:rPr>
        <w:t>”), the Parties will discuss in good faith and determine which Party will be primarily responsible for the Prosecution and Maintenance of such Other Joint Patent. The Party primarily responsible for such Prosecution and Maintenance of a particular Other Joint Patent (the “</w:t>
      </w:r>
      <w:r>
        <w:rPr>
          <w:rFonts w:ascii="Times New Roman" w:cs="Times New Roman" w:eastAsia="Times New Roman" w:hAnsi="Times New Roman"/>
          <w:sz w:val="22"/>
          <w:szCs w:val="22"/>
          <w:b w:val="1"/>
          <w:bCs w:val="1"/>
          <w:color w:val="auto"/>
        </w:rPr>
        <w:t>Lead Prosecuting Party</w:t>
      </w:r>
      <w:r>
        <w:rPr>
          <w:rFonts w:ascii="Times New Roman" w:cs="Times New Roman" w:eastAsia="Times New Roman" w:hAnsi="Times New Roman"/>
          <w:sz w:val="22"/>
          <w:szCs w:val="22"/>
          <w:color w:val="auto"/>
        </w:rPr>
        <w:t>”) will conduct such Prosecution and Maintenance, at its expense, using counsel reasonably acceptable to the other Party. The Lead Prosecuting Party will keep the other Party reasonably informed with respect to such Prosecution and Maintenance and consult in good faith with such other Party regarding such matters. If the Lead Prosecuting Party decides to abandon an Other Joint Patent that is not a Licensed Patent, it will provide the other Party with notice at least [***] prior to the date such abandonment would become effective. Following such notice, the other Party may elect, upon written notice to the Lead Prosecuting Party, to control the Prosecution and Maintenance of such Patent at its own expense. Upon such election, the Lead Prosecuting Party will cooperate and assist in transitioning the Prosecution and Maintenance of such Patent to the other Party, and the other Party agrees thereafter to keep the Lead Prosecuting Party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391" w:right="339" w:bottom="1440" w:gutter="0" w:footer="0" w:header="0"/>
        </w:sectPr>
      </w:pPr>
    </w:p>
    <w:bookmarkStart w:id="296" w:name="page297"/>
    <w:bookmarkEnd w:id="296"/>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informed with respect to such Prosecution and Maintenance and consult in good faith with the Lead Prosecuting Party regarding such matters.</w:t>
      </w:r>
    </w:p>
    <w:p>
      <w:pPr>
        <w:spacing w:after="0" w:line="146"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6.2.6. Cooperation</w:t>
      </w:r>
      <w:r>
        <w:rPr>
          <w:rFonts w:ascii="Times New Roman" w:cs="Times New Roman" w:eastAsia="Times New Roman" w:hAnsi="Times New Roman"/>
          <w:sz w:val="22"/>
          <w:szCs w:val="22"/>
          <w:color w:val="auto"/>
        </w:rPr>
        <w:t>. Vertex and Company will obtain the cooperation of their respective employees or obligated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Third Parties that are inventors in the Prosecution and Maintenance directed to any inventions that may arise hereunder. The Parties agree to work together in good faith to [***].</w:t>
      </w:r>
    </w:p>
    <w:p>
      <w:pPr>
        <w:spacing w:after="0" w:line="146"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b w:val="1"/>
          <w:bCs w:val="1"/>
          <w:color w:val="auto"/>
        </w:rPr>
        <w:t>6.2.7. IP Committee</w:t>
      </w:r>
      <w:r>
        <w:rPr>
          <w:rFonts w:ascii="Times New Roman" w:cs="Times New Roman" w:eastAsia="Times New Roman" w:hAnsi="Times New Roman"/>
          <w:sz w:val="22"/>
          <w:szCs w:val="22"/>
          <w:color w:val="auto"/>
        </w:rPr>
        <w:t>. During the Term, each Party will keep the other Party informed through the IP Committee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to the other Party, if the IP Committee is disbanded) as to material developments with respect to the Prosecution and Maintenance of Company Agreement Patents, Licensed Patents and Joint Agreement Patents for which such Party has responsibility for Prosecution and Maintenance pursuant to this Section 6.2, including by providing copies of any office actions or office action responses or other correspondence that such Party provides to or receives from any patent office, including notice of all interferences, reissues, re-examinations, or oppositions, and all patent-related filings within [***] after such receiving or filing such documents, and by providing the other Party the timely opportunity to have reasonable input into the strategic aspects of such Prosecution and Maintenance.</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21"/>
          <w:szCs w:val="21"/>
          <w:b w:val="1"/>
          <w:bCs w:val="1"/>
          <w:u w:val="single" w:color="auto"/>
          <w:color w:val="auto"/>
        </w:rPr>
        <w:t>Defense of Claims Brought by Third Parties</w:t>
      </w:r>
      <w:r>
        <w:rPr>
          <w:rFonts w:ascii="Times New Roman" w:cs="Times New Roman" w:eastAsia="Times New Roman" w:hAnsi="Times New Roman"/>
          <w:sz w:val="21"/>
          <w:szCs w:val="21"/>
          <w:color w:val="auto"/>
        </w:rPr>
        <w:t>. If any Third Party brings a claim or otherwise asserts that a Product or Licensed Agent infringes such Third Party’s Patent or misappropriates such Third Party’s Know-How (each, a “</w:t>
      </w:r>
      <w:r>
        <w:rPr>
          <w:rFonts w:ascii="Times New Roman" w:cs="Times New Roman" w:eastAsia="Times New Roman" w:hAnsi="Times New Roman"/>
          <w:sz w:val="21"/>
          <w:szCs w:val="21"/>
          <w:b w:val="1"/>
          <w:bCs w:val="1"/>
          <w:color w:val="auto"/>
        </w:rPr>
        <w:t>Third-Party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Infringement Claim</w:t>
      </w:r>
      <w:r>
        <w:rPr>
          <w:rFonts w:ascii="Times New Roman" w:cs="Times New Roman" w:eastAsia="Times New Roman" w:hAnsi="Times New Roman"/>
          <w:sz w:val="21"/>
          <w:szCs w:val="21"/>
          <w:color w:val="auto"/>
        </w:rPr>
        <w:t>”), the Party first having notice of the claim or assertion will promptly notify the other Party in writing.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Subject to Section 8.1, [***] will have the sole right to undertake and control the defense or settlement of any Third-Party Infringement Claim using counsel of its choice, at its expense. Subject to Section 8.1, if [***] is named as a defendant in any such Third Party Infringement Claim, [***] will have the right to participate in such defense and settlement with its own counsel, at its expense. Subject to Section 8.1, [***] will not enter into any settlement of any Third-Party Infringement Claim that is instituted or threatened to be instituted against [***] without [***]’s prior written consent, which will not be unreasonably withheld, conditioned or delayed;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consent will not be required if [***]. As requested by [***], [***] will provide reasonable cooperation and assistance to [***] in connection with [***]’s control of the defense or settlement of a Third-Party Infringement Claim. Such cooperation and assistance will include executing all necessary and proper documents and taking such actions as will be appropriate to allow [***] to control the defense and settlement of such Third-Party Infringement Claim. Subject to Section 8.1, [***] will reimburse [***] for the reasonable FTE Costs and Out-of-Pocket Costs incurred by [***] in providing such assistance and cooperation;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 will have no obligation to reimburse [***] for any such FTE Costs and Out-of-Pocket Costs incurred if Company exercises its right to participate in the defense and settlement of a Third-Party Infringement Claim with its own counsel. [***] will keep [***] reasonably informed of the progress of any Third Party Infringement Claim. To the extent reasonable, both Parties will cooperate in good faith to [***].</w:t>
      </w:r>
    </w:p>
    <w:p>
      <w:pPr>
        <w:spacing w:after="0" w:line="15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1"/>
          <w:szCs w:val="21"/>
          <w:b w:val="1"/>
          <w:bCs w:val="1"/>
          <w:u w:val="single" w:color="auto"/>
          <w:color w:val="auto"/>
        </w:rPr>
        <w:t>Enforcement of Patents Against Competitive Infringement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6.4.1. Duty to Notify of Competitive Infringement</w:t>
      </w:r>
      <w:r>
        <w:rPr>
          <w:rFonts w:ascii="Times New Roman" w:cs="Times New Roman" w:eastAsia="Times New Roman" w:hAnsi="Times New Roman"/>
          <w:sz w:val="22"/>
          <w:szCs w:val="22"/>
          <w:color w:val="auto"/>
        </w:rPr>
        <w:t>. If either Party learns of an infringement, unauthorized 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misappropriation, threatened infringement, or a request for a compulsory license by a Third Party with respect to any Licensed Technology by reason of the making, using, offering to sell, selling, importing or other exploitation of a compound or product in the [***] (a “</w:t>
      </w:r>
      <w:r>
        <w:rPr>
          <w:rFonts w:ascii="Times New Roman" w:cs="Times New Roman" w:eastAsia="Times New Roman" w:hAnsi="Times New Roman"/>
          <w:sz w:val="22"/>
          <w:szCs w:val="22"/>
          <w:b w:val="1"/>
          <w:bCs w:val="1"/>
          <w:color w:val="auto"/>
        </w:rPr>
        <w:t>Competitive Infringement</w:t>
      </w:r>
      <w:r>
        <w:rPr>
          <w:rFonts w:ascii="Times New Roman" w:cs="Times New Roman" w:eastAsia="Times New Roman" w:hAnsi="Times New Roman"/>
          <w:sz w:val="22"/>
          <w:szCs w:val="22"/>
          <w:color w:val="auto"/>
        </w:rPr>
        <w:t>”), such Party will promptly notify the other Party in writing and will provide such other Party with available information regarding such Competitive Infringement.</w:t>
      </w:r>
    </w:p>
    <w:p>
      <w:pPr>
        <w:spacing w:after="0" w:line="147"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2"/>
          <w:szCs w:val="22"/>
          <w:b w:val="1"/>
          <w:bCs w:val="1"/>
          <w:color w:val="auto"/>
        </w:rPr>
        <w:t>6.4.2.</w:t>
      </w:r>
      <w:r>
        <w:rPr>
          <w:sz w:val="20"/>
          <w:szCs w:val="20"/>
          <w:color w:val="auto"/>
        </w:rPr>
        <w:tab/>
      </w:r>
      <w:r>
        <w:rPr>
          <w:rFonts w:ascii="Times New Roman" w:cs="Times New Roman" w:eastAsia="Times New Roman" w:hAnsi="Times New Roman"/>
          <w:sz w:val="21"/>
          <w:szCs w:val="21"/>
          <w:b w:val="1"/>
          <w:bCs w:val="1"/>
          <w:u w:val="single" w:color="auto"/>
          <w:color w:val="auto"/>
        </w:rPr>
        <w:t>Enforcement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395" w:right="339" w:bottom="1440" w:gutter="0" w:footer="0" w:header="0"/>
        </w:sectPr>
      </w:pPr>
    </w:p>
    <w:bookmarkStart w:id="297" w:name="page298"/>
    <w:bookmarkEnd w:id="297"/>
    <w:p>
      <w:pPr>
        <w:jc w:val="both"/>
        <w:ind w:firstLine="1952"/>
        <w:spacing w:after="0" w:line="222" w:lineRule="auto"/>
        <w:tabs>
          <w:tab w:leader="none" w:pos="2427" w:val="left"/>
        </w:tabs>
        <w:numPr>
          <w:ilvl w:val="1"/>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 will have the first right, but not the obligation, to institute, prosecute, and control a Proceeding under any Licensed Product-Specific Patent with respect to any Competitive Infringement by counsel of its own choice, at its own expense. If [***] fails to initiate such a Proceeding within [***] after written notice of such Competitive Infringement is first provided by a Party under Section 6.4.1, or [***] if such Proceeding is an ANDA litigation, other than with respect to a request for a compulsory license, [***] will have the right to initiate and control a Proceeding with respect to such Competitive Infringement by counsel of its own choice, at its own expense and [***] will have the right, at its own expense, to be represented in any such action by counsel of its own choice;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 notifies Company during such [***] period (or such [***] period for a Proceeding that is an ANDA litigation) that [***], then [***] will not have the right to initiate and control any Proceeding with respect to such Competitive Infringement (other than as provided in Section 6.4.2(b)).</w:t>
      </w:r>
    </w:p>
    <w:p>
      <w:pPr>
        <w:spacing w:after="0" w:line="149" w:lineRule="exact"/>
        <w:rPr>
          <w:rFonts w:ascii="Times New Roman" w:cs="Times New Roman" w:eastAsia="Times New Roman" w:hAnsi="Times New Roman"/>
          <w:sz w:val="21"/>
          <w:szCs w:val="21"/>
          <w:color w:val="auto"/>
        </w:rPr>
      </w:pPr>
    </w:p>
    <w:p>
      <w:pPr>
        <w:jc w:val="both"/>
        <w:ind w:firstLine="1952"/>
        <w:spacing w:after="0" w:line="212" w:lineRule="auto"/>
        <w:tabs>
          <w:tab w:leader="none" w:pos="2436"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will have the first right, but not the obligation, to institute, prosecute, and control a Proceeding under any Licensed Platform Patent with respect to any Competitive Infringement by counsel of its own choice, at its own expense. If [***] fails to initiate such a Proceeding within [***] after written notice of such Competitive Infringement is first provided by a Party under Section 6.4.1, or [***] if such Proceeding is an ANDA litigation, other than with respect to a request for a compulsory license, [***] will have the right to initiate and control a Proceeding with respect to such Competitive Infringement by counsel of its own choice, at its own expense;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(i) [***] notifies Vertex during such [***] period (or such [***] period for a Proceeding that is an ANDA litigation) that [***] will not have the right to initiate, prosecute and control any Proceeding under the Licensed Platform Patents with respect to such Competitive Infringement.</w:t>
      </w:r>
    </w:p>
    <w:p>
      <w:pPr>
        <w:spacing w:after="0" w:line="156" w:lineRule="exact"/>
        <w:rPr>
          <w:rFonts w:ascii="Times New Roman" w:cs="Times New Roman" w:eastAsia="Times New Roman" w:hAnsi="Times New Roman"/>
          <w:sz w:val="22"/>
          <w:szCs w:val="22"/>
          <w:color w:val="auto"/>
        </w:rPr>
      </w:pPr>
    </w:p>
    <w:p>
      <w:pPr>
        <w:jc w:val="both"/>
        <w:ind w:firstLine="1952"/>
        <w:spacing w:after="0" w:line="218" w:lineRule="auto"/>
        <w:tabs>
          <w:tab w:leader="none" w:pos="2407" w:val="left"/>
        </w:tabs>
        <w:numPr>
          <w:ilvl w:val="1"/>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Lead Prosecuting Party will have the first right, but not the obligation, to institute, prosecute, and control a Proceeding under any Other Joint Patent with respect to any Competitive Infringement by counsel of its own choice, at its own expense. If the Lead Prosecuting Party fails to initiate such a Proceeding within [***] after written notice of such Competitive Infringement is first provided by the other Party under Section 6.4.1, or [***] if such Proceeding is an ANDA litigation, other than with respect to a request for a compulsory license, the other Party will have the right to initiate and control a Proceeding with respect to such Competitive Infringement by counsel of its own choice, at its own expense;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(x)</w:t>
      </w:r>
    </w:p>
    <w:p>
      <w:pPr>
        <w:spacing w:after="0" w:line="3" w:lineRule="exact"/>
        <w:rPr>
          <w:rFonts w:ascii="Times New Roman" w:cs="Times New Roman" w:eastAsia="Times New Roman" w:hAnsi="Times New Roman"/>
          <w:sz w:val="21"/>
          <w:szCs w:val="21"/>
          <w:color w:val="auto"/>
        </w:rPr>
      </w:pPr>
    </w:p>
    <w:p>
      <w:pPr>
        <w:jc w:val="both"/>
        <w:ind w:firstLine="8"/>
        <w:spacing w:after="0" w:line="212" w:lineRule="auto"/>
        <w:tabs>
          <w:tab w:leader="none" w:pos="258"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is the Lead Prosecuting Party and it notifies [***] during such [***] period (or such [***] period for a Proceeding that is an ANDA litigation) that [***] will not have the right to initiate, prosecute and control any Proceeding under the Other Joint Patents with respect to such Competitive Infringement or (y) if [***] is the Lead Prosecuting Party and it notifies [***] during such [***] period (or such [***] period for a Proceeding that is an ANDA litigation) that [***] will not have the right to initiate and control any Proceeding with respect to such Competitive Infringement.</w:t>
      </w:r>
    </w:p>
    <w:p>
      <w:pPr>
        <w:spacing w:after="0" w:line="154" w:lineRule="exact"/>
        <w:rPr>
          <w:rFonts w:ascii="Times New Roman" w:cs="Times New Roman" w:eastAsia="Times New Roman" w:hAnsi="Times New Roman"/>
          <w:sz w:val="22"/>
          <w:szCs w:val="22"/>
          <w:color w:val="auto"/>
        </w:rPr>
      </w:pPr>
    </w:p>
    <w:p>
      <w:pPr>
        <w:jc w:val="both"/>
        <w:ind w:firstLine="1952"/>
        <w:spacing w:after="0" w:line="217" w:lineRule="auto"/>
        <w:tabs>
          <w:tab w:leader="none" w:pos="2468"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Party prosecuting and controlling any such Proceeding will (i) keep the other Party reasonably apprised of the progress of such Proceeding, (ii) reasonably consider the other Party’s comments with respect to the conduct of such Proceeding and (iii) not enter into a settlement, consent judgment or other voluntary final disposition of a Proceeding that [***] without the other Party’s prior written consent, not to be unreasonably withheld, conditioned, or delayed;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t>
      </w:r>
    </w:p>
    <w:p>
      <w:pPr>
        <w:spacing w:after="0" w:line="148"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2"/>
          <w:szCs w:val="22"/>
          <w:b w:val="1"/>
          <w:bCs w:val="1"/>
          <w:color w:val="auto"/>
        </w:rPr>
        <w:t>6.4.3.</w:t>
      </w:r>
      <w:r>
        <w:rPr>
          <w:sz w:val="20"/>
          <w:szCs w:val="20"/>
          <w:color w:val="auto"/>
        </w:rPr>
        <w:tab/>
      </w:r>
      <w:r>
        <w:rPr>
          <w:rFonts w:ascii="Times New Roman" w:cs="Times New Roman" w:eastAsia="Times New Roman" w:hAnsi="Times New Roman"/>
          <w:sz w:val="21"/>
          <w:szCs w:val="21"/>
          <w:b w:val="1"/>
          <w:bCs w:val="1"/>
          <w:color w:val="auto"/>
        </w:rPr>
        <w:t>Joinder</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952"/>
        <w:spacing w:after="0" w:line="225" w:lineRule="auto"/>
        <w:tabs>
          <w:tab w:leader="none" w:pos="2508"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Party initiates a Proceeding in accordance with this Section 6.4, the other Party agrees to be joined as a party plaintiff where necessary and to give the first Party reasonable assistance and authority to file and prosecute the Proceeding. Subject to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395" w:right="339" w:bottom="1440" w:gutter="0" w:footer="0" w:header="0"/>
        </w:sectPr>
      </w:pPr>
    </w:p>
    <w:bookmarkStart w:id="298" w:name="page299"/>
    <w:bookmarkEnd w:id="298"/>
    <w:p>
      <w:pPr>
        <w:spacing w:after="0" w:line="236" w:lineRule="auto"/>
        <w:rPr>
          <w:sz w:val="20"/>
          <w:szCs w:val="20"/>
          <w:color w:val="auto"/>
        </w:rPr>
      </w:pPr>
      <w:r>
        <w:rPr>
          <w:rFonts w:ascii="Times New Roman" w:cs="Times New Roman" w:eastAsia="Times New Roman" w:hAnsi="Times New Roman"/>
          <w:sz w:val="22"/>
          <w:szCs w:val="22"/>
          <w:color w:val="auto"/>
        </w:rPr>
        <w:t>6.4.4, the costs and expenses of each Party incurred pursuant to this Section 6.4.3(a) will be borne by the Party initiating such Proceeding.</w:t>
      </w:r>
    </w:p>
    <w:p>
      <w:pPr>
        <w:spacing w:after="0" w:line="150" w:lineRule="exact"/>
        <w:rPr>
          <w:sz w:val="20"/>
          <w:szCs w:val="20"/>
          <w:color w:val="auto"/>
        </w:rPr>
      </w:pPr>
    </w:p>
    <w:p>
      <w:pPr>
        <w:ind w:firstLine="1952"/>
        <w:spacing w:after="0" w:line="236" w:lineRule="auto"/>
        <w:tabs>
          <w:tab w:leader="none" w:pos="2443"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one Party initiates a Proceeding in accordance with this Section 6.4, the other Party may join such Proceeding as a party plaintiff where necessary for such other Party to seek lost profits with respect to such infringement.</w:t>
      </w:r>
    </w:p>
    <w:p>
      <w:pPr>
        <w:spacing w:after="0" w:line="146" w:lineRule="exact"/>
        <w:rPr>
          <w:sz w:val="20"/>
          <w:szCs w:val="20"/>
          <w:color w:val="auto"/>
        </w:rPr>
      </w:pPr>
    </w:p>
    <w:p>
      <w:pPr>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6.4.4. Share of Recoveries</w:t>
      </w:r>
      <w:r>
        <w:rPr>
          <w:rFonts w:ascii="Times New Roman" w:cs="Times New Roman" w:eastAsia="Times New Roman" w:hAnsi="Times New Roman"/>
          <w:sz w:val="22"/>
          <w:szCs w:val="22"/>
          <w:color w:val="auto"/>
        </w:rPr>
        <w:t>. Any damages or other monetary awards recovered with respect to a Proceeding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brought pursuant to this Section 6.4 will be shared as follows:</w:t>
      </w:r>
    </w:p>
    <w:p>
      <w:pPr>
        <w:spacing w:after="0" w:line="150" w:lineRule="exact"/>
        <w:rPr>
          <w:sz w:val="20"/>
          <w:szCs w:val="20"/>
          <w:color w:val="auto"/>
        </w:rPr>
      </w:pPr>
    </w:p>
    <w:p>
      <w:pPr>
        <w:jc w:val="both"/>
        <w:ind w:right="20" w:firstLine="1952"/>
        <w:spacing w:after="0" w:line="225" w:lineRule="auto"/>
        <w:tabs>
          <w:tab w:leader="none" w:pos="2526"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such recovery will first be applied to the Parties’ reasonable Out-of-Pocket Costs incurred in connection with such Proceeding (which amounts will be allocated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if insufficient to cover the totality of such expenses); then</w:t>
      </w:r>
    </w:p>
    <w:p>
      <w:pPr>
        <w:spacing w:after="0" w:line="152" w:lineRule="exact"/>
        <w:rPr>
          <w:rFonts w:ascii="Times New Roman" w:cs="Times New Roman" w:eastAsia="Times New Roman" w:hAnsi="Times New Roman"/>
          <w:sz w:val="22"/>
          <w:szCs w:val="22"/>
          <w:color w:val="auto"/>
        </w:rPr>
      </w:pPr>
    </w:p>
    <w:p>
      <w:pPr>
        <w:ind w:firstLine="1952"/>
        <w:spacing w:after="0" w:line="236" w:lineRule="auto"/>
        <w:tabs>
          <w:tab w:leader="none" w:pos="2426"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remaining proceeds constituting direct or actual damages for acts of infringement will be paid to, or retained by, [***];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amounts will be [***]; and</w:t>
      </w:r>
    </w:p>
    <w:p>
      <w:pPr>
        <w:spacing w:after="0" w:line="150" w:lineRule="exact"/>
        <w:rPr>
          <w:rFonts w:ascii="Times New Roman" w:cs="Times New Roman" w:eastAsia="Times New Roman" w:hAnsi="Times New Roman"/>
          <w:sz w:val="22"/>
          <w:szCs w:val="22"/>
          <w:color w:val="auto"/>
        </w:rPr>
      </w:pPr>
    </w:p>
    <w:p>
      <w:pPr>
        <w:ind w:right="20" w:firstLine="1952"/>
        <w:spacing w:after="0" w:line="236" w:lineRule="auto"/>
        <w:tabs>
          <w:tab w:leader="none" w:pos="2427"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remaining proceeds constituting [***] will be allocated between the Parties as follows: the Party initiating the Proceeding will retain [***]% of such proceeds and the other Party will receive [***]% of such proceeds.</w:t>
      </w:r>
    </w:p>
    <w:p>
      <w:pPr>
        <w:spacing w:after="0" w:line="146"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b w:val="1"/>
          <w:bCs w:val="1"/>
          <w:color w:val="auto"/>
        </w:rPr>
        <w:t>6.4.5. Settlement</w:t>
      </w:r>
      <w:r>
        <w:rPr>
          <w:rFonts w:ascii="Times New Roman" w:cs="Times New Roman" w:eastAsia="Times New Roman" w:hAnsi="Times New Roman"/>
          <w:sz w:val="22"/>
          <w:szCs w:val="22"/>
          <w:color w:val="auto"/>
        </w:rPr>
        <w:t>. Notwithstanding anything to the contrary under this ARTICLE 6, neither Party may enter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settlement, consent judgment or other voluntary final disposition of a suit under this ARTICLE 6 that disclaims, limits the scope of, admits the invalidity or unenforceability of, or grants a license, covenant not to sue or similar immunity under a Patent Controlled by the other Party or its Affiliates without first obtaining the written consent of the Party that Controls the relevant Patent;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foregoing restriction on granting a license will not apply with respect to any Sublicense granted by Vertex.</w:t>
      </w:r>
    </w:p>
    <w:p>
      <w:pPr>
        <w:spacing w:after="0" w:line="14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1"/>
          <w:szCs w:val="21"/>
          <w:b w:val="1"/>
          <w:bCs w:val="1"/>
          <w:u w:val="single" w:color="auto"/>
          <w:color w:val="auto"/>
        </w:rPr>
        <w:t>Other Infringement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b w:val="1"/>
          <w:bCs w:val="1"/>
          <w:color w:val="auto"/>
        </w:rPr>
        <w:t>6.5.1. Joint Agreement Patents</w:t>
      </w:r>
      <w:r>
        <w:rPr>
          <w:rFonts w:ascii="Times New Roman" w:cs="Times New Roman" w:eastAsia="Times New Roman" w:hAnsi="Times New Roman"/>
          <w:sz w:val="21"/>
          <w:szCs w:val="21"/>
          <w:color w:val="auto"/>
        </w:rPr>
        <w:t>. With respect to the infringement of a Joint Agreement Patent that is not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Competitive Infringement, neither Party will enforce any Joint Agreement Patent unless mutually agreed by the Parties;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Parties will cooperate in good faith to bring suit together against such infringing party or the Parties may decide to permit one Party to solely bring suit. Any damages or other monetary awards recovered with respect to a Proceeding brought pursuant to this Section 6.5.1 will be shared as follows: (a) the amount of such recovery will first be applied to the Parties’ reasonable Out-of-Pocket Costs incurred in connection with such Proceeding (which amounts will be allocated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if insufficient to cover the totality of such expenses); then (b) any remaining proceeds will be allocated as follows: (i) if the Parties jointly initiate a Proceeding pursuant to this Section 6.5.1, [***]; and (ii) if only one Party initiates the Proceeding pursuant to this Section 6.5.1, such Party will retain [***]% of such proceeds and the other Party will receive [***]% of such proceeds.</w:t>
      </w:r>
    </w:p>
    <w:p>
      <w:pPr>
        <w:spacing w:after="0" w:line="150"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6.5.2. Patents Solely Owned by Company</w:t>
      </w:r>
      <w:r>
        <w:rPr>
          <w:rFonts w:ascii="Times New Roman" w:cs="Times New Roman" w:eastAsia="Times New Roman" w:hAnsi="Times New Roman"/>
          <w:sz w:val="22"/>
          <w:szCs w:val="22"/>
          <w:color w:val="auto"/>
        </w:rPr>
        <w:t>. Company will retain all rights to pursue (a) an infringement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Patent solely owned by Company that is not a Competitive Infringement and (b) an infringement of any Patent solely owned by Company that is not included in the Licensed Technology, and, in each case of (a) and (b), Company will retain all recoveries with respect thereto.</w:t>
      </w:r>
    </w:p>
    <w:p>
      <w:pPr>
        <w:spacing w:after="0" w:line="14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6.5.3. Patents Solely Owned by Vertex</w:t>
      </w:r>
      <w:r>
        <w:rPr>
          <w:rFonts w:ascii="Times New Roman" w:cs="Times New Roman" w:eastAsia="Times New Roman" w:hAnsi="Times New Roman"/>
          <w:sz w:val="22"/>
          <w:szCs w:val="22"/>
          <w:color w:val="auto"/>
        </w:rPr>
        <w:t>. Vertex will retain all rights to pursue an infringement of any Patent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solely owned by Vertex and Vertex will retain all recoveries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395" w:right="339" w:bottom="1440" w:gutter="0" w:footer="0" w:header="0"/>
        </w:sectPr>
      </w:pPr>
    </w:p>
    <w:bookmarkStart w:id="299" w:name="page300"/>
    <w:bookmarkEnd w:id="299"/>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b w:val="1"/>
          <w:bCs w:val="1"/>
          <w:u w:val="single" w:color="auto"/>
          <w:color w:val="auto"/>
        </w:rPr>
        <w:t>Patent Listing</w:t>
      </w:r>
      <w:r>
        <w:rPr>
          <w:rFonts w:ascii="Times New Roman" w:cs="Times New Roman" w:eastAsia="Times New Roman" w:hAnsi="Times New Roman"/>
          <w:sz w:val="22"/>
          <w:szCs w:val="22"/>
          <w:color w:val="auto"/>
        </w:rPr>
        <w:t>. [***] will have the sole right, but not the obligation, to submit to all applicable Regulatory Authorities patent information pertaining to each applicable Product pursuant to 21 U.S.C. § 355(b)(1)(G), any similar statutory or regulatory requirement enacted in the future regarding biologic products, or any similar statutory or regulatory requirement in any non-U.S. country or other regulatory jurisdiction.</w:t>
      </w:r>
    </w:p>
    <w:p>
      <w:pPr>
        <w:spacing w:after="0" w:line="14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6.7. </w:t>
      </w:r>
      <w:r>
        <w:rPr>
          <w:rFonts w:ascii="Times New Roman" w:cs="Times New Roman" w:eastAsia="Times New Roman" w:hAnsi="Times New Roman"/>
          <w:sz w:val="22"/>
          <w:szCs w:val="22"/>
          <w:b w:val="1"/>
          <w:bCs w:val="1"/>
          <w:u w:val="single" w:color="auto"/>
          <w:color w:val="auto"/>
        </w:rPr>
        <w:t>Common Ownership Legislation</w:t>
      </w:r>
      <w:r>
        <w:rPr>
          <w:rFonts w:ascii="Times New Roman" w:cs="Times New Roman" w:eastAsia="Times New Roman" w:hAnsi="Times New Roman"/>
          <w:sz w:val="22"/>
          <w:szCs w:val="22"/>
          <w:color w:val="auto"/>
        </w:rPr>
        <w:t>. Notwithstanding anything to the contrary in this ARTICLE 6, neither Party will have the right to make an election under the Common Ownership Legislation when exercising its rights under this ARTICLE 6 without the prior written consent of the other Party, which will not be unreasonably withheld, conditioned or delayed. With respect to any such permitted election, the Parties will use reasonable efforts to cooperate and coordinate their activities with respect to any submissions, filings or other activities in support thereof. The Parties acknowledge and agree that this Agreement is a “joint research agreement” as defined in the Common Ownership Legislation. Notwithstanding the foregoing, the other Party’s consent under this Section 6.7 will not be required in connection with an obviousness-type double patenting rejection in any patent application claiming a Licensed Agent, Product, or uses thereof.</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color w:val="auto"/>
        </w:rPr>
        <w:t xml:space="preserve">6.8. </w:t>
      </w:r>
      <w:r>
        <w:rPr>
          <w:rFonts w:ascii="Times New Roman" w:cs="Times New Roman" w:eastAsia="Times New Roman" w:hAnsi="Times New Roman"/>
          <w:sz w:val="21"/>
          <w:szCs w:val="21"/>
          <w:b w:val="1"/>
          <w:bCs w:val="1"/>
          <w:u w:val="single" w:color="auto"/>
          <w:color w:val="auto"/>
        </w:rPr>
        <w:t>Patent Term Extension</w:t>
      </w:r>
      <w:r>
        <w:rPr>
          <w:rFonts w:ascii="Times New Roman" w:cs="Times New Roman" w:eastAsia="Times New Roman" w:hAnsi="Times New Roman"/>
          <w:sz w:val="21"/>
          <w:szCs w:val="21"/>
          <w:color w:val="auto"/>
        </w:rPr>
        <w:t xml:space="preserve">. [***] will have the sole right, at its sole cost, to obtain patent term restoration in any country in the Territory under 35 U.S.C. § 156 or any statute or regulation equivalent or similar thereto, where applicable to a Product and where such patent term restoration arises from, or is calculated in reference to, the Development of a Product or Licensed Agent, including with respect to any [***], except as provided below with respect to [***]. [***] will determine which relevant patents will be extended (including by filing supplementary protection certificates and any other extensions that are now or in the future become available);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any decision to [***] will require the prior written approval of [***], which may be withheld in [***]’s sole discretion. [***] will cooperate, at [***]’s cost, as reasonably requested by [***], in connection with the foregoing (including by providing appropriate information and executing appropriate documents). For clarity,</w:t>
      </w:r>
    </w:p>
    <w:p>
      <w:pPr>
        <w:spacing w:after="0" w:line="1" w:lineRule="exact"/>
        <w:rPr>
          <w:sz w:val="20"/>
          <w:szCs w:val="20"/>
          <w:color w:val="auto"/>
        </w:rPr>
      </w:pPr>
    </w:p>
    <w:p>
      <w:pPr>
        <w:ind w:firstLine="8"/>
        <w:spacing w:after="0" w:line="225" w:lineRule="auto"/>
        <w:tabs>
          <w:tab w:leader="none" w:pos="541"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have the sole right to obtain patent term restoration in any country in the Territory for any [***] where such patent term restoration arises from, or is calculated in reference to, [***].</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6.9. </w:t>
      </w:r>
      <w:r>
        <w:rPr>
          <w:rFonts w:ascii="Times New Roman" w:cs="Times New Roman" w:eastAsia="Times New Roman" w:hAnsi="Times New Roman"/>
          <w:sz w:val="22"/>
          <w:szCs w:val="22"/>
          <w:b w:val="1"/>
          <w:bCs w:val="1"/>
          <w:u w:val="single" w:color="auto"/>
          <w:color w:val="auto"/>
        </w:rPr>
        <w:t>Recording</w:t>
      </w:r>
      <w:r>
        <w:rPr>
          <w:rFonts w:ascii="Times New Roman" w:cs="Times New Roman" w:eastAsia="Times New Roman" w:hAnsi="Times New Roman"/>
          <w:sz w:val="22"/>
          <w:szCs w:val="22"/>
          <w:color w:val="auto"/>
        </w:rPr>
        <w:t>. If Vertex deems it necessary or desirable to register or record this Agreement or evidence of this Agreement with any patent office or other appropriate Governmental Authority in one or more jurisdictions in the Territory, Company will reasonably cooperate to execute and deliver to Vertex any documents accurately reflecting or evidencing this Agreement that are necessary or desirable, in Vertex’s reasonable judgment, to complete such registration or recordation. Vertex will reimburse Company for all reasonable Out-of-Pocket Costs, including attorneys’ fees, incurred by Company in complying with the provisions of this Section 6.9.</w:t>
      </w:r>
    </w:p>
    <w:p>
      <w:pPr>
        <w:spacing w:after="0" w:line="146"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6.10. </w:t>
      </w:r>
      <w:r>
        <w:rPr>
          <w:rFonts w:ascii="Times New Roman" w:cs="Times New Roman" w:eastAsia="Times New Roman" w:hAnsi="Times New Roman"/>
          <w:sz w:val="22"/>
          <w:szCs w:val="22"/>
          <w:b w:val="1"/>
          <w:bCs w:val="1"/>
          <w:u w:val="single" w:color="auto"/>
          <w:color w:val="auto"/>
        </w:rPr>
        <w:t>Unitary Patent System</w:t>
      </w:r>
      <w:r>
        <w:rPr>
          <w:rFonts w:ascii="Times New Roman" w:cs="Times New Roman" w:eastAsia="Times New Roman" w:hAnsi="Times New Roman"/>
          <w:sz w:val="22"/>
          <w:szCs w:val="22"/>
          <w:color w:val="auto"/>
        </w:rPr>
        <w:t>. The Party Prosecuting and Maintaining a Patent in Europe pursuant to Section 6.2 will have the exclusive right to opt-in or opt-out of the Europe Unitary Patent System for such Patent. For clarity, “to opt-in or opt-out” refers to both the right to have or have not a European patent application or an issued European patent registered to have unitary effect within the meaning of Regulation (EU) No 1257/2012 of December 17, 2012 as well as the Agreement on a Unified Patent Court as of February 19, 2013; and to the right to opt-in or opt-out from the exclusive competence of the Unified Patent Court in accordance with Article 83(3) of that Agreement on a Unified Patent Court. Without limiting the generality of the foregoing, unless a Party or its Affiliate has expressly opted in to the Europe Unitary Patent System with respect to a given Patent, the other Party will not initiate any action with respect to such Patent under the Europe Unitary Patent System without such Party’s prior written approval, such approval to be granted or withheld in such Party’s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391" w:right="339" w:bottom="1440" w:gutter="0" w:footer="0" w:header="0"/>
        </w:sectPr>
      </w:pPr>
    </w:p>
    <w:bookmarkStart w:id="300" w:name="page301"/>
    <w:bookmarkEnd w:id="300"/>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 xml:space="preserve">6.11. </w:t>
      </w:r>
      <w:r>
        <w:rPr>
          <w:rFonts w:ascii="Times New Roman" w:cs="Times New Roman" w:eastAsia="Times New Roman" w:hAnsi="Times New Roman"/>
          <w:sz w:val="22"/>
          <w:szCs w:val="22"/>
          <w:b w:val="1"/>
          <w:bCs w:val="1"/>
          <w:u w:val="single" w:color="auto"/>
          <w:color w:val="auto"/>
        </w:rPr>
        <w:t>Trademarks</w:t>
      </w:r>
      <w:r>
        <w:rPr>
          <w:rFonts w:ascii="Times New Roman" w:cs="Times New Roman" w:eastAsia="Times New Roman" w:hAnsi="Times New Roman"/>
          <w:sz w:val="22"/>
          <w:szCs w:val="22"/>
          <w:color w:val="auto"/>
        </w:rPr>
        <w:t>. As between the Parties, all trademarks and trade dress rights used in connection with the Commercialization of the Products in the Field in the Territory will be owned exclusively by Vertex.</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6.12.</w:t>
      </w:r>
      <w:r>
        <w:rPr>
          <w:sz w:val="20"/>
          <w:szCs w:val="20"/>
          <w:color w:val="auto"/>
        </w:rPr>
        <w:tab/>
      </w:r>
      <w:r>
        <w:rPr>
          <w:rFonts w:ascii="Times New Roman" w:cs="Times New Roman" w:eastAsia="Times New Roman" w:hAnsi="Times New Roman"/>
          <w:sz w:val="21"/>
          <w:szCs w:val="21"/>
          <w:b w:val="1"/>
          <w:bCs w:val="1"/>
          <w:u w:val="single" w:color="auto"/>
          <w:color w:val="auto"/>
        </w:rPr>
        <w:t>Bankruptcy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b w:val="1"/>
          <w:bCs w:val="1"/>
          <w:color w:val="auto"/>
        </w:rPr>
        <w:t xml:space="preserve">6.12.1. </w:t>
      </w:r>
      <w:r>
        <w:rPr>
          <w:rFonts w:ascii="Times New Roman" w:cs="Times New Roman" w:eastAsia="Times New Roman" w:hAnsi="Times New Roman"/>
          <w:sz w:val="22"/>
          <w:szCs w:val="22"/>
          <w:color w:val="auto"/>
        </w:rPr>
        <w:t>All rights and licenses now or hereafter granted by Company to Vertex under or pursuant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including, for the avoidance of doubt, the licenses granted to Vertex pursuant to Section 4.1, are, for all purposes of 11 U.S.C. § 365(n), licenses of rights to “intellectual property” as defined in the U.S. Bankruptcy Code. Upon the occurrence of any Insolvency Event with respect to Company, Company agrees that Vertex, as licensee of such rights under this Agreement, will retain and may fully exercise all of its rights and elections under the U.S. Bankruptcy Code. Without limiting the generality of the foregoing, the Parties intend and agree that any sale of Company’s assets under Section 363 of the Bankruptcy Code will be subject to Vertex’s rights under Section 365(n), that Vertex cannot be compelled to accept a money satisfaction of its interests in the intellectual property licensed pursuant to this Agreement, and that any such sale therefore may not be made to a purchaser “free and clear” of Vertex’s rights under this Agreement and Section 365(n) without the express, contemporaneous consent of Vertex. Further, each Party agrees and acknowledges that all payments by Vertex to Company hereunder, other than the up-front fee pursuant to Section 5.1, royalty payments pursuant to Section 5.4, and the milestone payments pursuant to Section 5.3.1 and Section 5.3.2, do not constitute royalties within the meaning of Section 365(n) of the Bankruptcy Code or relate to licenses of intellectual property hereunder. Company will, during the Term, create and maintain current copies or, if not amenable to copying, detailed descriptions or other appropriate embodiments, to the extent feasible, of all intellectual property licensed under this Agreement. Each Party acknowledges and agrees that “embodiments” of intellectual property within the meaning of Section 365(n) include laboratory notebooks, cell lines, product samples and inventory, research studies and data, all Regulatory Approvals (and all applications for Regulatory Approval) and rights of reference therein, the Licensed Technology and all information related to the Licensed Technology. If (a) a case under the U.S. Bankruptcy Code is commenced by or against Company, (b) this Agreement is rejected as provided in the U.S. Bankruptcy Code, and (c) Vertex elects to retain its rights hereunder as provided in Section 365(n) of the U.S. Bankruptcy Code, Company (in any capacity, including debtor-in-possession) and its successors and assigns (including a trustee) will:</w:t>
      </w:r>
    </w:p>
    <w:p>
      <w:pPr>
        <w:spacing w:after="0" w:line="150" w:lineRule="exact"/>
        <w:rPr>
          <w:sz w:val="20"/>
          <w:szCs w:val="20"/>
          <w:color w:val="auto"/>
        </w:rPr>
      </w:pPr>
    </w:p>
    <w:p>
      <w:pPr>
        <w:ind w:left="2440" w:hanging="488"/>
        <w:spacing w:after="0"/>
        <w:tabs>
          <w:tab w:leader="none" w:pos="2440"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Vertex with copies of all such intellectual property (including all embodiments thereof) held</w:t>
      </w:r>
    </w:p>
    <w:p>
      <w:pPr>
        <w:spacing w:after="0"/>
        <w:rPr>
          <w:sz w:val="20"/>
          <w:szCs w:val="20"/>
          <w:color w:val="auto"/>
        </w:rPr>
      </w:pPr>
      <w:r>
        <w:rPr>
          <w:rFonts w:ascii="Times New Roman" w:cs="Times New Roman" w:eastAsia="Times New Roman" w:hAnsi="Times New Roman"/>
          <w:sz w:val="22"/>
          <w:szCs w:val="22"/>
          <w:color w:val="auto"/>
        </w:rPr>
        <w:t>by Company; and</w:t>
      </w:r>
    </w:p>
    <w:p>
      <w:pPr>
        <w:spacing w:after="0" w:line="155" w:lineRule="exact"/>
        <w:rPr>
          <w:sz w:val="20"/>
          <w:szCs w:val="20"/>
          <w:color w:val="auto"/>
        </w:rPr>
      </w:pPr>
    </w:p>
    <w:p>
      <w:pPr>
        <w:jc w:val="both"/>
        <w:ind w:right="20" w:firstLine="1952"/>
        <w:spacing w:after="0" w:line="225" w:lineRule="auto"/>
        <w:tabs>
          <w:tab w:leader="none" w:pos="2504"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interfere with Vertex’s rights under this Agreement, or any agreement supplemental hereto, to such intellectual property (including such embodiments), including any right to obtain such intellectual property (or such embodiments) from another entity.</w:t>
      </w:r>
    </w:p>
    <w:p>
      <w:pPr>
        <w:spacing w:after="0" w:line="15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Nothing herein will be deemed a waiver by Vertex of any claims it may have against Company resulting from rejection of the license or failure to perform its obligations hereunder.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7.</w:t>
      </w: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38"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2"/>
          <w:szCs w:val="22"/>
          <w:b w:val="1"/>
          <w:bCs w:val="1"/>
          <w:u w:val="single" w:color="auto"/>
          <w:color w:val="auto"/>
        </w:rPr>
        <w:t>Representations and Warranties of Vertex</w:t>
      </w:r>
      <w:r>
        <w:rPr>
          <w:rFonts w:ascii="Times New Roman" w:cs="Times New Roman" w:eastAsia="Times New Roman" w:hAnsi="Times New Roman"/>
          <w:sz w:val="22"/>
          <w:szCs w:val="22"/>
          <w:color w:val="auto"/>
        </w:rPr>
        <w:t>. Vertex hereby represents and warrants to Company, as of the</w:t>
      </w:r>
    </w:p>
    <w:p>
      <w:pPr>
        <w:spacing w:after="0"/>
        <w:rPr>
          <w:sz w:val="20"/>
          <w:szCs w:val="20"/>
          <w:color w:val="auto"/>
        </w:rPr>
      </w:pPr>
      <w:r>
        <w:rPr>
          <w:rFonts w:ascii="Times New Roman" w:cs="Times New Roman" w:eastAsia="Times New Roman" w:hAnsi="Times New Roman"/>
          <w:sz w:val="22"/>
          <w:szCs w:val="22"/>
          <w:color w:val="auto"/>
        </w:rPr>
        <w:t>Execution Date and the Effective Date, that:</w:t>
      </w:r>
    </w:p>
    <w:p>
      <w:pPr>
        <w:spacing w:after="0" w:line="151" w:lineRule="exact"/>
        <w:rPr>
          <w:sz w:val="20"/>
          <w:szCs w:val="20"/>
          <w:color w:val="auto"/>
        </w:rPr>
      </w:pPr>
    </w:p>
    <w:p>
      <w:pPr>
        <w:ind w:right="20"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7.1.1. </w:t>
      </w:r>
      <w:r>
        <w:rPr>
          <w:rFonts w:ascii="Times New Roman" w:cs="Times New Roman" w:eastAsia="Times New Roman" w:hAnsi="Times New Roman"/>
          <w:sz w:val="22"/>
          <w:szCs w:val="22"/>
          <w:color w:val="auto"/>
        </w:rPr>
        <w:t>it is duly organized, validly existing and in good standing under the laws of the jurisdiction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incorporation or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391" w:right="339" w:bottom="1440" w:gutter="0" w:footer="0" w:header="0"/>
        </w:sectPr>
      </w:pPr>
    </w:p>
    <w:bookmarkStart w:id="301" w:name="page302"/>
    <w:bookmarkEnd w:id="301"/>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7.1.2. </w:t>
      </w:r>
      <w:r>
        <w:rPr>
          <w:rFonts w:ascii="Times New Roman" w:cs="Times New Roman" w:eastAsia="Times New Roman" w:hAnsi="Times New Roman"/>
          <w:sz w:val="22"/>
          <w:szCs w:val="22"/>
          <w:color w:val="auto"/>
        </w:rPr>
        <w:t>it (a) has the requisite power and authority and the legal right to enter into this Agreement and to perform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obligations hereunder and (b) has taken all requisite action on its part to authorize the execution and delivery of this Agreement and the performance of its obligations hereunder;</w:t>
      </w:r>
    </w:p>
    <w:p>
      <w:pPr>
        <w:spacing w:after="0" w:line="14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7.1.3. </w:t>
      </w:r>
      <w:r>
        <w:rPr>
          <w:rFonts w:ascii="Times New Roman" w:cs="Times New Roman" w:eastAsia="Times New Roman" w:hAnsi="Times New Roman"/>
          <w:sz w:val="22"/>
          <w:szCs w:val="22"/>
          <w:color w:val="auto"/>
        </w:rPr>
        <w:t>this Agreement has been duly executed and delivered on behalf of Vertex, and constitutes a legal, valid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binding obligation, enforceable against Vertex in accordance with the terms hereof;</w:t>
      </w:r>
    </w:p>
    <w:p>
      <w:pPr>
        <w:spacing w:after="0" w:line="146"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7.1.4. </w:t>
      </w:r>
      <w:r>
        <w:rPr>
          <w:rFonts w:ascii="Times New Roman" w:cs="Times New Roman" w:eastAsia="Times New Roman" w:hAnsi="Times New Roman"/>
          <w:sz w:val="22"/>
          <w:szCs w:val="22"/>
          <w:color w:val="auto"/>
        </w:rPr>
        <w:t>the execution, delivery and performance of this Agreement by Vertex will not constitute a default under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conflict with any agreement, instrument, obligation or understanding, oral or written, to which it is a party or by which it is bound, or violate any law or regulation of any court, governmental body or administrative or other agency having jurisdiction over it;</w:t>
      </w:r>
    </w:p>
    <w:p>
      <w:pPr>
        <w:spacing w:after="0" w:line="148"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7.1.5. </w:t>
      </w:r>
      <w:r>
        <w:rPr>
          <w:rFonts w:ascii="Times New Roman" w:cs="Times New Roman" w:eastAsia="Times New Roman" w:hAnsi="Times New Roman"/>
          <w:sz w:val="22"/>
          <w:szCs w:val="22"/>
          <w:color w:val="auto"/>
        </w:rPr>
        <w:t>except with respect to any required Antitrust Filings, it has obtained all necessary consents, approvals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authorizations of all Governmental Authorities and other Persons or entities required to be obtained by it in connection with the execution and delivery of this Agreement;</w:t>
      </w:r>
    </w:p>
    <w:p>
      <w:pPr>
        <w:spacing w:after="0" w:line="146"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7.1.6. </w:t>
      </w:r>
      <w:r>
        <w:rPr>
          <w:rFonts w:ascii="Times New Roman" w:cs="Times New Roman" w:eastAsia="Times New Roman" w:hAnsi="Times New Roman"/>
          <w:sz w:val="22"/>
          <w:szCs w:val="22"/>
          <w:color w:val="auto"/>
        </w:rPr>
        <w:t>the representations and warranties of Vertex in this Agreement, and the information, documents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materials furnished to Company in connection with its period of diligence prior to the Execution Date or the Effective Date, as applicable, do not, taken as a whole, (a) contain any untrue statement of a material fact, or (b) omit to state any material fact necessary to make the statements or facts contained therein, in light of the circumstances under which they were made, not misleading; and</w:t>
      </w:r>
    </w:p>
    <w:p>
      <w:pPr>
        <w:spacing w:after="0" w:line="147" w:lineRule="exact"/>
        <w:rPr>
          <w:sz w:val="20"/>
          <w:szCs w:val="20"/>
          <w:color w:val="auto"/>
        </w:rPr>
      </w:pPr>
    </w:p>
    <w:p>
      <w:pPr>
        <w:jc w:val="both"/>
        <w:ind w:right="20"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7.1.7. </w:t>
      </w:r>
      <w:r>
        <w:rPr>
          <w:rFonts w:ascii="Times New Roman" w:cs="Times New Roman" w:eastAsia="Times New Roman" w:hAnsi="Times New Roman"/>
          <w:sz w:val="22"/>
          <w:szCs w:val="22"/>
          <w:color w:val="auto"/>
        </w:rPr>
        <w:t>Vertex is solvent and has the ability to pay and perform all of its obligations due as of the Effective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any such payment obligations under this Agreement.</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b w:val="1"/>
          <w:bCs w:val="1"/>
          <w:u w:val="single" w:color="auto"/>
          <w:color w:val="auto"/>
        </w:rPr>
        <w:t>Representations and Warranties of Company</w:t>
      </w:r>
      <w:r>
        <w:rPr>
          <w:rFonts w:ascii="Times New Roman" w:cs="Times New Roman" w:eastAsia="Times New Roman" w:hAnsi="Times New Roman"/>
          <w:sz w:val="22"/>
          <w:szCs w:val="22"/>
          <w:color w:val="auto"/>
        </w:rPr>
        <w:t xml:space="preserve">. Company hereby represents and warrants to Vertex, as of the Execution Date and the Effective Date, that, except as set forth in the corresponding section of </w:t>
      </w:r>
      <w:r>
        <w:rPr>
          <w:rFonts w:ascii="Times New Roman" w:cs="Times New Roman" w:eastAsia="Times New Roman" w:hAnsi="Times New Roman"/>
          <w:sz w:val="22"/>
          <w:szCs w:val="22"/>
          <w:u w:val="single" w:color="auto"/>
          <w:color w:val="auto"/>
        </w:rPr>
        <w:t>Schedule 7.2.8</w:t>
      </w:r>
      <w:r>
        <w:rPr>
          <w:rFonts w:ascii="Times New Roman" w:cs="Times New Roman" w:eastAsia="Times New Roman" w:hAnsi="Times New Roman"/>
          <w:sz w:val="22"/>
          <w:szCs w:val="22"/>
          <w:color w:val="auto"/>
        </w:rPr>
        <w:t>, which schedule may be supplemented or updated within [***] following the Antitrust Clearance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supplement or update may only contain information arising after the Execution Date):</w:t>
      </w:r>
    </w:p>
    <w:p>
      <w:pPr>
        <w:spacing w:after="0" w:line="148" w:lineRule="exact"/>
        <w:rPr>
          <w:sz w:val="20"/>
          <w:szCs w:val="20"/>
          <w:color w:val="auto"/>
        </w:rPr>
      </w:pPr>
    </w:p>
    <w:p>
      <w:pPr>
        <w:jc w:val="both"/>
        <w:ind w:right="20"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7.2.1. </w:t>
      </w:r>
      <w:r>
        <w:rPr>
          <w:rFonts w:ascii="Times New Roman" w:cs="Times New Roman" w:eastAsia="Times New Roman" w:hAnsi="Times New Roman"/>
          <w:sz w:val="22"/>
          <w:szCs w:val="22"/>
          <w:color w:val="auto"/>
        </w:rPr>
        <w:t>it is duly organized, validly existing and in good standing under the laws of the jurisdiction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incorporation or organization;</w:t>
      </w:r>
    </w:p>
    <w:p>
      <w:pPr>
        <w:spacing w:after="0" w:line="146"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7.2.2. </w:t>
      </w:r>
      <w:r>
        <w:rPr>
          <w:rFonts w:ascii="Times New Roman" w:cs="Times New Roman" w:eastAsia="Times New Roman" w:hAnsi="Times New Roman"/>
          <w:sz w:val="22"/>
          <w:szCs w:val="22"/>
          <w:color w:val="auto"/>
        </w:rPr>
        <w:t>it (a) has the requisite power and authority and the legal right to enter into this Agreement and to perform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obligations hereunder and (b) has taken all requisite action on its part to authorize the execution and delivery of this Agreement and the performance of its obligations hereunder;</w:t>
      </w:r>
    </w:p>
    <w:p>
      <w:pPr>
        <w:spacing w:after="0" w:line="14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7.2.3. </w:t>
      </w:r>
      <w:r>
        <w:rPr>
          <w:rFonts w:ascii="Times New Roman" w:cs="Times New Roman" w:eastAsia="Times New Roman" w:hAnsi="Times New Roman"/>
          <w:sz w:val="22"/>
          <w:szCs w:val="22"/>
          <w:color w:val="auto"/>
        </w:rPr>
        <w:t>this Agreement has been duly executed and delivered on behalf of Company, and constitutes a legal, valid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binding obligation, enforceable against it in accordance with the terms hereof;</w:t>
      </w:r>
    </w:p>
    <w:p>
      <w:pPr>
        <w:spacing w:after="0" w:line="146"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7.2.4. </w:t>
      </w:r>
      <w:r>
        <w:rPr>
          <w:rFonts w:ascii="Times New Roman" w:cs="Times New Roman" w:eastAsia="Times New Roman" w:hAnsi="Times New Roman"/>
          <w:sz w:val="22"/>
          <w:szCs w:val="22"/>
          <w:color w:val="auto"/>
        </w:rPr>
        <w:t>the execution, delivery and performance of this Agreement by Company will not constitute a default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conflict with any agreement, instrument, obligation or understanding, oral or written, to which it is a party or by which it is bound, or violate any law or regulation of any court, governmental body or administrative or other agency having jurisdiction over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391" w:right="339" w:bottom="1440" w:gutter="0" w:footer="0" w:header="0"/>
        </w:sectPr>
      </w:pPr>
    </w:p>
    <w:bookmarkStart w:id="302" w:name="page303"/>
    <w:bookmarkEnd w:id="302"/>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7.2.5. </w:t>
      </w:r>
      <w:r>
        <w:rPr>
          <w:rFonts w:ascii="Times New Roman" w:cs="Times New Roman" w:eastAsia="Times New Roman" w:hAnsi="Times New Roman"/>
          <w:sz w:val="22"/>
          <w:szCs w:val="22"/>
          <w:color w:val="auto"/>
        </w:rPr>
        <w:t>except with respect to any required Antitrust Filings, it has obtained all necessary consents, approvals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authorizations of all Governmental Authorities and other Persons or entities required to be obtained by it in connection with the execution and delivery of this Agreement;</w:t>
      </w:r>
    </w:p>
    <w:p>
      <w:pPr>
        <w:spacing w:after="0" w:line="146"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7.2.6. </w:t>
      </w:r>
      <w:r>
        <w:rPr>
          <w:rFonts w:ascii="Times New Roman" w:cs="Times New Roman" w:eastAsia="Times New Roman" w:hAnsi="Times New Roman"/>
          <w:sz w:val="22"/>
          <w:szCs w:val="22"/>
          <w:color w:val="auto"/>
        </w:rPr>
        <w:t>Company Controls all Patents and Know-How owned by or licensed to Company or its Affiliates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(excluding Patents and Know-How licensed to Company or its Affiliates by OSIF under the OSIF Agreement) that are necessary or useful to Exploit Licensed Agents and Products in the Field;</w:t>
      </w:r>
    </w:p>
    <w:p>
      <w:pPr>
        <w:spacing w:after="0" w:line="146" w:lineRule="exact"/>
        <w:rPr>
          <w:sz w:val="20"/>
          <w:szCs w:val="20"/>
          <w:color w:val="auto"/>
        </w:rPr>
      </w:pPr>
    </w:p>
    <w:p>
      <w:pPr>
        <w:jc w:val="both"/>
        <w:ind w:firstLine="1296"/>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7.2.7. </w:t>
      </w:r>
      <w:r>
        <w:rPr>
          <w:rFonts w:ascii="Times New Roman" w:cs="Times New Roman" w:eastAsia="Times New Roman" w:hAnsi="Times New Roman"/>
          <w:sz w:val="21"/>
          <w:szCs w:val="21"/>
          <w:color w:val="auto"/>
        </w:rPr>
        <w:t>Company is the sole and exclusive owner or exclusive licensee of the Licensed Technology, all of which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free and clear of any liens, charges and encumbrances (other than any license granted by Company or its Affiliates to any Third Party that do not conflict with or affect the scope of the licenses granted under this Agreement), and, as of the Execution Date and the Effective Date, neither any license granted by Company or its Affiliates to any Third Party, nor any agreement between any Third Party and Company or its Affiliates, conflicts with the licenses or other rights granted to Vertex hereunder and Company is entitled to grant all rights and licenses (or sublicenses, as the case may be) it purports to grant to Vertex under this Agreement;</w:t>
      </w:r>
    </w:p>
    <w:p>
      <w:pPr>
        <w:spacing w:after="0" w:line="148"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7.2.8. </w:t>
      </w:r>
      <w:r>
        <w:rPr>
          <w:rFonts w:ascii="Times New Roman" w:cs="Times New Roman" w:eastAsia="Times New Roman" w:hAnsi="Times New Roman"/>
          <w:sz w:val="22"/>
          <w:szCs w:val="22"/>
          <w:color w:val="auto"/>
        </w:rPr>
        <w:t>Company has disclosed to Vertex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7.2.8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Licensed Patents that, to its knowledge,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existing as of the Execution Date and the Effective Date, and such disclosure indicates whether each such Patent is owned by Company or licensed by Company from a Third Party and if so licensed, identifies the licensor or sublicensor from which the Patent is licensed and Company has provided Vertex with a true and complete copy of each such license agreement;</w:t>
      </w:r>
    </w:p>
    <w:p>
      <w:pPr>
        <w:spacing w:after="0" w:line="148"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7.2.9. </w:t>
      </w:r>
      <w:r>
        <w:rPr>
          <w:rFonts w:ascii="Times New Roman" w:cs="Times New Roman" w:eastAsia="Times New Roman" w:hAnsi="Times New Roman"/>
          <w:sz w:val="22"/>
          <w:szCs w:val="22"/>
          <w:color w:val="auto"/>
        </w:rPr>
        <w:t>to its knowledge, the Licensed Patents, are subsisting and are, or, upon issuance, will be, valid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enforceable patents and no Third Party has challenged the scope validity or enforceability of such Patents (including by way of example through the institution or written threat of institution of interference, nullity or similar invalidity proceedings before the United States Patent and Trademark Office or any analogous foreign Governmental Authority);</w:t>
      </w:r>
    </w:p>
    <w:p>
      <w:pPr>
        <w:spacing w:after="0" w:line="14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7.2.10. </w:t>
      </w:r>
      <w:r>
        <w:rPr>
          <w:rFonts w:ascii="Times New Roman" w:cs="Times New Roman" w:eastAsia="Times New Roman" w:hAnsi="Times New Roman"/>
          <w:sz w:val="22"/>
          <w:szCs w:val="22"/>
          <w:color w:val="auto"/>
        </w:rPr>
        <w:t>to its knowledge, no Third Party is infringing or threatening to infringe any of the Licensed Patents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misappropriating or threatening to misappropriate any Licensed Know-How;</w:t>
      </w:r>
    </w:p>
    <w:p>
      <w:pPr>
        <w:spacing w:after="0" w:line="146"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7.2.11. </w:t>
      </w:r>
      <w:r>
        <w:rPr>
          <w:rFonts w:ascii="Times New Roman" w:cs="Times New Roman" w:eastAsia="Times New Roman" w:hAnsi="Times New Roman"/>
          <w:sz w:val="22"/>
          <w:szCs w:val="22"/>
          <w:color w:val="auto"/>
        </w:rPr>
        <w:t>it has complied with Applicable Law, including any disclosure requirements of the United States Patent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Trademark Office or any analogous foreign Governmental Authority, in connection with the Prosecution and Maintenance of the Licensed Patents and has timely paid all filing and renewal fees payable with respect to any such Patents for which it controls Prosecution and Maintenance;</w:t>
      </w:r>
    </w:p>
    <w:p>
      <w:pPr>
        <w:spacing w:after="0" w:line="14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7.2.12. </w:t>
      </w:r>
      <w:r>
        <w:rPr>
          <w:rFonts w:ascii="Times New Roman" w:cs="Times New Roman" w:eastAsia="Times New Roman" w:hAnsi="Times New Roman"/>
          <w:sz w:val="22"/>
          <w:szCs w:val="22"/>
          <w:color w:val="auto"/>
        </w:rPr>
        <w:t>it has obtained assignments from the inventors of all inventorship rights relating to the Licensed Patents,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to its knowledge, all such assignments of inventorship rights relating to such Patents are valid and enforceable;</w:t>
      </w:r>
    </w:p>
    <w:p>
      <w:pPr>
        <w:spacing w:after="0" w:line="146"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7.2.13. </w:t>
      </w:r>
      <w:r>
        <w:rPr>
          <w:rFonts w:ascii="Times New Roman" w:cs="Times New Roman" w:eastAsia="Times New Roman" w:hAnsi="Times New Roman"/>
          <w:sz w:val="22"/>
          <w:szCs w:val="22"/>
          <w:color w:val="auto"/>
        </w:rPr>
        <w:t>except for the Company In-License Agreements, there is no agreement between Company or any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and any Third Party pursuant to which Company or its Affiliate has acquired Control of any of the Licensed Technology. Company has provided true and complete copies of all Company In-License Agreements, including all amendments or modifications thereto, to Vertex. All Company In-License Agreements are in full force and effect. Neither Company nor its Affiliates nor, to its knowledge, the Third Party licensor in any Company In-License Agreement is in material breach of, or in default with respect to a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391" w:right="339" w:bottom="1440" w:gutter="0" w:footer="0" w:header="0"/>
        </w:sectPr>
      </w:pPr>
    </w:p>
    <w:bookmarkStart w:id="303" w:name="page304"/>
    <w:bookmarkEnd w:id="303"/>
    <w:p>
      <w:pPr>
        <w:jc w:val="both"/>
        <w:spacing w:after="0" w:line="225" w:lineRule="auto"/>
        <w:rPr>
          <w:sz w:val="20"/>
          <w:szCs w:val="20"/>
          <w:color w:val="auto"/>
        </w:rPr>
      </w:pPr>
      <w:r>
        <w:rPr>
          <w:rFonts w:ascii="Times New Roman" w:cs="Times New Roman" w:eastAsia="Times New Roman" w:hAnsi="Times New Roman"/>
          <w:sz w:val="22"/>
          <w:szCs w:val="22"/>
          <w:color w:val="auto"/>
        </w:rPr>
        <w:t>obligation under, any Company In-License Agreement, and neither such party has claimed or has grounds upon which to claim that the other party is in material breach of, or in default with respect to a material obligation under, any Company In-License Agreement;</w:t>
      </w:r>
    </w:p>
    <w:p>
      <w:pPr>
        <w:spacing w:after="0" w:line="148" w:lineRule="exact"/>
        <w:rPr>
          <w:sz w:val="20"/>
          <w:szCs w:val="20"/>
          <w:color w:val="auto"/>
        </w:rPr>
      </w:pPr>
    </w:p>
    <w:p>
      <w:pPr>
        <w:jc w:val="both"/>
        <w:ind w:firstLine="1296"/>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7.2.14. </w:t>
      </w:r>
      <w:r>
        <w:rPr>
          <w:rFonts w:ascii="Times New Roman" w:cs="Times New Roman" w:eastAsia="Times New Roman" w:hAnsi="Times New Roman"/>
          <w:sz w:val="22"/>
          <w:szCs w:val="22"/>
          <w:color w:val="auto"/>
        </w:rPr>
        <w:t>Company and its Affiliates have taken commercially reasonable measures consistent with industry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practices to protect the secrecy, confidentiality and value of all Licensed Know-How that constitutes trade secrets under Applicable Law (including requiring all employees, consultants and independent contractors to execute binding and enforceable agreements requiring all such employees, consultants and independent contractors to maintain the confidentiality of such Licensed Know-How) and, to Company’s knowledge, such Licensed Know-How has not been used, disclosed to or discovered by any Third Party except pursuant to such confidentiality agreements and there has not been a breach by any party to such confidentiality agreements;</w:t>
      </w:r>
    </w:p>
    <w:p>
      <w:pPr>
        <w:spacing w:after="0" w:line="136" w:lineRule="exact"/>
        <w:rPr>
          <w:sz w:val="20"/>
          <w:szCs w:val="20"/>
          <w:color w:val="auto"/>
        </w:rPr>
      </w:pPr>
    </w:p>
    <w:p>
      <w:pPr>
        <w:ind w:left="1300"/>
        <w:spacing w:after="0"/>
        <w:tabs>
          <w:tab w:leader="none" w:pos="2200" w:val="left"/>
        </w:tabs>
        <w:rPr>
          <w:sz w:val="20"/>
          <w:szCs w:val="20"/>
          <w:color w:val="auto"/>
        </w:rPr>
      </w:pPr>
      <w:r>
        <w:rPr>
          <w:rFonts w:ascii="Times New Roman" w:cs="Times New Roman" w:eastAsia="Times New Roman" w:hAnsi="Times New Roman"/>
          <w:sz w:val="22"/>
          <w:szCs w:val="22"/>
          <w:b w:val="1"/>
          <w:bCs w:val="1"/>
          <w:color w:val="auto"/>
        </w:rPr>
        <w:t>7.2.15.</w:t>
      </w:r>
      <w:r>
        <w:rPr>
          <w:sz w:val="20"/>
          <w:szCs w:val="20"/>
          <w:color w:val="auto"/>
        </w:rPr>
        <w:tab/>
      </w:r>
      <w:r>
        <w:rPr>
          <w:rFonts w:ascii="Times New Roman" w:cs="Times New Roman" w:eastAsia="Times New Roman" w:hAnsi="Times New Roman"/>
          <w:sz w:val="22"/>
          <w:szCs w:val="22"/>
          <w:color w:val="auto"/>
        </w:rPr>
        <w:t>no Licensed Technology is subject to any funding agreement with any government or governmental</w:t>
      </w:r>
    </w:p>
    <w:p>
      <w:pPr>
        <w:spacing w:after="0"/>
        <w:rPr>
          <w:sz w:val="20"/>
          <w:szCs w:val="20"/>
          <w:color w:val="auto"/>
        </w:rPr>
      </w:pPr>
      <w:r>
        <w:rPr>
          <w:rFonts w:ascii="Times New Roman" w:cs="Times New Roman" w:eastAsia="Times New Roman" w:hAnsi="Times New Roman"/>
          <w:sz w:val="22"/>
          <w:szCs w:val="22"/>
          <w:color w:val="auto"/>
        </w:rPr>
        <w:t>agency;</w:t>
      </w:r>
    </w:p>
    <w:p>
      <w:pPr>
        <w:spacing w:after="0" w:line="151"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7.2.16. </w:t>
      </w:r>
      <w:r>
        <w:rPr>
          <w:rFonts w:ascii="Times New Roman" w:cs="Times New Roman" w:eastAsia="Times New Roman" w:hAnsi="Times New Roman"/>
          <w:sz w:val="22"/>
          <w:szCs w:val="22"/>
          <w:color w:val="auto"/>
        </w:rPr>
        <w:t>to its knowledge, and except as disclosed to Vertex prior to the Effective Date, the Exploitation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or Vertex (or their respective Affiliates or Sublicensees) of ENTR-701 does not and will not infringe any issued Patent of any Third Party or, if and when issued, any claim within any Patent application of any Third Party;</w:t>
      </w:r>
    </w:p>
    <w:p>
      <w:pPr>
        <w:spacing w:after="0" w:line="146"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7.2.17. </w:t>
      </w:r>
      <w:r>
        <w:rPr>
          <w:rFonts w:ascii="Times New Roman" w:cs="Times New Roman" w:eastAsia="Times New Roman" w:hAnsi="Times New Roman"/>
          <w:sz w:val="22"/>
          <w:szCs w:val="22"/>
          <w:color w:val="auto"/>
        </w:rPr>
        <w:t>the conception, development, and reduction to practice of the Licensed Technology have not constituted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involved the misappropriation of any Know-How of any Third Party, and the practice of the Licensed Know-How in the Exploitation by Company or Vertex (or their respective Affiliates or Sublicensees) of a Licensed Agent or Product as contemplated by this Agreement does not and will not constitute a misappropriation of any Know-How of any Third Party;</w:t>
      </w:r>
    </w:p>
    <w:p>
      <w:pPr>
        <w:spacing w:after="0" w:line="148"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7.2.18. </w:t>
      </w:r>
      <w:r>
        <w:rPr>
          <w:rFonts w:ascii="Times New Roman" w:cs="Times New Roman" w:eastAsia="Times New Roman" w:hAnsi="Times New Roman"/>
          <w:sz w:val="22"/>
          <w:szCs w:val="22"/>
          <w:color w:val="auto"/>
        </w:rPr>
        <w:t>Company is not aware of any scientific or technical facts or circumstances that would reasonably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expected to materially adversely affect the scientific, therapeutic, or commercial potential of the Licensed Agent or Products, including any such facts or circumstances that would reasonably be expected to materially adversely affect the acceptance, or the subsequent approval, by any Regulatory Authority of any filing, application or request for any Marketing Approval;</w:t>
      </w:r>
    </w:p>
    <w:p>
      <w:pPr>
        <w:spacing w:after="0" w:line="148" w:lineRule="exact"/>
        <w:rPr>
          <w:sz w:val="20"/>
          <w:szCs w:val="20"/>
          <w:color w:val="auto"/>
        </w:rPr>
      </w:pPr>
    </w:p>
    <w:p>
      <w:pPr>
        <w:jc w:val="both"/>
        <w:ind w:right="20"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7.2.19. </w:t>
      </w:r>
      <w:r>
        <w:rPr>
          <w:rFonts w:ascii="Times New Roman" w:cs="Times New Roman" w:eastAsia="Times New Roman" w:hAnsi="Times New Roman"/>
          <w:sz w:val="22"/>
          <w:szCs w:val="22"/>
          <w:color w:val="auto"/>
        </w:rPr>
        <w:t>there are no judgments or settlements against or owed by Company or its Affiliates or, to its knowledge,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pending or threatened claims or litigation, in either case relating to the Licensed Technology;</w:t>
      </w:r>
    </w:p>
    <w:p>
      <w:pPr>
        <w:spacing w:after="0" w:line="146"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7.2.20. </w:t>
      </w:r>
      <w:r>
        <w:rPr>
          <w:rFonts w:ascii="Times New Roman" w:cs="Times New Roman" w:eastAsia="Times New Roman" w:hAnsi="Times New Roman"/>
          <w:sz w:val="22"/>
          <w:szCs w:val="22"/>
          <w:color w:val="auto"/>
        </w:rPr>
        <w:t>there is no action, claim, demand, suit, proceeding, arbitration, grievance, citation, summons, subpoena,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inquiry or investigation of any nature, civil, criminal, regulatory or otherwise, in law or in equity, pending, or, to its knowledge, threatened against Company, any of its Affiliates or, to its knowledge, any Third Party, in each case in connection with the Licensed Technology, the Licensed Agents, the Products, or otherwise relating to the transactions contemplated by this Agreement;</w:t>
      </w:r>
    </w:p>
    <w:p>
      <w:pPr>
        <w:spacing w:after="0" w:line="147"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7.2.21. </w:t>
      </w:r>
      <w:r>
        <w:rPr>
          <w:rFonts w:ascii="Times New Roman" w:cs="Times New Roman" w:eastAsia="Times New Roman" w:hAnsi="Times New Roman"/>
          <w:sz w:val="22"/>
          <w:szCs w:val="22"/>
          <w:color w:val="auto"/>
        </w:rPr>
        <w:t>Company has not employed (and, to its knowledge, has not used a contractor or consultant that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employed) any Person debarred by the FDA (or subject to a similar sanction of EMA or foreign equivalent), or any Person that is the subject of an FDA debarment investigation or proceeding (or similar proceeding of EMA or foreign equivalent), in any capacity in connection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395" w:right="339" w:bottom="1440" w:gutter="0" w:footer="0" w:header="0"/>
        </w:sectPr>
      </w:pPr>
    </w:p>
    <w:bookmarkStart w:id="304" w:name="page305"/>
    <w:bookmarkEnd w:id="304"/>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7.2.22. </w:t>
      </w:r>
      <w:r>
        <w:rPr>
          <w:rFonts w:ascii="Times New Roman" w:cs="Times New Roman" w:eastAsia="Times New Roman" w:hAnsi="Times New Roman"/>
          <w:sz w:val="22"/>
          <w:szCs w:val="22"/>
          <w:color w:val="auto"/>
        </w:rPr>
        <w:t>with respect to any Licensed Technology, Licensed Agent or Product or activities to be performed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in connection with this Agreement, Company has not taken any action directly or indirectly to unlawfully offer, promise, or pay, or authorize the offer or payment of, any money or anything of value in order to improperly or corruptly seek to influence any Government Official or any other person in order to gain an improper advantage, and has not accepted any such unlawful payment;</w:t>
      </w:r>
    </w:p>
    <w:p>
      <w:pPr>
        <w:spacing w:after="0" w:line="147"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7.2.23. </w:t>
      </w:r>
      <w:r>
        <w:rPr>
          <w:rFonts w:ascii="Times New Roman" w:cs="Times New Roman" w:eastAsia="Times New Roman" w:hAnsi="Times New Roman"/>
          <w:sz w:val="22"/>
          <w:szCs w:val="22"/>
          <w:color w:val="auto"/>
        </w:rPr>
        <w:t>to its knowledge, except to the extent permissible under United States law, neither Company nor any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Affiliates has, on its own behalf or in acting on behalf of any other Person, directly or indirectly engaged in any transaction, or has otherwise dealt with, any country or Person targeted by the United States, Europe or other relevant economic sanctions laws in connection with any activities contemplated by this Agreement; and</w:t>
      </w:r>
    </w:p>
    <w:p>
      <w:pPr>
        <w:spacing w:after="0" w:line="148"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7.2.24. </w:t>
      </w:r>
      <w:r>
        <w:rPr>
          <w:rFonts w:ascii="Times New Roman" w:cs="Times New Roman" w:eastAsia="Times New Roman" w:hAnsi="Times New Roman"/>
          <w:sz w:val="22"/>
          <w:szCs w:val="22"/>
          <w:color w:val="auto"/>
        </w:rPr>
        <w:t>the representations and warranties of Company in this Agreement, and the information, documents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materials furnished to Vertex in connection with its period of diligence prior to the Execution Date or the Effective Date, as applicable, do not, taken as a whole, (a) contain any untrue statement of a material fact, or (b) omit to state any material fact necessary to make the statements or facts contained therein, in light of the circumstances under which they were made, not misleading.</w:t>
      </w:r>
    </w:p>
    <w:p>
      <w:pPr>
        <w:spacing w:after="0" w:line="14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b w:val="1"/>
          <w:bCs w:val="1"/>
          <w:u w:val="single" w:color="auto"/>
          <w:color w:val="auto"/>
        </w:rPr>
        <w:t>Vertex Covenants</w:t>
      </w:r>
      <w:r>
        <w:rPr>
          <w:rFonts w:ascii="Times New Roman" w:cs="Times New Roman" w:eastAsia="Times New Roman" w:hAnsi="Times New Roman"/>
          <w:sz w:val="21"/>
          <w:szCs w:val="21"/>
          <w:color w:val="auto"/>
        </w:rPr>
        <w:t>. Vertex hereby covenants to Company that, except as expressly permitted under this Agreement:</w:t>
      </w:r>
    </w:p>
    <w:p>
      <w:pPr>
        <w:spacing w:after="0" w:line="179"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7.3.1. </w:t>
      </w:r>
      <w:r>
        <w:rPr>
          <w:rFonts w:ascii="Times New Roman" w:cs="Times New Roman" w:eastAsia="Times New Roman" w:hAnsi="Times New Roman"/>
          <w:sz w:val="22"/>
          <w:szCs w:val="22"/>
          <w:color w:val="auto"/>
        </w:rPr>
        <w:t>Vertex will, and will require its Affiliates, Sublicensees and Subcontractors to, comply with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 and accepted pharmaceutical industry business practices in conducting its activities hereunder, including (a) to the extent applicable to Vertex or its Affiliates or Subcontractor, the FD&amp;C Act, the Anti-Kickback Statute (42 U.S.C. 1320a-7b), Civil Monetary Penalty Statute (42 U.S.C. 1320a-7a), the False Claims Act (31 U.S.C. 3729 et seq.), comparable state statutes, the regulations promulgated under all such statutes and the regulations issued by the FDA, consistent with the ‘Compliance Program Guidance for Pharmaceutical Manufacturers’ published by the Office of Inspector General, U.S. Department of Health and Human Services, (b) the applicable laws and regulations of the countries where it operates, including anti-bribery and anti-corruption laws, accounting and record keeping laws and laws relating to interactions with healthcare professionals or healthcare providers and Government Officials and (c) where appropriate GMP, GCP and GLP (or similar standards);</w:t>
      </w:r>
    </w:p>
    <w:p>
      <w:pPr>
        <w:spacing w:after="0" w:line="149"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7.3.2. </w:t>
      </w:r>
      <w:r>
        <w:rPr>
          <w:rFonts w:ascii="Times New Roman" w:cs="Times New Roman" w:eastAsia="Times New Roman" w:hAnsi="Times New Roman"/>
          <w:sz w:val="22"/>
          <w:szCs w:val="22"/>
          <w:color w:val="auto"/>
        </w:rPr>
        <w:t>Vertex will not engage directly or indirectly, in any capacity in connection with this Agreement any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who either has been debarred by the FDA, is the subject of a conviction described in Section 306 of the FD&amp;C Act or is subject to any such similar sanction;</w:t>
      </w:r>
    </w:p>
    <w:p>
      <w:pPr>
        <w:spacing w:after="0" w:line="146"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7.3.3. </w:t>
      </w:r>
      <w:r>
        <w:rPr>
          <w:rFonts w:ascii="Times New Roman" w:cs="Times New Roman" w:eastAsia="Times New Roman" w:hAnsi="Times New Roman"/>
          <w:sz w:val="22"/>
          <w:szCs w:val="22"/>
          <w:color w:val="auto"/>
        </w:rPr>
        <w:t>Vertex will inform Company in writing promptly if it or any Person engaged by Vertex or any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who is performing services under this Agreement or any ancillary agreements is debarred or is the subject of a conviction described in Section 306 of the FD&amp;C Act, or if any action, suit, claim, investigation or legal or administrative proceeding is pending or, to Vertex’s knowledge, is threatened, relating to the debarment or conviction of Vertex, any of its Affiliates or any such Person performing services hereunder or thereunder;</w:t>
      </w:r>
    </w:p>
    <w:p>
      <w:pPr>
        <w:spacing w:after="0" w:line="14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7.3.4. </w:t>
      </w:r>
      <w:r>
        <w:rPr>
          <w:rFonts w:ascii="Times New Roman" w:cs="Times New Roman" w:eastAsia="Times New Roman" w:hAnsi="Times New Roman"/>
          <w:sz w:val="22"/>
          <w:szCs w:val="22"/>
          <w:color w:val="auto"/>
        </w:rPr>
        <w:t>Vertex will be, will cause its Affiliates to be, in compliance with all applicable economics sanctions,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import, and export control laws, regulations, and orders;</w:t>
      </w:r>
    </w:p>
    <w:p>
      <w:pPr>
        <w:spacing w:after="0" w:line="146"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7.3.5. </w:t>
      </w:r>
      <w:r>
        <w:rPr>
          <w:rFonts w:ascii="Times New Roman" w:cs="Times New Roman" w:eastAsia="Times New Roman" w:hAnsi="Times New Roman"/>
          <w:sz w:val="22"/>
          <w:szCs w:val="22"/>
          <w:color w:val="auto"/>
        </w:rPr>
        <w:t>with respect to any Licensed Technology, Licensed Agent, Product, payments or activities performed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Vertex in connection with this Agreement, Vertex will not take any action to unlawfully offer, promise, or pay, or authorize the offer or payment of, any money or anything of value in order to improperly or corruptly seek to influence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391" w:right="3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21"/>
          <w:szCs w:val="21"/>
          <w:color w:val="auto"/>
        </w:rPr>
        <w:t>Government Official or any other person in order to gain an improper advantage, and will not accept any such unlawful payment;</w:t>
      </w:r>
    </w:p>
    <w:p>
      <w:pPr>
        <w:spacing w:after="0" w:line="187"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7.3.6. </w:t>
      </w:r>
      <w:r>
        <w:rPr>
          <w:rFonts w:ascii="Times New Roman" w:cs="Times New Roman" w:eastAsia="Times New Roman" w:hAnsi="Times New Roman"/>
          <w:sz w:val="22"/>
          <w:szCs w:val="22"/>
          <w:color w:val="auto"/>
        </w:rPr>
        <w:t>Vertex will not, and will cause its Affiliates not to, engage with or engage in any transaction, or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deal with, any country or Person targeted by the United States, Europe or other relevant economic sanctions laws in connection with any activities contemplated under this Agreement;</w:t>
      </w:r>
    </w:p>
    <w:p>
      <w:pPr>
        <w:spacing w:after="0" w:line="146"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2"/>
          <w:szCs w:val="22"/>
          <w:b w:val="1"/>
          <w:bCs w:val="1"/>
          <w:color w:val="auto"/>
        </w:rPr>
        <w:t>7.3.7.</w:t>
      </w:r>
      <w:r>
        <w:rPr>
          <w:sz w:val="20"/>
          <w:szCs w:val="20"/>
          <w:color w:val="auto"/>
        </w:rPr>
        <w:tab/>
      </w:r>
      <w:r>
        <w:rPr>
          <w:rFonts w:ascii="Times New Roman" w:cs="Times New Roman" w:eastAsia="Times New Roman" w:hAnsi="Times New Roman"/>
          <w:sz w:val="21"/>
          <w:szCs w:val="21"/>
          <w:color w:val="auto"/>
        </w:rPr>
        <w:t>Vertex will be, as between the Parties, solely responsible to ensure Compliance by it and its Affiliates; and</w:t>
      </w:r>
    </w:p>
    <w:p>
      <w:pPr>
        <w:spacing w:after="0" w:line="179"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7.3.8. </w:t>
      </w:r>
      <w:r>
        <w:rPr>
          <w:rFonts w:ascii="Times New Roman" w:cs="Times New Roman" w:eastAsia="Times New Roman" w:hAnsi="Times New Roman"/>
          <w:sz w:val="22"/>
          <w:szCs w:val="22"/>
          <w:color w:val="auto"/>
        </w:rPr>
        <w:t>Vertex will not, during the term of this Agreement, grant any rights in the Know-How and Patents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Controlled by Vertex or its Affiliates that conflict or are inconsistent with the rights granted to Company under this Agreement or that would otherwise prevent Company from exercising its rights or performing its obligations under this Agreement.</w:t>
      </w:r>
    </w:p>
    <w:p>
      <w:pPr>
        <w:spacing w:after="0" w:line="133"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2"/>
          <w:szCs w:val="22"/>
          <w:b w:val="1"/>
          <w:bCs w:val="1"/>
          <w:u w:val="single" w:color="auto"/>
          <w:color w:val="auto"/>
        </w:rPr>
        <w:t>Company Covenants</w:t>
      </w:r>
      <w:r>
        <w:rPr>
          <w:rFonts w:ascii="Times New Roman" w:cs="Times New Roman" w:eastAsia="Times New Roman" w:hAnsi="Times New Roman"/>
          <w:sz w:val="22"/>
          <w:szCs w:val="22"/>
          <w:color w:val="auto"/>
        </w:rPr>
        <w:t>. Company hereby covenants to Vertex that, except as expressly permitted under this</w:t>
      </w: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51"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7.4.1. </w:t>
      </w:r>
      <w:r>
        <w:rPr>
          <w:rFonts w:ascii="Times New Roman" w:cs="Times New Roman" w:eastAsia="Times New Roman" w:hAnsi="Times New Roman"/>
          <w:sz w:val="22"/>
          <w:szCs w:val="22"/>
          <w:color w:val="auto"/>
        </w:rPr>
        <w:t>Company will, and will require its Affiliates and Subcontractors to, comply with Applicable Law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accepted pharmaceutical industry business practices in conducting its activities hereunder, including (a) to the extent applicable to Company or its Affiliates or Subcontractor, the FD&amp;C Act, the Anti-Kickback Statute (42 U.S.C. 1320a-7b), Civil Monetary Penalty Statute (42 U.S.C. 1320a-7a), the False Claims Act (31 U.S.C. 3729 et seq.), comparable state statutes, the regulations promulgated under all such statutes and the regulations issued by the FDA, consistent with the ‘Compliance Program Guidance for Pharmaceutical Manufacturers’ published by the Office of Inspector General, U.S. Department of Health and Human Services, (b) the applicable laws and regulations of the countries where it operates, including anti-bribery and anti-corruption laws, accounting and record keeping laws and laws relating to interactions with healthcare professionals or healthcare providers and Government Officials and (c) where appropriate GMP, GCP and GLP (or similar standards);</w:t>
      </w:r>
    </w:p>
    <w:p>
      <w:pPr>
        <w:spacing w:after="0" w:line="149"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7.4.2. </w:t>
      </w:r>
      <w:r>
        <w:rPr>
          <w:rFonts w:ascii="Times New Roman" w:cs="Times New Roman" w:eastAsia="Times New Roman" w:hAnsi="Times New Roman"/>
          <w:sz w:val="22"/>
          <w:szCs w:val="22"/>
          <w:color w:val="auto"/>
        </w:rPr>
        <w:t>Company will maintain and not breach, and will cause its Affiliates to maintain and not breach,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In-License Agreements and New Company Agreements;</w:t>
      </w:r>
    </w:p>
    <w:p>
      <w:pPr>
        <w:spacing w:after="0" w:line="146"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7.4.3. </w:t>
      </w:r>
      <w:r>
        <w:rPr>
          <w:rFonts w:ascii="Times New Roman" w:cs="Times New Roman" w:eastAsia="Times New Roman" w:hAnsi="Times New Roman"/>
          <w:sz w:val="22"/>
          <w:szCs w:val="22"/>
          <w:color w:val="auto"/>
        </w:rPr>
        <w:t>Company will promptly notify Vertex in writing of any material breach by Company or its Affiliate or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Third Party of any Company In-License Agreements or New Company Agreements, and will promptly notify Vertex in writing if Company or its Affiliate sends or receives a notice of material breach of any Company In-License Agreements or New Company Agreements, and in the event of a breach by Company or its Affiliate, will permit Vertex to cure such breach on Company’s or its Affiliate’s behalf upon Vertex’s request;</w:t>
      </w:r>
    </w:p>
    <w:p>
      <w:pPr>
        <w:spacing w:after="0" w:line="147"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7.4.4. </w:t>
      </w:r>
      <w:r>
        <w:rPr>
          <w:rFonts w:ascii="Times New Roman" w:cs="Times New Roman" w:eastAsia="Times New Roman" w:hAnsi="Times New Roman"/>
          <w:sz w:val="22"/>
          <w:szCs w:val="22"/>
          <w:color w:val="auto"/>
        </w:rPr>
        <w:t>Company will not, and will cause its Affiliates not to, amend, modify or terminate any Company In-License Agreement or New Company Agreement in a manner that would adversely affect Vertex’s rights hereunder without first obtaining Vertex’s written consent, which consent may be withheld in Vertex’s sole discretion;</w:t>
      </w:r>
    </w:p>
    <w:p>
      <w:pPr>
        <w:spacing w:after="0" w:line="146"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7.4.5. </w:t>
      </w:r>
      <w:r>
        <w:rPr>
          <w:rFonts w:ascii="Times New Roman" w:cs="Times New Roman" w:eastAsia="Times New Roman" w:hAnsi="Times New Roman"/>
          <w:sz w:val="22"/>
          <w:szCs w:val="22"/>
          <w:color w:val="auto"/>
        </w:rPr>
        <w:t>neither Company nor any of its Affiliates will effect any corporate restructuring or enter into any new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otherwise obligate itself to any Third Party or Affiliate, or amend an existing agreement with a Third Party or Affiliate, in each case, in a manner that restricts, limits, or encumbers the rights granted to Vertex under this Agreement or the obligations of Company or its Affiliates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395" w:right="339" w:bottom="1440" w:gutter="0" w:footer="0" w:header="0"/>
        </w:sectPr>
      </w:pPr>
    </w:p>
    <w:bookmarkStart w:id="306" w:name="page307"/>
    <w:bookmarkEnd w:id="306"/>
    <w:p>
      <w:pPr>
        <w:jc w:val="both"/>
        <w:ind w:firstLine="1296"/>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7.4.6. </w:t>
      </w:r>
      <w:r>
        <w:rPr>
          <w:rFonts w:ascii="Times New Roman" w:cs="Times New Roman" w:eastAsia="Times New Roman" w:hAnsi="Times New Roman"/>
          <w:sz w:val="22"/>
          <w:szCs w:val="22"/>
          <w:color w:val="auto"/>
        </w:rPr>
        <w:t>Company will not, and will cause its Affiliates not to (a) license, sell, assign or otherwise transfer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any Licensed Technology (or agree to do any of the foregoing), (b) negotiate with, offer to, or grant any license to any Person, or (c) incur or permit to exist, with respect to any Licensed Technology, any lien, encumbrance, charge, security interest, mortgage, liability, grant of license to Third Parties or other restriction (including in connection with any indebtedness), in each case ((a) through (c)), that would conflict with, limit, impair or restrict the rights and licenses granted to Vertex hereunder or would cause any Licensed Technology to cease to be Controlled by Company;</w:t>
      </w:r>
    </w:p>
    <w:p>
      <w:pPr>
        <w:spacing w:after="0" w:line="146"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7.4.7. </w:t>
      </w:r>
      <w:r>
        <w:rPr>
          <w:rFonts w:ascii="Times New Roman" w:cs="Times New Roman" w:eastAsia="Times New Roman" w:hAnsi="Times New Roman"/>
          <w:sz w:val="22"/>
          <w:szCs w:val="22"/>
          <w:color w:val="auto"/>
        </w:rPr>
        <w:t>all employees and Subcontractors of Company performing Research Activities or Additional Research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Activities hereunder on behalf of Company will be obligated to assign all right, title and interest in and to any inventions developed by them, whether or not patentable, to Company as the sole owner thereof;</w:t>
      </w:r>
    </w:p>
    <w:p>
      <w:pPr>
        <w:spacing w:after="0" w:line="146"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7.4.8. </w:t>
      </w:r>
      <w:r>
        <w:rPr>
          <w:rFonts w:ascii="Times New Roman" w:cs="Times New Roman" w:eastAsia="Times New Roman" w:hAnsi="Times New Roman"/>
          <w:sz w:val="22"/>
          <w:szCs w:val="22"/>
          <w:color w:val="auto"/>
        </w:rPr>
        <w:t>Company will not engage directly or indirectly, in any capacity in connection with this Agreement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who either has been debarred by the FDA, is the subject of a conviction described in Section 306 of the FD&amp;C Act or is subject to any such similar sanction;</w:t>
      </w:r>
    </w:p>
    <w:p>
      <w:pPr>
        <w:spacing w:after="0" w:line="146"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7.4.9. </w:t>
      </w:r>
      <w:r>
        <w:rPr>
          <w:rFonts w:ascii="Times New Roman" w:cs="Times New Roman" w:eastAsia="Times New Roman" w:hAnsi="Times New Roman"/>
          <w:sz w:val="22"/>
          <w:szCs w:val="22"/>
          <w:color w:val="auto"/>
        </w:rPr>
        <w:t>Company will inform Vertex in writing promptly if it or any Person engaged by Company or any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who is performing services under this Agreement or any ancillary agreements is debarred or is the subject of a conviction described in Section 306 of the FD&amp;C Act, or if any action, suit, claim, investigation or legal or administrative proceeding is pending or, to Company’s knowledge, is threatened, relating to the debarment or conviction of Company, any of its Affiliates or any such Person performing services hereunder or thereunder;</w:t>
      </w:r>
    </w:p>
    <w:p>
      <w:pPr>
        <w:spacing w:after="0" w:line="14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7.4.10. </w:t>
      </w:r>
      <w:r>
        <w:rPr>
          <w:rFonts w:ascii="Times New Roman" w:cs="Times New Roman" w:eastAsia="Times New Roman" w:hAnsi="Times New Roman"/>
          <w:sz w:val="22"/>
          <w:szCs w:val="22"/>
          <w:color w:val="auto"/>
        </w:rPr>
        <w:t>Company will be, and will cause its Affiliates to be, in compliance with all applicable economics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sanctions, import, and export control laws, regulations, and orders;</w:t>
      </w:r>
    </w:p>
    <w:p>
      <w:pPr>
        <w:spacing w:after="0" w:line="146"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7.4.11. </w:t>
      </w:r>
      <w:r>
        <w:rPr>
          <w:rFonts w:ascii="Times New Roman" w:cs="Times New Roman" w:eastAsia="Times New Roman" w:hAnsi="Times New Roman"/>
          <w:sz w:val="21"/>
          <w:szCs w:val="21"/>
          <w:color w:val="auto"/>
        </w:rPr>
        <w:t>with respect to any Licensed Technology, Licensed Agent, Product, payments or activities performed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in connection with this Agreement, Company will not take any action to unlawfully offer, promise, or pay, or authorize the offer or payment of, any money or anything of value in order to improperly or corruptly seek to influence any Government Official or any other person in order to gain an improper advantage, and will not accept any such unlawful payment;</w:t>
      </w:r>
    </w:p>
    <w:p>
      <w:pPr>
        <w:spacing w:after="0" w:line="146"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7.4.12. </w:t>
      </w:r>
      <w:r>
        <w:rPr>
          <w:rFonts w:ascii="Times New Roman" w:cs="Times New Roman" w:eastAsia="Times New Roman" w:hAnsi="Times New Roman"/>
          <w:sz w:val="22"/>
          <w:szCs w:val="22"/>
          <w:color w:val="auto"/>
        </w:rPr>
        <w:t>Company will not, and will cause its Affiliates not to, engage with or engage in any transaction,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deal with, any country or Person targeted by the United States, Europe or other relevant economic sanctions laws in connection with any activities contemplated under this Agreement; and</w:t>
      </w:r>
    </w:p>
    <w:p>
      <w:pPr>
        <w:spacing w:after="0" w:line="146" w:lineRule="exact"/>
        <w:rPr>
          <w:sz w:val="20"/>
          <w:szCs w:val="20"/>
          <w:color w:val="auto"/>
        </w:rPr>
      </w:pPr>
    </w:p>
    <w:p>
      <w:pPr>
        <w:ind w:left="1300"/>
        <w:spacing w:after="0"/>
        <w:tabs>
          <w:tab w:leader="none" w:pos="2100" w:val="left"/>
        </w:tabs>
        <w:rPr>
          <w:sz w:val="20"/>
          <w:szCs w:val="20"/>
          <w:color w:val="auto"/>
        </w:rPr>
      </w:pPr>
      <w:r>
        <w:rPr>
          <w:rFonts w:ascii="Times New Roman" w:cs="Times New Roman" w:eastAsia="Times New Roman" w:hAnsi="Times New Roman"/>
          <w:sz w:val="22"/>
          <w:szCs w:val="22"/>
          <w:b w:val="1"/>
          <w:bCs w:val="1"/>
          <w:color w:val="auto"/>
        </w:rPr>
        <w:t>7.4.13.</w:t>
      </w:r>
      <w:r>
        <w:rPr>
          <w:sz w:val="20"/>
          <w:szCs w:val="20"/>
          <w:color w:val="auto"/>
        </w:rPr>
        <w:tab/>
      </w:r>
      <w:r>
        <w:rPr>
          <w:rFonts w:ascii="Times New Roman" w:cs="Times New Roman" w:eastAsia="Times New Roman" w:hAnsi="Times New Roman"/>
          <w:sz w:val="21"/>
          <w:szCs w:val="21"/>
          <w:color w:val="auto"/>
        </w:rPr>
        <w:t>Company will be, as between the Parties, solely responsible to ensure Compliance by it and its Affiliates.</w:t>
      </w:r>
    </w:p>
    <w:p>
      <w:pPr>
        <w:spacing w:after="0" w:line="17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b w:val="1"/>
          <w:bCs w:val="1"/>
          <w:u w:val="single" w:color="auto"/>
          <w:color w:val="auto"/>
        </w:rPr>
        <w:t>Disclaimer</w:t>
      </w:r>
      <w:r>
        <w:rPr>
          <w:rFonts w:ascii="Times New Roman" w:cs="Times New Roman" w:eastAsia="Times New Roman" w:hAnsi="Times New Roman"/>
          <w:sz w:val="22"/>
          <w:szCs w:val="22"/>
          <w:color w:val="auto"/>
        </w:rPr>
        <w:t>. EXCEPT AS OTHERWISE EXPRESSLY SET FORTH IN THIS AGREEMENT, NEITHER PARTY NOR ITS AFFILIATES MAKES ANY REPRESENTATION OR EXTENDS ANY WARRANTY OF ANY KIND, EITHER EXPRESS OR IMPLIED, INCLUDING ANY WARRANTY OF MERCHANTABILITY OR FITNESS FOR A PARTICULAR PURPOSE. VERTEX AND COMPANY UNDERSTAND THAT EACH PRODUCT IS THE SUBJECT OF ONGOING RESEARCH AND DEVELOPMENT AND THAT NEITHER PARTY CAN ASSURE THE SAFETY, USEFULNESS OR COMMERCIAL OR TECHNICAL VIABILITY OF ANY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391" w:right="339" w:bottom="1440" w:gutter="0" w:footer="0" w:header="0"/>
        </w:sectPr>
      </w:pPr>
    </w:p>
    <w:bookmarkStart w:id="307" w:name="page308"/>
    <w:bookmarkEnd w:id="307"/>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 INSURANCE; LIMITATIONS</w:t>
      </w:r>
    </w:p>
    <w:p>
      <w:pPr>
        <w:spacing w:after="0" w:line="15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1"/>
          <w:szCs w:val="21"/>
          <w:b w:val="1"/>
          <w:bCs w:val="1"/>
          <w:u w:val="single" w:color="auto"/>
          <w:color w:val="auto"/>
        </w:rPr>
        <w:t>Indemnification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8.1.1. Indemnification by Vertex</w:t>
      </w:r>
      <w:r>
        <w:rPr>
          <w:rFonts w:ascii="Times New Roman" w:cs="Times New Roman" w:eastAsia="Times New Roman" w:hAnsi="Times New Roman"/>
          <w:sz w:val="22"/>
          <w:szCs w:val="22"/>
          <w:color w:val="auto"/>
        </w:rPr>
        <w:t>. Subject to Section 8.1.3, Vertex will indemnify Company, its Affiliates,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and its Affiliates’ employees, officers and directors (each, a “</w:t>
      </w:r>
      <w:r>
        <w:rPr>
          <w:rFonts w:ascii="Times New Roman" w:cs="Times New Roman" w:eastAsia="Times New Roman" w:hAnsi="Times New Roman"/>
          <w:sz w:val="22"/>
          <w:szCs w:val="22"/>
          <w:b w:val="1"/>
          <w:bCs w:val="1"/>
          <w:color w:val="auto"/>
        </w:rPr>
        <w:t>Company Indemnified Party</w:t>
      </w:r>
      <w:r>
        <w:rPr>
          <w:rFonts w:ascii="Times New Roman" w:cs="Times New Roman" w:eastAsia="Times New Roman" w:hAnsi="Times New Roman"/>
          <w:sz w:val="22"/>
          <w:szCs w:val="22"/>
          <w:color w:val="auto"/>
        </w:rPr>
        <w:t>”) from and against any liability, loss, damage or expense (including reasonable attorneys’ fees and expenses) (collectively, “</w:t>
      </w:r>
      <w:r>
        <w:rPr>
          <w:rFonts w:ascii="Times New Roman" w:cs="Times New Roman" w:eastAsia="Times New Roman" w:hAnsi="Times New Roman"/>
          <w:sz w:val="22"/>
          <w:szCs w:val="22"/>
          <w:b w:val="1"/>
          <w:bCs w:val="1"/>
          <w:color w:val="auto"/>
        </w:rPr>
        <w:t>Liability</w:t>
      </w:r>
      <w:r>
        <w:rPr>
          <w:rFonts w:ascii="Times New Roman" w:cs="Times New Roman" w:eastAsia="Times New Roman" w:hAnsi="Times New Roman"/>
          <w:sz w:val="22"/>
          <w:szCs w:val="22"/>
          <w:color w:val="auto"/>
        </w:rPr>
        <w:t>”) that the Company Indemnified Party may incur or otherwise be required to pay to one or more Third Parties in connection with any Third Party suit, investigation, claim or demand resulting from or arising out of:</w:t>
      </w:r>
    </w:p>
    <w:p>
      <w:pPr>
        <w:spacing w:after="0" w:line="151" w:lineRule="exact"/>
        <w:rPr>
          <w:sz w:val="20"/>
          <w:szCs w:val="20"/>
          <w:color w:val="auto"/>
        </w:rPr>
      </w:pPr>
    </w:p>
    <w:p>
      <w:pPr>
        <w:ind w:left="2400" w:hanging="448"/>
        <w:spacing w:after="0"/>
        <w:tabs>
          <w:tab w:leader="none" w:pos="2400"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Exploitation of any Licensed Agent or Product by, on behalf of, or under the authority of, Vertex;</w:t>
      </w:r>
    </w:p>
    <w:p>
      <w:pPr>
        <w:spacing w:after="0" w:line="177" w:lineRule="exact"/>
        <w:rPr>
          <w:rFonts w:ascii="Times New Roman" w:cs="Times New Roman" w:eastAsia="Times New Roman" w:hAnsi="Times New Roman"/>
          <w:sz w:val="21"/>
          <w:szCs w:val="21"/>
          <w:color w:val="auto"/>
        </w:rPr>
      </w:pPr>
    </w:p>
    <w:p>
      <w:pPr>
        <w:ind w:left="2640" w:hanging="688"/>
        <w:spacing w:after="0"/>
        <w:tabs>
          <w:tab w:leader="none" w:pos="264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breach by Vertex of any of its representations, warranties or covenants set forth in this</w:t>
      </w:r>
    </w:p>
    <w:p>
      <w:pPr>
        <w:spacing w:after="0"/>
        <w:rPr>
          <w:sz w:val="20"/>
          <w:szCs w:val="20"/>
          <w:color w:val="auto"/>
        </w:rPr>
      </w:pPr>
      <w:r>
        <w:rPr>
          <w:rFonts w:ascii="Times New Roman" w:cs="Times New Roman" w:eastAsia="Times New Roman" w:hAnsi="Times New Roman"/>
          <w:sz w:val="22"/>
          <w:szCs w:val="22"/>
          <w:color w:val="auto"/>
        </w:rPr>
        <w:t>Agreement; or</w:t>
      </w:r>
    </w:p>
    <w:p>
      <w:pPr>
        <w:spacing w:after="0" w:line="155" w:lineRule="exact"/>
        <w:rPr>
          <w:sz w:val="20"/>
          <w:szCs w:val="20"/>
          <w:color w:val="auto"/>
        </w:rPr>
      </w:pPr>
    </w:p>
    <w:p>
      <w:pPr>
        <w:jc w:val="both"/>
        <w:ind w:firstLine="1952"/>
        <w:spacing w:after="0" w:line="225" w:lineRule="auto"/>
        <w:tabs>
          <w:tab w:leader="none" w:pos="2428"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gross negligence or willful misconduct of Vertex or any Vertex Indemnified Party; and except, in each case ((a)-(c)), to the extent such claim results from or arises out of an event described in clause (a) through (b) of Section 8.1.2, as to such claim each Party will indemnify the other to the extent of their respective liability.</w:t>
      </w:r>
    </w:p>
    <w:p>
      <w:pPr>
        <w:spacing w:after="0" w:line="148"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8.1.2. Indemnification by Company</w:t>
      </w:r>
      <w:r>
        <w:rPr>
          <w:rFonts w:ascii="Times New Roman" w:cs="Times New Roman" w:eastAsia="Times New Roman" w:hAnsi="Times New Roman"/>
          <w:sz w:val="22"/>
          <w:szCs w:val="22"/>
          <w:color w:val="auto"/>
        </w:rPr>
        <w:t>. Subject to Section 8.1.3, Company will indemnify Vertex, its Affiliates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its and its Affiliates’ employees, officers and directors, Sublicensees and Distributors (each, a “</w:t>
      </w:r>
      <w:r>
        <w:rPr>
          <w:rFonts w:ascii="Times New Roman" w:cs="Times New Roman" w:eastAsia="Times New Roman" w:hAnsi="Times New Roman"/>
          <w:sz w:val="22"/>
          <w:szCs w:val="22"/>
          <w:b w:val="1"/>
          <w:bCs w:val="1"/>
          <w:color w:val="auto"/>
        </w:rPr>
        <w:t>Vertex Indemnified Party</w:t>
      </w:r>
      <w:r>
        <w:rPr>
          <w:rFonts w:ascii="Times New Roman" w:cs="Times New Roman" w:eastAsia="Times New Roman" w:hAnsi="Times New Roman"/>
          <w:sz w:val="22"/>
          <w:szCs w:val="22"/>
          <w:color w:val="auto"/>
        </w:rPr>
        <w:t>”) from and against any Liability that the Vertex Indemnified Party may incur or otherwise be required to pay to one or more Third Parties in connection with any Third Party suit, investigation, claim or demand resulting from or arising out of:</w:t>
      </w:r>
    </w:p>
    <w:p>
      <w:pPr>
        <w:spacing w:after="0" w:line="139" w:lineRule="exact"/>
        <w:rPr>
          <w:sz w:val="20"/>
          <w:szCs w:val="20"/>
          <w:color w:val="auto"/>
        </w:rPr>
      </w:pPr>
    </w:p>
    <w:p>
      <w:pPr>
        <w:ind w:left="1960"/>
        <w:spacing w:after="0"/>
        <w:tabs>
          <w:tab w:leader="none" w:pos="25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the breach by Company of any of its representations, warranties or covenants set forth in this</w:t>
      </w:r>
    </w:p>
    <w:p>
      <w:pPr>
        <w:spacing w:after="0"/>
        <w:rPr>
          <w:sz w:val="20"/>
          <w:szCs w:val="20"/>
          <w:color w:val="auto"/>
        </w:rPr>
      </w:pPr>
      <w:r>
        <w:rPr>
          <w:rFonts w:ascii="Times New Roman" w:cs="Times New Roman" w:eastAsia="Times New Roman" w:hAnsi="Times New Roman"/>
          <w:sz w:val="22"/>
          <w:szCs w:val="22"/>
          <w:color w:val="auto"/>
        </w:rPr>
        <w:t>Agreement; or</w:t>
      </w:r>
    </w:p>
    <w:p>
      <w:pPr>
        <w:spacing w:after="0" w:line="155" w:lineRule="exact"/>
        <w:rPr>
          <w:sz w:val="20"/>
          <w:szCs w:val="20"/>
          <w:color w:val="auto"/>
        </w:rPr>
      </w:pPr>
    </w:p>
    <w:p>
      <w:pPr>
        <w:jc w:val="both"/>
        <w:ind w:firstLine="1952"/>
        <w:spacing w:after="0" w:line="225" w:lineRule="auto"/>
        <w:tabs>
          <w:tab w:leader="none" w:pos="2523"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gross negligence or willful misconduct of Company or any Company Indemnified Party; and except, in each case ((a)-(b)), to the extent such claim results from or arises out of an event described in clause (a) through (c) of Section 8.1.1, as to such claim each Party will indemnify the other to the extent of their respective liability.</w:t>
      </w:r>
    </w:p>
    <w:p>
      <w:pPr>
        <w:spacing w:after="0" w:line="148"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8.1.3. Procedure</w:t>
      </w:r>
      <w:r>
        <w:rPr>
          <w:rFonts w:ascii="Times New Roman" w:cs="Times New Roman" w:eastAsia="Times New Roman" w:hAnsi="Times New Roman"/>
          <w:sz w:val="22"/>
          <w:szCs w:val="22"/>
          <w:color w:val="auto"/>
        </w:rPr>
        <w:t>. Each Party will notify the other Party in writing if it becomes aware of a claim for which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may seek indemnification hereunder. If any Proceeding is instituted against a Party (or another Company Indemnified Party in the case of Company or another Vertex Indemnified Party in the case of Vertex) with respect to which indemnity may be sought pursuant to Section 8.1.1 or 8.1.2, as applicable, such Party (the “</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will give prompt written notice of the indemnity claim to the other Party (the “</w:t>
      </w:r>
      <w:r>
        <w:rPr>
          <w:rFonts w:ascii="Times New Roman" w:cs="Times New Roman" w:eastAsia="Times New Roman" w:hAnsi="Times New Roman"/>
          <w:sz w:val="22"/>
          <w:szCs w:val="22"/>
          <w:b w:val="1"/>
          <w:bCs w:val="1"/>
          <w:color w:val="auto"/>
        </w:rPr>
        <w:t>Indemnifying Party</w:t>
      </w:r>
      <w:r>
        <w:rPr>
          <w:rFonts w:ascii="Times New Roman" w:cs="Times New Roman" w:eastAsia="Times New Roman" w:hAnsi="Times New Roman"/>
          <w:sz w:val="22"/>
          <w:szCs w:val="22"/>
          <w:color w:val="auto"/>
        </w:rPr>
        <w:t xml:space="preserve">”) and provide the Indemnifying Party with a copy of any complaint, summons or other written notice that the Company Indemnified Party or Vertex Indemnified Party, as applicable, receives in connection with any such claim. An Indemnified Party’s failure to deliver such written notice will relieve the Indemnifying Party of liability to the Company Indemnified Party or Vertex Indemnified Party under Section 8.1.1 or 8.1.2, as applicable, only to the extent such delay is prejudicial to the Indemnifying Party’s ability to defend such claim;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Indemnifying Party is not contesting the indemnity obligation, the Company Indemnified Party or Vertex Indemnified Party, as applicable, will permit the Indemnifying Party to control any litigation relating to such claim and the disposition of such claim by negotiated settlement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382" w:right="339" w:bottom="1440" w:gutter="0" w:footer="0" w:header="0"/>
        </w:sectPr>
      </w:pPr>
    </w:p>
    <w:bookmarkStart w:id="308" w:name="page309"/>
    <w:bookmarkEnd w:id="308"/>
    <w:p>
      <w:pPr>
        <w:jc w:val="both"/>
        <w:spacing w:after="0" w:line="212" w:lineRule="auto"/>
        <w:rPr>
          <w:sz w:val="20"/>
          <w:szCs w:val="20"/>
          <w:color w:val="auto"/>
        </w:rPr>
      </w:pPr>
      <w:r>
        <w:rPr>
          <w:rFonts w:ascii="Times New Roman" w:cs="Times New Roman" w:eastAsia="Times New Roman" w:hAnsi="Times New Roman"/>
          <w:sz w:val="22"/>
          <w:szCs w:val="22"/>
          <w:color w:val="auto"/>
        </w:rPr>
        <w:t xml:space="preserve">otherwise (subject to this Section 8.1) and any failure to contest such obligation prior to assuming control will be deemed to be an admission of the obligation to indemnify. The Indemnifying Party will act reasonably and in good faith with respect to all matters relating to such claim and will not settle or otherwise resolve such claim without the prior written consent of the Company Indemnified Party or Vertex Indemnified Party, as applicable, which will not be unreasonably withheld, conditioned or delayed;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such consent will not be required with respect to any settlement involving only the payment of monetary awards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the Indemnifying Party will be fully responsible. The Indemnified Party will cooperate with the Indemnifying Party in the Indemnifying Party’s defense of any claim for which indemnity is sought under this Agreement, at the Indemnifying Party’s cost and expense.</w:t>
      </w:r>
    </w:p>
    <w:p>
      <w:pPr>
        <w:spacing w:after="0" w:line="152"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b w:val="1"/>
          <w:bCs w:val="1"/>
          <w:u w:val="single" w:color="auto"/>
          <w:color w:val="auto"/>
        </w:rPr>
        <w:t>Insurance</w:t>
      </w:r>
      <w:r>
        <w:rPr>
          <w:rFonts w:ascii="Times New Roman" w:cs="Times New Roman" w:eastAsia="Times New Roman" w:hAnsi="Times New Roman"/>
          <w:sz w:val="22"/>
          <w:szCs w:val="22"/>
          <w:color w:val="auto"/>
        </w:rPr>
        <w:t>. Throughout the Term and for [***] thereafter, each Party will respectively, at its cost, obtain and maintain the insurance coverage listed below, each naming the other Party and its Indemnified Parties as additional insureds, from insurance carriers licensed to do business under the laws of the country, state, commonwealth, province or territory in which such Party’s obligations are provided, with insurers that carry a rating of at least an A-VII or better from A.M. Best. Each Party will furnish to the other Party evidence of such insurance upon request. Notwithstanding the foregoing, Vertex may self-insure to the extent that it self-insures for its other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395" w:right="339" w:bottom="1440" w:gutter="0" w:footer="0" w:header="0"/>
        </w:sectPr>
      </w:pPr>
    </w:p>
    <w:bookmarkStart w:id="309" w:name="page310"/>
    <w:bookmarkEnd w:id="30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400" w:type="dxa"/>
            <w:vAlign w:val="bottom"/>
            <w:tcBorders>
              <w:top w:val="single" w:sz="8" w:color="auto"/>
              <w:left w:val="single" w:sz="8" w:color="auto"/>
              <w:right w:val="single" w:sz="8" w:color="auto"/>
            </w:tcBorders>
            <w:vMerge w:val="restart"/>
            <w:shd w:val="clear" w:color="auto" w:fill="D0CECE"/>
          </w:tcPr>
          <w:p>
            <w:pPr>
              <w:ind w:left="480"/>
              <w:spacing w:after="0"/>
              <w:rPr>
                <w:sz w:val="20"/>
                <w:szCs w:val="20"/>
                <w:color w:val="auto"/>
              </w:rPr>
            </w:pPr>
            <w:r>
              <w:rPr>
                <w:rFonts w:ascii="Times New Roman" w:cs="Times New Roman" w:eastAsia="Times New Roman" w:hAnsi="Times New Roman"/>
                <w:sz w:val="22"/>
                <w:szCs w:val="22"/>
                <w:b w:val="1"/>
                <w:bCs w:val="1"/>
                <w:color w:val="auto"/>
              </w:rPr>
              <w:t>Insurance Type</w:t>
            </w:r>
          </w:p>
        </w:tc>
        <w:tc>
          <w:tcPr>
            <w:tcW w:w="2480" w:type="dxa"/>
            <w:vAlign w:val="bottom"/>
            <w:tcBorders>
              <w:top w:val="single" w:sz="8" w:color="auto"/>
              <w:right w:val="single" w:sz="8" w:color="auto"/>
            </w:tcBorders>
            <w:vMerge w:val="restart"/>
            <w:shd w:val="clear" w:color="auto" w:fill="D0CECE"/>
          </w:tcPr>
          <w:p>
            <w:pPr>
              <w:ind w:left="440"/>
              <w:spacing w:after="0"/>
              <w:rPr>
                <w:sz w:val="20"/>
                <w:szCs w:val="20"/>
                <w:color w:val="auto"/>
              </w:rPr>
            </w:pPr>
            <w:r>
              <w:rPr>
                <w:rFonts w:ascii="Times New Roman" w:cs="Times New Roman" w:eastAsia="Times New Roman" w:hAnsi="Times New Roman"/>
                <w:sz w:val="22"/>
                <w:szCs w:val="22"/>
                <w:b w:val="1"/>
                <w:bCs w:val="1"/>
                <w:color w:val="auto"/>
              </w:rPr>
              <w:t>Minimum Limits</w:t>
            </w:r>
          </w:p>
        </w:tc>
        <w:tc>
          <w:tcPr>
            <w:tcW w:w="3580" w:type="dxa"/>
            <w:vAlign w:val="bottom"/>
            <w:tcBorders>
              <w:top w:val="single" w:sz="8" w:color="auto"/>
              <w:right w:val="single" w:sz="8" w:color="auto"/>
            </w:tcBorders>
            <w:vMerge w:val="restart"/>
            <w:shd w:val="clear" w:color="auto" w:fill="D0CECE"/>
          </w:tcPr>
          <w:p>
            <w:pPr>
              <w:ind w:left="840"/>
              <w:spacing w:after="0"/>
              <w:rPr>
                <w:sz w:val="20"/>
                <w:szCs w:val="20"/>
                <w:color w:val="auto"/>
              </w:rPr>
            </w:pPr>
            <w:r>
              <w:rPr>
                <w:rFonts w:ascii="Times New Roman" w:cs="Times New Roman" w:eastAsia="Times New Roman" w:hAnsi="Times New Roman"/>
                <w:sz w:val="22"/>
                <w:szCs w:val="22"/>
                <w:b w:val="1"/>
                <w:bCs w:val="1"/>
                <w:color w:val="auto"/>
              </w:rPr>
              <w:t>Minimum Coverage</w:t>
            </w:r>
          </w:p>
        </w:tc>
        <w:tc>
          <w:tcPr>
            <w:tcW w:w="2800" w:type="dxa"/>
            <w:vAlign w:val="bottom"/>
            <w:tcBorders>
              <w:top w:val="single" w:sz="8" w:color="auto"/>
              <w:right w:val="single" w:sz="8" w:color="auto"/>
            </w:tcBorders>
            <w:shd w:val="clear" w:color="auto" w:fill="D0CECE"/>
          </w:tcPr>
          <w:p>
            <w:pPr>
              <w:ind w:left="400"/>
              <w:spacing w:after="0" w:line="216" w:lineRule="exact"/>
              <w:rPr>
                <w:sz w:val="20"/>
                <w:szCs w:val="20"/>
                <w:color w:val="auto"/>
              </w:rPr>
            </w:pPr>
            <w:r>
              <w:rPr>
                <w:rFonts w:ascii="Times New Roman" w:cs="Times New Roman" w:eastAsia="Times New Roman" w:hAnsi="Times New Roman"/>
                <w:sz w:val="22"/>
                <w:szCs w:val="22"/>
                <w:b w:val="1"/>
                <w:bCs w:val="1"/>
                <w:color w:val="auto"/>
              </w:rPr>
              <w:t>Respectively Must Be</w:t>
            </w:r>
          </w:p>
        </w:tc>
        <w:tc>
          <w:tcPr>
            <w:tcW w:w="0" w:type="dxa"/>
            <w:vAlign w:val="bottom"/>
          </w:tcPr>
          <w:p>
            <w:pPr>
              <w:spacing w:after="0"/>
              <w:rPr>
                <w:sz w:val="1"/>
                <w:szCs w:val="1"/>
                <w:color w:val="auto"/>
              </w:rPr>
            </w:pPr>
          </w:p>
        </w:tc>
      </w:tr>
      <w:tr>
        <w:trPr>
          <w:trHeight w:val="174"/>
        </w:trPr>
        <w:tc>
          <w:tcPr>
            <w:tcW w:w="2400" w:type="dxa"/>
            <w:vAlign w:val="bottom"/>
            <w:tcBorders>
              <w:left w:val="single" w:sz="8" w:color="auto"/>
              <w:right w:val="single" w:sz="8" w:color="auto"/>
            </w:tcBorders>
            <w:vMerge w:val="continue"/>
            <w:shd w:val="clear" w:color="auto" w:fill="D0CECE"/>
          </w:tcPr>
          <w:p>
            <w:pPr>
              <w:spacing w:after="0"/>
              <w:rPr>
                <w:sz w:val="15"/>
                <w:szCs w:val="15"/>
                <w:color w:val="auto"/>
              </w:rPr>
            </w:pPr>
          </w:p>
        </w:tc>
        <w:tc>
          <w:tcPr>
            <w:tcW w:w="2480" w:type="dxa"/>
            <w:vAlign w:val="bottom"/>
            <w:tcBorders>
              <w:right w:val="single" w:sz="8" w:color="auto"/>
            </w:tcBorders>
            <w:vMerge w:val="continue"/>
            <w:shd w:val="clear" w:color="auto" w:fill="D0CECE"/>
          </w:tcPr>
          <w:p>
            <w:pPr>
              <w:spacing w:after="0"/>
              <w:rPr>
                <w:sz w:val="15"/>
                <w:szCs w:val="15"/>
                <w:color w:val="auto"/>
              </w:rPr>
            </w:pPr>
          </w:p>
        </w:tc>
        <w:tc>
          <w:tcPr>
            <w:tcW w:w="3580" w:type="dxa"/>
            <w:vAlign w:val="bottom"/>
            <w:tcBorders>
              <w:right w:val="single" w:sz="8" w:color="auto"/>
            </w:tcBorders>
            <w:vMerge w:val="continue"/>
            <w:shd w:val="clear" w:color="auto" w:fill="D0CECE"/>
          </w:tcPr>
          <w:p>
            <w:pPr>
              <w:spacing w:after="0"/>
              <w:rPr>
                <w:sz w:val="15"/>
                <w:szCs w:val="15"/>
                <w:color w:val="auto"/>
              </w:rPr>
            </w:pPr>
          </w:p>
        </w:tc>
        <w:tc>
          <w:tcPr>
            <w:tcW w:w="2800" w:type="dxa"/>
            <w:vAlign w:val="bottom"/>
            <w:tcBorders>
              <w:right w:val="single" w:sz="8" w:color="auto"/>
            </w:tcBorders>
            <w:vMerge w:val="restart"/>
            <w:shd w:val="clear" w:color="auto" w:fill="D0CECE"/>
          </w:tcPr>
          <w:p>
            <w:pPr>
              <w:ind w:left="700"/>
              <w:spacing w:after="0"/>
              <w:rPr>
                <w:sz w:val="20"/>
                <w:szCs w:val="20"/>
                <w:color w:val="auto"/>
              </w:rPr>
            </w:pPr>
            <w:r>
              <w:rPr>
                <w:rFonts w:ascii="Times New Roman" w:cs="Times New Roman" w:eastAsia="Times New Roman" w:hAnsi="Times New Roman"/>
                <w:sz w:val="22"/>
                <w:szCs w:val="22"/>
                <w:b w:val="1"/>
                <w:bCs w:val="1"/>
                <w:color w:val="auto"/>
              </w:rPr>
              <w:t>Maintained By</w:t>
            </w:r>
          </w:p>
        </w:tc>
        <w:tc>
          <w:tcPr>
            <w:tcW w:w="0" w:type="dxa"/>
            <w:vAlign w:val="bottom"/>
          </w:tcPr>
          <w:p>
            <w:pPr>
              <w:spacing w:after="0"/>
              <w:rPr>
                <w:sz w:val="1"/>
                <w:szCs w:val="1"/>
                <w:color w:val="auto"/>
              </w:rPr>
            </w:pPr>
          </w:p>
        </w:tc>
      </w:tr>
      <w:tr>
        <w:trPr>
          <w:trHeight w:val="109"/>
        </w:trPr>
        <w:tc>
          <w:tcPr>
            <w:tcW w:w="2400" w:type="dxa"/>
            <w:vAlign w:val="bottom"/>
            <w:tcBorders>
              <w:left w:val="single" w:sz="8" w:color="auto"/>
              <w:bottom w:val="single" w:sz="8" w:color="auto"/>
              <w:right w:val="single" w:sz="8" w:color="auto"/>
            </w:tcBorders>
            <w:shd w:val="clear" w:color="auto" w:fill="D0CECE"/>
          </w:tcPr>
          <w:p>
            <w:pPr>
              <w:spacing w:after="0"/>
              <w:rPr>
                <w:sz w:val="9"/>
                <w:szCs w:val="9"/>
                <w:color w:val="auto"/>
              </w:rPr>
            </w:pPr>
          </w:p>
        </w:tc>
        <w:tc>
          <w:tcPr>
            <w:tcW w:w="2480" w:type="dxa"/>
            <w:vAlign w:val="bottom"/>
            <w:tcBorders>
              <w:bottom w:val="single" w:sz="8" w:color="auto"/>
              <w:right w:val="single" w:sz="8" w:color="auto"/>
            </w:tcBorders>
            <w:shd w:val="clear" w:color="auto" w:fill="D0CECE"/>
          </w:tcPr>
          <w:p>
            <w:pPr>
              <w:spacing w:after="0"/>
              <w:rPr>
                <w:sz w:val="9"/>
                <w:szCs w:val="9"/>
                <w:color w:val="auto"/>
              </w:rPr>
            </w:pPr>
          </w:p>
        </w:tc>
        <w:tc>
          <w:tcPr>
            <w:tcW w:w="3580" w:type="dxa"/>
            <w:vAlign w:val="bottom"/>
            <w:tcBorders>
              <w:bottom w:val="single" w:sz="8" w:color="auto"/>
              <w:right w:val="single" w:sz="8" w:color="auto"/>
            </w:tcBorders>
            <w:shd w:val="clear" w:color="auto" w:fill="D0CECE"/>
          </w:tcPr>
          <w:p>
            <w:pPr>
              <w:spacing w:after="0"/>
              <w:rPr>
                <w:sz w:val="9"/>
                <w:szCs w:val="9"/>
                <w:color w:val="auto"/>
              </w:rPr>
            </w:pPr>
          </w:p>
        </w:tc>
        <w:tc>
          <w:tcPr>
            <w:tcW w:w="2800" w:type="dxa"/>
            <w:vAlign w:val="bottom"/>
            <w:tcBorders>
              <w:bottom w:val="single" w:sz="8" w:color="auto"/>
              <w:right w:val="single" w:sz="8" w:color="auto"/>
            </w:tcBorders>
            <w:vMerge w:val="continue"/>
            <w:shd w:val="clear" w:color="auto" w:fill="D0CEC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400" w:type="dxa"/>
            <w:vAlign w:val="bottom"/>
            <w:tcBorders>
              <w:left w:val="single" w:sz="8" w:color="auto"/>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Network Security and</w:t>
            </w:r>
          </w:p>
        </w:tc>
        <w:tc>
          <w:tcPr>
            <w:tcW w:w="248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rPr>
              <w:t>$[***] per claim/ $[***]</w:t>
            </w:r>
          </w:p>
        </w:tc>
        <w:tc>
          <w:tcPr>
            <w:tcW w:w="358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w w:val="99"/>
              </w:rPr>
              <w:t>Coverage for all acts, errors, omissions,</w:t>
            </w:r>
          </w:p>
        </w:tc>
        <w:tc>
          <w:tcPr>
            <w:tcW w:w="280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Privacy Liability</w:t>
            </w:r>
          </w:p>
        </w:tc>
        <w:tc>
          <w:tcPr>
            <w:tcW w:w="24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annual aggregate</w:t>
            </w:r>
          </w:p>
        </w:tc>
        <w:tc>
          <w:tcPr>
            <w:tcW w:w="35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negligence, network security and</w:t>
            </w:r>
          </w:p>
        </w:tc>
        <w:tc>
          <w:tcPr>
            <w:tcW w:w="2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35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privacy risks, including but not limited</w:t>
            </w:r>
          </w:p>
        </w:tc>
        <w:tc>
          <w:tcPr>
            <w:tcW w:w="2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35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to unauthorized access, failure of</w:t>
            </w:r>
          </w:p>
        </w:tc>
        <w:tc>
          <w:tcPr>
            <w:tcW w:w="2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35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security, breach of privacy perils,</w:t>
            </w:r>
          </w:p>
        </w:tc>
        <w:tc>
          <w:tcPr>
            <w:tcW w:w="2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35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wrongful disclosure of data, disclosure</w:t>
            </w:r>
          </w:p>
        </w:tc>
        <w:tc>
          <w:tcPr>
            <w:tcW w:w="2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35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of HIPAA / GDPR protected health</w:t>
            </w:r>
          </w:p>
        </w:tc>
        <w:tc>
          <w:tcPr>
            <w:tcW w:w="2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35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information, collection, or other</w:t>
            </w:r>
          </w:p>
        </w:tc>
        <w:tc>
          <w:tcPr>
            <w:tcW w:w="2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35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negligence in the handling of</w:t>
            </w:r>
          </w:p>
        </w:tc>
        <w:tc>
          <w:tcPr>
            <w:tcW w:w="2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35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w w:val="99"/>
              </w:rPr>
              <w:t>confidential information, privacy perils,</w:t>
            </w:r>
          </w:p>
        </w:tc>
        <w:tc>
          <w:tcPr>
            <w:tcW w:w="2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35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and including coverage for related</w:t>
            </w:r>
          </w:p>
        </w:tc>
        <w:tc>
          <w:tcPr>
            <w:tcW w:w="2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35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regulatory defense and penalties</w:t>
            </w:r>
          </w:p>
        </w:tc>
        <w:tc>
          <w:tcPr>
            <w:tcW w:w="2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40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Workers Compensation</w:t>
            </w:r>
          </w:p>
        </w:tc>
        <w:tc>
          <w:tcPr>
            <w:tcW w:w="248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Statutory</w:t>
            </w:r>
          </w:p>
        </w:tc>
        <w:tc>
          <w:tcPr>
            <w:tcW w:w="358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Statutory</w:t>
            </w:r>
          </w:p>
        </w:tc>
        <w:tc>
          <w:tcPr>
            <w:tcW w:w="28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w w:val="98"/>
              </w:rPr>
              <w:t>Both Parties as of the Effective</w:t>
            </w:r>
          </w:p>
        </w:tc>
        <w:tc>
          <w:tcPr>
            <w:tcW w:w="0" w:type="dxa"/>
            <w:vAlign w:val="bottom"/>
          </w:tcPr>
          <w:p>
            <w:pPr>
              <w:spacing w:after="0"/>
              <w:rPr>
                <w:sz w:val="1"/>
                <w:szCs w:val="1"/>
                <w:color w:val="auto"/>
              </w:rPr>
            </w:pPr>
          </w:p>
        </w:tc>
      </w:tr>
      <w:tr>
        <w:trPr>
          <w:trHeight w:val="283"/>
        </w:trPr>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358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Date</w:t>
            </w:r>
          </w:p>
        </w:tc>
        <w:tc>
          <w:tcPr>
            <w:tcW w:w="0" w:type="dxa"/>
            <w:vAlign w:val="bottom"/>
          </w:tcPr>
          <w:p>
            <w:pPr>
              <w:spacing w:after="0"/>
              <w:rPr>
                <w:sz w:val="1"/>
                <w:szCs w:val="1"/>
                <w:color w:val="auto"/>
              </w:rPr>
            </w:pPr>
          </w:p>
        </w:tc>
      </w:tr>
      <w:tr>
        <w:trPr>
          <w:trHeight w:val="197"/>
        </w:trPr>
        <w:tc>
          <w:tcPr>
            <w:tcW w:w="240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Commercial General</w:t>
            </w:r>
          </w:p>
        </w:tc>
        <w:tc>
          <w:tcPr>
            <w:tcW w:w="248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 per occurrence/</w:t>
            </w:r>
          </w:p>
        </w:tc>
        <w:tc>
          <w:tcPr>
            <w:tcW w:w="358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Coverage arising from premises,</w:t>
            </w:r>
          </w:p>
        </w:tc>
        <w:tc>
          <w:tcPr>
            <w:tcW w:w="28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w w:val="98"/>
              </w:rPr>
              <w:t>Both Parties as of the Effective</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Liability</w:t>
            </w:r>
          </w:p>
        </w:tc>
        <w:tc>
          <w:tcPr>
            <w:tcW w:w="24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 annual aggregate</w:t>
            </w:r>
          </w:p>
        </w:tc>
        <w:tc>
          <w:tcPr>
            <w:tcW w:w="35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operations, personal injury, advertising</w:t>
            </w:r>
          </w:p>
        </w:tc>
        <w:tc>
          <w:tcPr>
            <w:tcW w:w="28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Date</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35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injury, bodily injury and property</w:t>
            </w:r>
          </w:p>
        </w:tc>
        <w:tc>
          <w:tcPr>
            <w:tcW w:w="2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35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damage, including contractual liability</w:t>
            </w:r>
          </w:p>
        </w:tc>
        <w:tc>
          <w:tcPr>
            <w:tcW w:w="2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40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Clinical Trial / Products</w:t>
            </w:r>
          </w:p>
        </w:tc>
        <w:tc>
          <w:tcPr>
            <w:tcW w:w="248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 per occurrence/</w:t>
            </w:r>
          </w:p>
        </w:tc>
        <w:tc>
          <w:tcPr>
            <w:tcW w:w="358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Covering all participants screened or</w:t>
            </w:r>
          </w:p>
        </w:tc>
        <w:tc>
          <w:tcPr>
            <w:tcW w:w="28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w w:val="97"/>
              </w:rPr>
              <w:t>Both Parties commencing prior</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Liability insurance</w:t>
            </w:r>
          </w:p>
        </w:tc>
        <w:tc>
          <w:tcPr>
            <w:tcW w:w="24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 annual aggregate</w:t>
            </w:r>
          </w:p>
        </w:tc>
        <w:tc>
          <w:tcPr>
            <w:tcW w:w="35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treated as part of the relevant study and</w:t>
            </w:r>
          </w:p>
        </w:tc>
        <w:tc>
          <w:tcPr>
            <w:tcW w:w="28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to first Clinical Trial of a</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35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all claims relating to personal injury</w:t>
            </w:r>
          </w:p>
        </w:tc>
        <w:tc>
          <w:tcPr>
            <w:tcW w:w="28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Product</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35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suffered as a result of participation in</w:t>
            </w:r>
          </w:p>
        </w:tc>
        <w:tc>
          <w:tcPr>
            <w:tcW w:w="2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35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the study and/or the study screening</w:t>
            </w:r>
          </w:p>
        </w:tc>
        <w:tc>
          <w:tcPr>
            <w:tcW w:w="2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35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process and not containing any</w:t>
            </w:r>
          </w:p>
        </w:tc>
        <w:tc>
          <w:tcPr>
            <w:tcW w:w="2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35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exclusions that would preclude claims</w:t>
            </w:r>
          </w:p>
        </w:tc>
        <w:tc>
          <w:tcPr>
            <w:tcW w:w="2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35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by participating study participants</w:t>
            </w:r>
          </w:p>
        </w:tc>
        <w:tc>
          <w:tcPr>
            <w:tcW w:w="2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40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Umbrella Liability</w:t>
            </w:r>
          </w:p>
        </w:tc>
        <w:tc>
          <w:tcPr>
            <w:tcW w:w="248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 per occurrence and</w:t>
            </w:r>
          </w:p>
        </w:tc>
        <w:tc>
          <w:tcPr>
            <w:tcW w:w="358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Coverage provides excess, follow-form</w:t>
            </w:r>
          </w:p>
        </w:tc>
        <w:tc>
          <w:tcPr>
            <w:tcW w:w="28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w w:val="98"/>
              </w:rPr>
              <w:t>Both Parties as of the Effective</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 annual aggregate</w:t>
            </w:r>
          </w:p>
        </w:tc>
        <w:tc>
          <w:tcPr>
            <w:tcW w:w="35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coverage above all liability limits</w:t>
            </w:r>
          </w:p>
        </w:tc>
        <w:tc>
          <w:tcPr>
            <w:tcW w:w="28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Date</w:t>
            </w:r>
          </w:p>
        </w:tc>
        <w:tc>
          <w:tcPr>
            <w:tcW w:w="0" w:type="dxa"/>
            <w:vAlign w:val="bottom"/>
          </w:tcPr>
          <w:p>
            <w:pPr>
              <w:spacing w:after="0"/>
              <w:rPr>
                <w:sz w:val="1"/>
                <w:szCs w:val="1"/>
                <w:color w:val="auto"/>
              </w:rPr>
            </w:pPr>
          </w:p>
        </w:tc>
      </w:tr>
      <w:tr>
        <w:trPr>
          <w:trHeight w:val="283"/>
        </w:trPr>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35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required herein</w:t>
            </w:r>
          </w:p>
        </w:tc>
        <w:tc>
          <w:tcPr>
            <w:tcW w:w="2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ind w:right="20" w:firstLine="648"/>
        <w:spacing w:after="0" w:line="216"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b w:val="1"/>
          <w:bCs w:val="1"/>
          <w:u w:val="single" w:color="auto"/>
          <w:color w:val="auto"/>
        </w:rPr>
        <w:t>Limitation of Consequential Damages</w:t>
      </w:r>
      <w:r>
        <w:rPr>
          <w:rFonts w:ascii="Times New Roman" w:cs="Times New Roman" w:eastAsia="Times New Roman" w:hAnsi="Times New Roman"/>
          <w:sz w:val="22"/>
          <w:szCs w:val="22"/>
          <w:color w:val="auto"/>
        </w:rPr>
        <w:t>. EXCEPT FOR (A) CLAIMS OF A THIRD PARTY THAT ARE SUBJECT TO INDEMNIFICATION UNDER THIS ARTICLE 8, (B) CLAIMS ARISING OUT OF A PARTY’S WILLFUL MISCONDUCT OR INTENTIONAL BREACH OF THIS AGREEMENT OR (C) ANY BREACH BY A PARTY OF SECTION 4.5, SECTION 4.6 OR SECTION 4.7 OR ARTICLE 10, NEITHER PARTY NOR ANY OF ITS AFFILIATES WILL BE LIABLE TO THE OTHER PARTY OR ITS AFFILIATES FOR ANY INCIDENTAL, CONSEQUENTIAL, SPECIAL, PUNITIVE OR OTHER INDIRECT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60"/>
          </w:cols>
          <w:pgMar w:left="320" w:top="1440" w:right="319" w:bottom="1440" w:gutter="0" w:footer="0" w:header="0"/>
        </w:sectPr>
      </w:pPr>
    </w:p>
    <w:bookmarkStart w:id="310" w:name="page311"/>
    <w:bookmarkEnd w:id="310"/>
    <w:p>
      <w:pPr>
        <w:jc w:val="both"/>
        <w:spacing w:after="0" w:line="231" w:lineRule="auto"/>
        <w:rPr>
          <w:sz w:val="20"/>
          <w:szCs w:val="20"/>
          <w:color w:val="auto"/>
        </w:rPr>
      </w:pPr>
      <w:r>
        <w:rPr>
          <w:rFonts w:ascii="Times New Roman" w:cs="Times New Roman" w:eastAsia="Times New Roman" w:hAnsi="Times New Roman"/>
          <w:sz w:val="21"/>
          <w:szCs w:val="21"/>
          <w:color w:val="auto"/>
        </w:rPr>
        <w:t>DAMAGES OR LOST OR IMPUTED PROFITS OR ROYALTIES, WHETHER LIABILITY IS ASSERTED IN CONTRACT, TORT (INCLUDING NEGLIGENCE AND STRICT PRODUCT LIABILITY), INDEMNITY OR CONTRIBUTION, AND IRRESPECTIVE OF WHETHER THAT PARTY OR ANY REPRESENTATIVE OF THAT PARTY HAS BEEN ADVISED OF, OR OTHERWISE MIGHT HAVE ANTICIPATED THE POSSIBILITY OF, ANY SUCH LOSS OR DAMAGE.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9.</w:t>
      </w:r>
    </w:p>
    <w:p>
      <w:pPr>
        <w:jc w:val="center"/>
        <w:spacing w:after="0"/>
        <w:rPr>
          <w:sz w:val="20"/>
          <w:szCs w:val="20"/>
          <w:color w:val="auto"/>
        </w:rPr>
      </w:pPr>
      <w:r>
        <w:rPr>
          <w:rFonts w:ascii="Times New Roman" w:cs="Times New Roman" w:eastAsia="Times New Roman" w:hAnsi="Times New Roman"/>
          <w:sz w:val="22"/>
          <w:szCs w:val="22"/>
          <w:b w:val="1"/>
          <w:bCs w:val="1"/>
          <w:color w:val="auto"/>
        </w:rPr>
        <w:t>TERM; TERMINATION</w:t>
      </w:r>
    </w:p>
    <w:p>
      <w:pPr>
        <w:spacing w:after="0" w:line="151"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b w:val="1"/>
          <w:bCs w:val="1"/>
          <w:u w:val="single" w:color="auto"/>
          <w:color w:val="auto"/>
        </w:rPr>
        <w:t>Term; Expiration</w:t>
      </w:r>
      <w:r>
        <w:rPr>
          <w:rFonts w:ascii="Times New Roman" w:cs="Times New Roman" w:eastAsia="Times New Roman" w:hAnsi="Times New Roman"/>
          <w:sz w:val="22"/>
          <w:szCs w:val="22"/>
          <w:color w:val="auto"/>
        </w:rPr>
        <w:t>. Except with respect to the rights and obligations set forth in Section 4.8.3, which will become effective on the Execution Date, this Agreement is effective as of the Effective Date and, unless earlier terminated pursuant to the other provisions of this ARTICLE 9, will expire, in its entirety, upon the expiration of the last to expire Royalty Term under this Agreement with respect to all Products in all countries (such period,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1"/>
          <w:szCs w:val="21"/>
          <w:b w:val="1"/>
          <w:bCs w:val="1"/>
          <w:u w:val="single" w:color="auto"/>
          <w:color w:val="auto"/>
        </w:rPr>
        <w:t>Termination of the Agreement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9.2.1. Termination for Failure to Obtain HSR Clearance</w:t>
      </w:r>
      <w:r>
        <w:rPr>
          <w:rFonts w:ascii="Times New Roman" w:cs="Times New Roman" w:eastAsia="Times New Roman" w:hAnsi="Times New Roman"/>
          <w:sz w:val="22"/>
          <w:szCs w:val="22"/>
          <w:color w:val="auto"/>
        </w:rPr>
        <w:t>. If the Effective Date has not occurred within 10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months after the Execution Date, then either Party may terminate this Agreement on written notice to the other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Party in breach of its obligations under Section 4.8 may not terminate this Agreement pursuant to this Section 9.2.1. In such event, neither Party will have any further obligations under this Agreement, except for such Party’s obligations of non-disclosure pursuant to ARTICLE 10, which will survive for the period set forth therein.</w:t>
      </w:r>
    </w:p>
    <w:p>
      <w:pPr>
        <w:spacing w:after="0" w:line="147"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9.2.2. Vertex’s Termination for Convenience</w:t>
      </w:r>
      <w:r>
        <w:rPr>
          <w:rFonts w:ascii="Times New Roman" w:cs="Times New Roman" w:eastAsia="Times New Roman" w:hAnsi="Times New Roman"/>
          <w:sz w:val="22"/>
          <w:szCs w:val="22"/>
          <w:color w:val="auto"/>
        </w:rPr>
        <w:t>. Vertex may terminate this Agreement (either in its entirety or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 Product-by-Product basis), for convenience by providing written notice of its intent to terminate to Company, in which case, such termination will be effective [***] after Company’s receipt of such written notice; </w:t>
      </w:r>
      <w:r>
        <w:rPr>
          <w:rFonts w:ascii="Times New Roman" w:cs="Times New Roman" w:eastAsia="Times New Roman" w:hAnsi="Times New Roman"/>
          <w:sz w:val="22"/>
          <w:szCs w:val="22"/>
          <w:i w:val="1"/>
          <w:iCs w:val="1"/>
          <w:color w:val="auto"/>
        </w:rPr>
        <w:t>except</w:t>
      </w:r>
      <w:r>
        <w:rPr>
          <w:rFonts w:ascii="Times New Roman" w:cs="Times New Roman" w:eastAsia="Times New Roman" w:hAnsi="Times New Roman"/>
          <w:sz w:val="22"/>
          <w:szCs w:val="22"/>
          <w:color w:val="auto"/>
        </w:rPr>
        <w:t xml:space="preserve"> that if any termination under this Section 9.2.2 applies to a Product for which Vertex has received Marketing Approval, such termination will be effective [***] after Company’s receipt of such written notice.</w:t>
      </w:r>
    </w:p>
    <w:p>
      <w:pPr>
        <w:spacing w:after="0" w:line="147"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2"/>
          <w:szCs w:val="22"/>
          <w:b w:val="1"/>
          <w:bCs w:val="1"/>
          <w:color w:val="auto"/>
        </w:rPr>
        <w:t>9.2.3.</w:t>
      </w:r>
      <w:r>
        <w:rPr>
          <w:sz w:val="20"/>
          <w:szCs w:val="20"/>
          <w:color w:val="auto"/>
        </w:rPr>
        <w:tab/>
      </w:r>
      <w:r>
        <w:rPr>
          <w:rFonts w:ascii="Times New Roman" w:cs="Times New Roman" w:eastAsia="Times New Roman" w:hAnsi="Times New Roman"/>
          <w:sz w:val="21"/>
          <w:szCs w:val="21"/>
          <w:b w:val="1"/>
          <w:bCs w:val="1"/>
          <w:color w:val="auto"/>
        </w:rPr>
        <w:t>Termination for Material Breach</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952"/>
        <w:spacing w:after="0" w:line="219" w:lineRule="auto"/>
        <w:tabs>
          <w:tab w:leader="none" w:pos="2400" w:val="left"/>
        </w:tabs>
        <w:numPr>
          <w:ilvl w:val="1"/>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Vertex’s Right to Terminate</w:t>
      </w:r>
      <w:r>
        <w:rPr>
          <w:rFonts w:ascii="Times New Roman" w:cs="Times New Roman" w:eastAsia="Times New Roman" w:hAnsi="Times New Roman"/>
          <w:sz w:val="21"/>
          <w:szCs w:val="21"/>
          <w:color w:val="auto"/>
        </w:rPr>
        <w:t>. If Vertex believes that Company is in material breach of this Agreement, Vertex may deliver written notice of such material breach to Company. If the breach is curable, Company will have [***] following its receipt of such written notice to cure such breach. If Company fails to cure such breach within such [***] period or the breach is not subject to cure (a “</w:t>
      </w:r>
      <w:r>
        <w:rPr>
          <w:rFonts w:ascii="Times New Roman" w:cs="Times New Roman" w:eastAsia="Times New Roman" w:hAnsi="Times New Roman"/>
          <w:sz w:val="21"/>
          <w:szCs w:val="21"/>
          <w:b w:val="1"/>
          <w:bCs w:val="1"/>
          <w:color w:val="auto"/>
        </w:rPr>
        <w:t>Company Breach Event</w:t>
      </w:r>
      <w:r>
        <w:rPr>
          <w:rFonts w:ascii="Times New Roman" w:cs="Times New Roman" w:eastAsia="Times New Roman" w:hAnsi="Times New Roman"/>
          <w:sz w:val="21"/>
          <w:szCs w:val="21"/>
          <w:color w:val="auto"/>
        </w:rPr>
        <w:t>”), (i) Vertex may terminate this Agreement by providing written notice to Company, in which case, this Agreement will terminate on the date on which Company receives such written notice or</w:t>
      </w:r>
    </w:p>
    <w:p>
      <w:pPr>
        <w:spacing w:after="0" w:line="2" w:lineRule="exact"/>
        <w:rPr>
          <w:rFonts w:ascii="Times New Roman" w:cs="Times New Roman" w:eastAsia="Times New Roman" w:hAnsi="Times New Roman"/>
          <w:sz w:val="21"/>
          <w:szCs w:val="21"/>
          <w:color w:val="auto"/>
        </w:rPr>
      </w:pPr>
    </w:p>
    <w:p>
      <w:pPr>
        <w:jc w:val="both"/>
        <w:ind w:firstLine="8"/>
        <w:spacing w:after="0" w:line="210" w:lineRule="auto"/>
        <w:tabs>
          <w:tab w:leader="none" w:pos="352"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Vertex may elect to exercise the alternate remedy provisions set forth in Section 9.3;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(A) the relevant breach is curable, but not reasonably curable within [***], and (B) Company is making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effort to cure such breach, Vertex’s right to terminate this Agreement or elect to exercise the alternate remedy provisions set forth in Section 9.3 on account of such breach will be suspended for so long as Company is continuing to make such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effort to cure such breach (up to a maximum of [***] after receipt of the applicable written notice above) and if such breach is successfully cured within the foregoing [***] period, Vertex will no longer have the right to terminate this Agreement or elect to exercise the alternate remedy provisions set forth in Section 9.3 on account of such breach.</w:t>
      </w:r>
    </w:p>
    <w:p>
      <w:pPr>
        <w:spacing w:after="0" w:line="154" w:lineRule="exact"/>
        <w:rPr>
          <w:rFonts w:ascii="Times New Roman" w:cs="Times New Roman" w:eastAsia="Times New Roman" w:hAnsi="Times New Roman"/>
          <w:sz w:val="22"/>
          <w:szCs w:val="22"/>
          <w:color w:val="auto"/>
        </w:rPr>
      </w:pPr>
    </w:p>
    <w:p>
      <w:pPr>
        <w:ind w:firstLine="1952"/>
        <w:spacing w:after="0" w:line="236" w:lineRule="auto"/>
        <w:tabs>
          <w:tab w:leader="none" w:pos="2587"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Right to Terminate</w:t>
      </w:r>
      <w:r>
        <w:rPr>
          <w:rFonts w:ascii="Times New Roman" w:cs="Times New Roman" w:eastAsia="Times New Roman" w:hAnsi="Times New Roman"/>
          <w:sz w:val="22"/>
          <w:szCs w:val="22"/>
          <w:color w:val="auto"/>
        </w:rPr>
        <w:t>. If Company believes that Vertex is in material breach of this Agreement, Company may deliver written notice of such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395" w:right="339" w:bottom="1440" w:gutter="0" w:footer="0" w:header="0"/>
        </w:sectPr>
      </w:pPr>
    </w:p>
    <w:bookmarkStart w:id="311" w:name="page312"/>
    <w:bookmarkEnd w:id="311"/>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breach to Vertex. If the breach is curable, Vertex will have [***] following its receipt of such written notice to cure such breach (except to the extent such breach involves the failure to make a payment when due, which breach must be cured within [***] following its receipt of such written notice). If Vertex fails to cure such breach within the [***] or [***] period, as applicable, or the breach is not subject to cure, Company may terminate this Agreement by providing written notice to Vertex, in which case, this Agreement will terminate on the date on which Vertex receives such written notice;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if (i) the relevant breach (A) does not involve Vertex’s failure to make a payment when due and (B) is curable, but not reasonably curable within [***], and (ii) Vertex is making a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effort to cure such breach, Company’s right to terminate this Agreement on account of such breach will be suspended for so long as Vertex is continuing to make such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effort to cure such breach (up to a maximum of [***] after receipt of the applicable written notice above) and if such breach is successfully cured within the foregoing [***] period, Company will no longer have the right to terminate this Agreement on account of such breach.</w:t>
      </w:r>
    </w:p>
    <w:p>
      <w:pPr>
        <w:spacing w:after="0" w:line="148" w:lineRule="exact"/>
        <w:rPr>
          <w:sz w:val="20"/>
          <w:szCs w:val="20"/>
          <w:color w:val="auto"/>
        </w:rPr>
      </w:pPr>
    </w:p>
    <w:p>
      <w:pPr>
        <w:jc w:val="both"/>
        <w:ind w:firstLine="1296"/>
        <w:spacing w:after="0" w:line="214" w:lineRule="auto"/>
        <w:rPr>
          <w:sz w:val="20"/>
          <w:szCs w:val="20"/>
          <w:color w:val="auto"/>
        </w:rPr>
      </w:pPr>
      <w:r>
        <w:rPr>
          <w:rFonts w:ascii="Times New Roman" w:cs="Times New Roman" w:eastAsia="Times New Roman" w:hAnsi="Times New Roman"/>
          <w:sz w:val="22"/>
          <w:szCs w:val="22"/>
          <w:b w:val="1"/>
          <w:bCs w:val="1"/>
          <w:color w:val="auto"/>
        </w:rPr>
        <w:t>9.2.4. Disputes Regarding Material Breach</w:t>
      </w:r>
      <w:r>
        <w:rPr>
          <w:rFonts w:ascii="Times New Roman" w:cs="Times New Roman" w:eastAsia="Times New Roman" w:hAnsi="Times New Roman"/>
          <w:sz w:val="22"/>
          <w:szCs w:val="22"/>
          <w:color w:val="auto"/>
        </w:rPr>
        <w:t>. Notwithstanding the foregoing, if the Breaching Party in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9.2.3 disputes in good faith the existence, materiality, or failure to cure of any breach, and provides written notice to the Non-Breaching Party of such dispute within the relevant cure period, the Non-Breaching Party will not have the right to terminate this Agreement in accordance with Section 9.2.3, or the right to exercise the alternative remedy provisions of Section 9.3, as applicable, unless and until the relevant dispute has been resolved in accordance with Section 11.12. During the pendency of such dispute, the relevant cure period will be tolled, all the terms of this Agreement will remain in effect and the Parties will continue to perform all of their respective obligations hereunder.</w:t>
      </w:r>
    </w:p>
    <w:p>
      <w:pPr>
        <w:spacing w:after="0" w:line="149" w:lineRule="exact"/>
        <w:rPr>
          <w:sz w:val="20"/>
          <w:szCs w:val="20"/>
          <w:color w:val="auto"/>
        </w:rPr>
      </w:pPr>
    </w:p>
    <w:p>
      <w:pPr>
        <w:jc w:val="both"/>
        <w:ind w:firstLine="1296"/>
        <w:spacing w:after="0" w:line="223" w:lineRule="auto"/>
        <w:rPr>
          <w:sz w:val="20"/>
          <w:szCs w:val="20"/>
          <w:color w:val="auto"/>
        </w:rPr>
      </w:pPr>
      <w:r>
        <w:rPr>
          <w:rFonts w:ascii="Times New Roman" w:cs="Times New Roman" w:eastAsia="Times New Roman" w:hAnsi="Times New Roman"/>
          <w:sz w:val="21"/>
          <w:szCs w:val="21"/>
          <w:b w:val="1"/>
          <w:bCs w:val="1"/>
          <w:color w:val="auto"/>
        </w:rPr>
        <w:t>9.2.5. Termination for Insolvency</w:t>
      </w:r>
      <w:r>
        <w:rPr>
          <w:rFonts w:ascii="Times New Roman" w:cs="Times New Roman" w:eastAsia="Times New Roman" w:hAnsi="Times New Roman"/>
          <w:sz w:val="21"/>
          <w:szCs w:val="21"/>
          <w:color w:val="auto"/>
        </w:rPr>
        <w:t>. If either Party makes an assignment for the benefit of creditors, appoints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suffers appointment of a receiver or trustee over all or substantially all of its property, files a petition under any bankruptcy or insolvency act or code, including the U.S. Bankruptcy Code, or has any such petition filed against it that is not discharged within</w:t>
      </w:r>
    </w:p>
    <w:p>
      <w:pPr>
        <w:spacing w:after="0" w:line="3" w:lineRule="exact"/>
        <w:rPr>
          <w:sz w:val="20"/>
          <w:szCs w:val="20"/>
          <w:color w:val="auto"/>
        </w:rPr>
      </w:pPr>
    </w:p>
    <w:p>
      <w:pPr>
        <w:jc w:val="both"/>
        <w:ind w:firstLine="8"/>
        <w:spacing w:after="0" w:line="218" w:lineRule="auto"/>
        <w:tabs>
          <w:tab w:leader="none" w:pos="551"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filing thereof (each, an “</w:t>
      </w:r>
      <w:r>
        <w:rPr>
          <w:rFonts w:ascii="Times New Roman" w:cs="Times New Roman" w:eastAsia="Times New Roman" w:hAnsi="Times New Roman"/>
          <w:sz w:val="22"/>
          <w:szCs w:val="22"/>
          <w:b w:val="1"/>
          <w:bCs w:val="1"/>
          <w:color w:val="auto"/>
        </w:rPr>
        <w:t>Insolvency Event</w:t>
      </w:r>
      <w:r>
        <w:rPr>
          <w:rFonts w:ascii="Times New Roman" w:cs="Times New Roman" w:eastAsia="Times New Roman" w:hAnsi="Times New Roman"/>
          <w:sz w:val="22"/>
          <w:szCs w:val="22"/>
          <w:color w:val="auto"/>
        </w:rPr>
        <w:t>”), the other Party may terminate this Agreement in its entirety by providing written notice of its intent to terminate this Agreement to such Party, in which case, this Agreement will terminate on the date on which such Party receives such written notice.</w:t>
      </w:r>
    </w:p>
    <w:p>
      <w:pPr>
        <w:spacing w:after="0" w:line="147"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b w:val="1"/>
          <w:bCs w:val="1"/>
          <w:u w:val="single" w:color="auto"/>
          <w:color w:val="auto"/>
        </w:rPr>
        <w:t>Alternative Remedies to Termination</w:t>
      </w:r>
      <w:r>
        <w:rPr>
          <w:rFonts w:ascii="Times New Roman" w:cs="Times New Roman" w:eastAsia="Times New Roman" w:hAnsi="Times New Roman"/>
          <w:sz w:val="22"/>
          <w:szCs w:val="22"/>
          <w:color w:val="auto"/>
        </w:rPr>
        <w:t>. If Vertex has the right to terminate this Agreement pursuant to Section 9.2.3(a), in addition to any other remedies available to Vertex in law or equity, in lieu of terminating this Agreement, Vertex may elect, upon written notice to Company, to reduce the milestone payments under Section 5.3 by [***]% and royalty payments under Section 5.4 by [***]% (after giving effect to all other applicable deductions and credits available under such Section 5.4). Company stipulates and agrees that such reductions would be a reasonable remedy in such circumstance and not a penalty. For clarity, if Vertex exercises the alternative remedy set forth above in this Section 9.3, such remedy will be Vertex’s sole remedy for such breach.</w:t>
      </w:r>
    </w:p>
    <w:p>
      <w:pPr>
        <w:spacing w:after="0" w:line="14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b w:val="1"/>
          <w:bCs w:val="1"/>
          <w:u w:val="single" w:color="auto"/>
          <w:color w:val="auto"/>
        </w:rPr>
        <w:t>Patent Challenge</w:t>
      </w:r>
      <w:r>
        <w:rPr>
          <w:rFonts w:ascii="Times New Roman" w:cs="Times New Roman" w:eastAsia="Times New Roman" w:hAnsi="Times New Roman"/>
          <w:sz w:val="22"/>
          <w:szCs w:val="22"/>
          <w:color w:val="auto"/>
        </w:rPr>
        <w:t>. Company has the right to terminate this Agreement upon written notice to Vertex in the event that Vertex or any of its Affiliates or Sublicensees directly or indirectly challenges in a legal or administrative proceeding the patentability, enforceability, or validity of any Licensed Patent (a “</w:t>
      </w:r>
      <w:r>
        <w:rPr>
          <w:rFonts w:ascii="Times New Roman" w:cs="Times New Roman" w:eastAsia="Times New Roman" w:hAnsi="Times New Roman"/>
          <w:sz w:val="22"/>
          <w:szCs w:val="22"/>
          <w:b w:val="1"/>
          <w:bCs w:val="1"/>
          <w:color w:val="auto"/>
        </w:rPr>
        <w:t>Patent Challenge</w:t>
      </w:r>
      <w:r>
        <w:rPr>
          <w:rFonts w:ascii="Times New Roman" w:cs="Times New Roman" w:eastAsia="Times New Roman" w:hAnsi="Times New Roman"/>
          <w:sz w:val="22"/>
          <w:szCs w:val="22"/>
          <w:color w:val="auto"/>
        </w:rPr>
        <w:t>”). In the event of such a Patent Challenge, Company will provide written notice of such Patent Challenge to Vertex, and if Vertex (a) with respect to a patent challenge brought by Vertex or an Affiliate of Vertex, fails to withdraw such Patent Challenge within [***] after such receipt of such notice or (b) with respect to a Patent Challenge brought by a Sublicensee, fails to cause the Sublicensee to withdraw such Patent Challenge within [***] after such receipt of such notice or to terminate the applicable sublicense agreement for such Sublicensee within [***] after receipt of such notice, then,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395" w:right="339" w:bottom="1440" w:gutter="0" w:footer="0" w:header="0"/>
        </w:sectPr>
      </w:pPr>
    </w:p>
    <w:bookmarkStart w:id="312" w:name="page313"/>
    <w:bookmarkEnd w:id="312"/>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either case of (a) or (b), Company may terminate this Agreement by providing written notice of such termination to Vertex. As used herein, a Patent Challenge includes: (i) filing an action under 28 U.S.C. §§ 2201-2202 seeking a declaration of invalidity or unenforceability of any such Patent; (ii) filing, or joining in, a petition under 35 U.S.C. § 311 to institute </w:t>
      </w:r>
      <w:r>
        <w:rPr>
          <w:rFonts w:ascii="Times New Roman" w:cs="Times New Roman" w:eastAsia="Times New Roman" w:hAnsi="Times New Roman"/>
          <w:sz w:val="22"/>
          <w:szCs w:val="22"/>
          <w:i w:val="1"/>
          <w:iCs w:val="1"/>
          <w:color w:val="auto"/>
        </w:rPr>
        <w:t>inter partes</w:t>
      </w:r>
      <w:r>
        <w:rPr>
          <w:rFonts w:ascii="Times New Roman" w:cs="Times New Roman" w:eastAsia="Times New Roman" w:hAnsi="Times New Roman"/>
          <w:sz w:val="22"/>
          <w:szCs w:val="22"/>
          <w:color w:val="auto"/>
        </w:rPr>
        <w:t xml:space="preserve"> review of any such Patent; (iii) filing, or joining in, a petition under 35 U.S.C. § 321 to institute post-grant review of any such Patent or any portion thereof; (iv) filing or commencing any opposition, nullity, or similar proceedings challenging the validity of any such Patent in any country or region; or (v) any foreign equivalent of clauses (i), (ii), (iii) or (iv), including under Applicable Law. Notwithstanding the foregoing, Company will not have the right to terminate this Agreement under this Section 9.4 (x) with respect to any Patent Challenge in which Vertex or its Affiliate or Sublicensee has been compelled to participate in such Patent Challenges by a court or patent office or (y) if a Patent Challenge is necessary or reasonably required to assert a cross claim or a counterclaim or to respond to a court request or order or administrative law request or order, including asserting any defense or counterclaim in, or otherwise responding to, any Patent infringement suit filed by Company or any of its Affiliates, licensors, licensees or sublicensees against Vertex or any of its Affiliates or Sublicensees. In addition, Company will not have the right to terminate this Agreement pursuant to this Section 9.4 if any Affiliate that first becomes an Affiliate of Vertex pursuant to a Change of Control of Vertex after the Effective Date was undertaking activities in connection with a Patent Challenge prior to such Affiliate first becoming an Affiliate of Vertex.</w:t>
      </w:r>
    </w:p>
    <w:p>
      <w:pPr>
        <w:spacing w:after="0" w:line="147"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b w:val="1"/>
          <w:bCs w:val="1"/>
          <w:u w:val="single" w:color="auto"/>
          <w:color w:val="auto"/>
        </w:rPr>
        <w:t>Termination for Cessation of Development or Commercialization</w:t>
      </w:r>
      <w:r>
        <w:rPr>
          <w:rFonts w:ascii="Times New Roman" w:cs="Times New Roman" w:eastAsia="Times New Roman" w:hAnsi="Times New Roman"/>
          <w:sz w:val="22"/>
          <w:szCs w:val="22"/>
          <w:color w:val="auto"/>
        </w:rPr>
        <w:t xml:space="preserve">. Without prejudice to any other remedies available to it at law or in equity (including for any breach of the terms hereof), if (i) Vertex does not conduct, or cause to be conducted, any Research, Development or Commercialization activities (which Research, Development or Commercialization activities will include planning for such activities, contracting for such activities, performing activities to address or resolve clinical holds imposed by Regulatory Authorities, pending supply interruptions, or other circumstances of events outside the reasonable control of Vertex, its Affiliates or its Sublicensees), or otherwise ceases or abandons all Research, Development or Commercialization activities, in each case with respect to all Licensed Agents and Products for a period of [***] at any time during the Term, then Company will have the right to terminate this Agreement in its entirety with [***] written notice to Vertex, unless within such [***] period Vertex provides to Company reasonably suitable documentation evidencing that Vertex has resumed material Research, Development and Commercialization activities with respect to any Licensed Agents or Products;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such [***] period will be tolled during the pendency of any</w:t>
      </w:r>
      <w:r>
        <w:rPr>
          <w:rFonts w:ascii="Times New Roman" w:cs="Times New Roman" w:eastAsia="Times New Roman" w:hAnsi="Times New Roman"/>
          <w:sz w:val="22"/>
          <w:szCs w:val="22"/>
          <w:i w:val="1"/>
          <w:iCs w:val="1"/>
          <w:color w:val="auto"/>
        </w:rPr>
        <w:t xml:space="preserve"> bona fide </w:t>
      </w:r>
      <w:r>
        <w:rPr>
          <w:rFonts w:ascii="Times New Roman" w:cs="Times New Roman" w:eastAsia="Times New Roman" w:hAnsi="Times New Roman"/>
          <w:sz w:val="22"/>
          <w:szCs w:val="22"/>
          <w:color w:val="auto"/>
        </w:rPr>
        <w:t>dispute between the Parties as to whether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cessation has occurred. Any such disputes will be resolved through the dispute resolution procedures set forth in Section 11.12.</w:t>
      </w:r>
    </w:p>
    <w:p>
      <w:pPr>
        <w:spacing w:after="0" w:line="14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9.6.</w:t>
      </w:r>
      <w:r>
        <w:rPr>
          <w:sz w:val="20"/>
          <w:szCs w:val="20"/>
          <w:color w:val="auto"/>
        </w:rPr>
        <w:tab/>
      </w:r>
      <w:r>
        <w:rPr>
          <w:rFonts w:ascii="Times New Roman" w:cs="Times New Roman" w:eastAsia="Times New Roman" w:hAnsi="Times New Roman"/>
          <w:sz w:val="21"/>
          <w:szCs w:val="21"/>
          <w:b w:val="1"/>
          <w:bCs w:val="1"/>
          <w:u w:val="single" w:color="auto"/>
          <w:color w:val="auto"/>
        </w:rPr>
        <w:t>Consequences of Expiration or Termination of the Agreement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9.6.1. In General</w:t>
      </w:r>
      <w:r>
        <w:rPr>
          <w:rFonts w:ascii="Times New Roman" w:cs="Times New Roman" w:eastAsia="Times New Roman" w:hAnsi="Times New Roman"/>
          <w:sz w:val="22"/>
          <w:szCs w:val="22"/>
          <w:color w:val="auto"/>
        </w:rPr>
        <w:t>. If this Agreement expires or is terminated in whole or in part with respect to one or more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Products by a Party pursuant to this ARTICLE 9, the following terms will apply to this Agreement, either in its entirety or with respect to the Product that is the subject of such termination, as the case may be:</w:t>
      </w:r>
    </w:p>
    <w:p>
      <w:pPr>
        <w:spacing w:after="0" w:line="150" w:lineRule="exact"/>
        <w:rPr>
          <w:sz w:val="20"/>
          <w:szCs w:val="20"/>
          <w:color w:val="auto"/>
        </w:rPr>
      </w:pPr>
    </w:p>
    <w:p>
      <w:pPr>
        <w:ind w:left="2400" w:hanging="448"/>
        <w:spacing w:after="0"/>
        <w:tabs>
          <w:tab w:leader="none" w:pos="240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will take all action required under Section 10.3 if requested by the other Party;</w:t>
      </w:r>
    </w:p>
    <w:p>
      <w:pPr>
        <w:spacing w:after="0" w:line="179" w:lineRule="exact"/>
        <w:rPr>
          <w:rFonts w:ascii="Times New Roman" w:cs="Times New Roman" w:eastAsia="Times New Roman" w:hAnsi="Times New Roman"/>
          <w:sz w:val="22"/>
          <w:szCs w:val="22"/>
          <w:color w:val="auto"/>
        </w:rPr>
      </w:pPr>
    </w:p>
    <w:p>
      <w:pPr>
        <w:ind w:firstLine="1952"/>
        <w:spacing w:after="0" w:line="236" w:lineRule="auto"/>
        <w:tabs>
          <w:tab w:leader="none" w:pos="2444"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or expiration of this Agreement for any reason will be without prejudice to any rights or financial compensation that will have accrued to the benefit of a Party prior to such expiration or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395" w:right="339" w:bottom="1440" w:gutter="0" w:footer="0" w:header="0"/>
        </w:sectPr>
      </w:pPr>
    </w:p>
    <w:bookmarkStart w:id="313" w:name="page314"/>
    <w:bookmarkEnd w:id="313"/>
    <w:p>
      <w:pPr>
        <w:jc w:val="both"/>
        <w:ind w:firstLine="1952"/>
        <w:spacing w:after="0" w:line="215" w:lineRule="auto"/>
        <w:tabs>
          <w:tab w:leader="none" w:pos="2451"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this Agreement that occurs prior to the completion of the Research Plan or any Additional Research Plan, Company will provide Vertex with (a) a good faith estimate of its reasonable wind-down costs and expenses for activities set forth in such Research Plan or any Additional Research Plan and any costs and expenses that are non-cancellable and incurred in accordance with the Research Budget or Additional Research Budget, and (b) a final invoice with respect to such costs and expenses within [***] following the effective date of termination, and Vertex will pay such invoice provided by Company pursuant to clause (b) within [***] following Vertex’s receipt thereof;</w:t>
      </w:r>
    </w:p>
    <w:p>
      <w:pPr>
        <w:spacing w:after="0" w:line="152" w:lineRule="exact"/>
        <w:rPr>
          <w:rFonts w:ascii="Times New Roman" w:cs="Times New Roman" w:eastAsia="Times New Roman" w:hAnsi="Times New Roman"/>
          <w:sz w:val="22"/>
          <w:szCs w:val="22"/>
          <w:color w:val="auto"/>
        </w:rPr>
      </w:pPr>
    </w:p>
    <w:p>
      <w:pPr>
        <w:ind w:firstLine="1952"/>
        <w:spacing w:after="0" w:line="236" w:lineRule="auto"/>
        <w:tabs>
          <w:tab w:leader="none" w:pos="2426"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expiration or termination will not relieve a Party from obligations that are expressly indicated to survive the termination or expiration of this Agreement; and</w:t>
      </w:r>
    </w:p>
    <w:p>
      <w:pPr>
        <w:spacing w:after="0" w:line="150" w:lineRule="exact"/>
        <w:rPr>
          <w:rFonts w:ascii="Times New Roman" w:cs="Times New Roman" w:eastAsia="Times New Roman" w:hAnsi="Times New Roman"/>
          <w:sz w:val="22"/>
          <w:szCs w:val="22"/>
          <w:color w:val="auto"/>
        </w:rPr>
      </w:pPr>
    </w:p>
    <w:p>
      <w:pPr>
        <w:jc w:val="both"/>
        <w:ind w:firstLine="1952"/>
        <w:spacing w:after="0" w:line="215" w:lineRule="auto"/>
        <w:tabs>
          <w:tab w:leader="none" w:pos="2609"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of this Agreement will survive the expiration or termination of this Agreement: ARTICLE 1, Section 4.4, Sections 5.9 through 5.11 (inclusive, solely to the extent applicable and with respect to any amounts due prior to expiration or termination), Section 6.1, Section 6.5 (with respect to proceedings to the extent relating to events occurring prior to the effective date of termination), Section 7.5, ARTICLE 8 (with respect to Section 8.2, for the time period set forth therein), this Section 9.4, Sections 10.1 through 10.5 (inclusive, for the time period set forth therein), and ARTICLE 11 (but not including Section 11.2).</w:t>
      </w:r>
    </w:p>
    <w:p>
      <w:pPr>
        <w:spacing w:after="0" w:line="148"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9.6.2. Early Termination</w:t>
      </w:r>
      <w:r>
        <w:rPr>
          <w:rFonts w:ascii="Times New Roman" w:cs="Times New Roman" w:eastAsia="Times New Roman" w:hAnsi="Times New Roman"/>
          <w:sz w:val="22"/>
          <w:szCs w:val="22"/>
          <w:color w:val="auto"/>
        </w:rPr>
        <w:t>. If this Agreement is terminated in its entirety or in part by a Party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Sections 9.2.2, 9.2.3, 9.2.5, 9.5 or 9.5, the following terms will apply with respect to any Product that is the subject of such termination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all Products worldwide in the case of termination of this Agreement in its entirety or the applicable Product in the Territory in the case of termination of this Agreement for a particular Product, as the case may be):</w:t>
      </w:r>
    </w:p>
    <w:p>
      <w:pPr>
        <w:spacing w:after="0" w:line="152" w:lineRule="exact"/>
        <w:rPr>
          <w:sz w:val="20"/>
          <w:szCs w:val="20"/>
          <w:color w:val="auto"/>
        </w:rPr>
      </w:pPr>
    </w:p>
    <w:p>
      <w:pPr>
        <w:ind w:firstLine="1952"/>
        <w:spacing w:after="0" w:line="236" w:lineRule="auto"/>
        <w:tabs>
          <w:tab w:leader="none" w:pos="2476"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Section 9.6.2.(e), the applicable licenses granted by Company to Vertex with respect to such Product(s) in the Territory under this Agreement will terminate;</w:t>
      </w:r>
    </w:p>
    <w:p>
      <w:pPr>
        <w:spacing w:after="0" w:line="150" w:lineRule="exact"/>
        <w:rPr>
          <w:rFonts w:ascii="Times New Roman" w:cs="Times New Roman" w:eastAsia="Times New Roman" w:hAnsi="Times New Roman"/>
          <w:sz w:val="22"/>
          <w:szCs w:val="22"/>
          <w:color w:val="auto"/>
        </w:rPr>
      </w:pPr>
    </w:p>
    <w:p>
      <w:pPr>
        <w:ind w:firstLine="1952"/>
        <w:spacing w:after="0" w:line="236" w:lineRule="auto"/>
        <w:tabs>
          <w:tab w:leader="none" w:pos="2461"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this Section 9.6, Vertex will have no further rights and Company will have no further obligations with respect to such Product(s) in the Territory;</w:t>
      </w:r>
    </w:p>
    <w:p>
      <w:pPr>
        <w:spacing w:after="0" w:line="150" w:lineRule="exact"/>
        <w:rPr>
          <w:rFonts w:ascii="Times New Roman" w:cs="Times New Roman" w:eastAsia="Times New Roman" w:hAnsi="Times New Roman"/>
          <w:sz w:val="22"/>
          <w:szCs w:val="22"/>
          <w:color w:val="auto"/>
        </w:rPr>
      </w:pPr>
    </w:p>
    <w:p>
      <w:pPr>
        <w:ind w:firstLine="1952"/>
        <w:spacing w:after="0" w:line="236" w:lineRule="auto"/>
        <w:tabs>
          <w:tab w:leader="none" w:pos="255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terminated with respect to a particular Product or Products, the definition of Product will be automatically amended to exclude the relevant Product or Products;</w:t>
      </w:r>
    </w:p>
    <w:p>
      <w:pPr>
        <w:spacing w:after="0" w:line="150" w:lineRule="exact"/>
        <w:rPr>
          <w:rFonts w:ascii="Times New Roman" w:cs="Times New Roman" w:eastAsia="Times New Roman" w:hAnsi="Times New Roman"/>
          <w:sz w:val="22"/>
          <w:szCs w:val="22"/>
          <w:color w:val="auto"/>
        </w:rPr>
      </w:pPr>
    </w:p>
    <w:p>
      <w:pPr>
        <w:jc w:val="both"/>
        <w:ind w:firstLine="1952"/>
        <w:spacing w:after="0" w:line="213" w:lineRule="auto"/>
        <w:tabs>
          <w:tab w:leader="none" w:pos="2621"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permitted Sublicense of Vertex will, at the applicable Sublicensee’s option, survive such termination on the condition that the relevant Sublicensee is not in material breach of any of its obligations under such Sublicense. In order to effect this provision, at the request of the Sublicensee, Company will enter into a direct license with the Sublicensee on terms that are substantially the same terms as the applicable terms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Company will not be required to undertake obligations in addition to those required by this Agreement, and Company’s rights under such direct license will be consistent with its rights under this Agreement, taking into account the scope of the license granted under such direct license;</w:t>
      </w:r>
    </w:p>
    <w:p>
      <w:pPr>
        <w:spacing w:after="0" w:line="156"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05"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are any on-going Development or Commercialization activities being conducted by or on behalf of Vertex, the Parties will negotiate in good faith and adopt a plan to wind-down such activities in an orderly fashion or, at Company’s election, Vertex will promptly transition such activities from Vertex to Company or its designee, with due regard for patient safety and the rights of any subjects that are participants in any clinical studies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395" w:right="339" w:bottom="1440" w:gutter="0" w:footer="0" w:header="0"/>
        </w:sectPr>
      </w:pPr>
    </w:p>
    <w:bookmarkStart w:id="314" w:name="page315"/>
    <w:bookmarkEnd w:id="314"/>
    <w:p>
      <w:pPr>
        <w:ind w:right="20"/>
        <w:spacing w:after="0" w:line="236" w:lineRule="auto"/>
        <w:rPr>
          <w:sz w:val="20"/>
          <w:szCs w:val="20"/>
          <w:color w:val="auto"/>
        </w:rPr>
      </w:pPr>
      <w:r>
        <w:rPr>
          <w:rFonts w:ascii="Times New Roman" w:cs="Times New Roman" w:eastAsia="Times New Roman" w:hAnsi="Times New Roman"/>
          <w:sz w:val="22"/>
          <w:szCs w:val="22"/>
          <w:color w:val="auto"/>
        </w:rPr>
        <w:t>terminated Product, and take any actions it deems reasonably necessary or appropriate to avoid any human health or safety problems and in compliance with all Applicable Laws;</w:t>
      </w:r>
    </w:p>
    <w:p>
      <w:pPr>
        <w:spacing w:after="0" w:line="150" w:lineRule="exact"/>
        <w:rPr>
          <w:sz w:val="20"/>
          <w:szCs w:val="20"/>
          <w:color w:val="auto"/>
        </w:rPr>
      </w:pPr>
    </w:p>
    <w:p>
      <w:pPr>
        <w:jc w:val="both"/>
        <w:ind w:firstLine="1952"/>
        <w:spacing w:after="0" w:line="219" w:lineRule="auto"/>
        <w:tabs>
          <w:tab w:leader="none" w:pos="2418"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with respect to any termination by Vertex under Section 9.2.3(a), Vertex (A) will, and hereby does, assign, and will cause its Affiliates and any Sublicensee that does not elect to become a direct licensee of Company to assign, effective as of the effective date of termination, to Company all of its rights, title, and interests in and to all Regulatory Filings, Regulatory Approvals and other material documentation, in each case, (1) as in existence as of such date; (2) to the extent allowed under Applicable Law; and (3) to the extent pertaining to the Licensed Agents or Products, as such Licensed Agents or Products exists at such time (“</w:t>
      </w:r>
      <w:r>
        <w:rPr>
          <w:rFonts w:ascii="Times New Roman" w:cs="Times New Roman" w:eastAsia="Times New Roman" w:hAnsi="Times New Roman"/>
          <w:sz w:val="21"/>
          <w:szCs w:val="21"/>
          <w:b w:val="1"/>
          <w:bCs w:val="1"/>
          <w:color w:val="auto"/>
        </w:rPr>
        <w:t>Regulatory Materials</w:t>
      </w:r>
      <w:r>
        <w:rPr>
          <w:rFonts w:ascii="Times New Roman" w:cs="Times New Roman" w:eastAsia="Times New Roman" w:hAnsi="Times New Roman"/>
          <w:sz w:val="21"/>
          <w:szCs w:val="21"/>
          <w:color w:val="auto"/>
        </w:rPr>
        <w:t xml:space="preserve">”), and (B) will, and will cause its Affiliates to, take all reasonable steps necessary to transfer ownership of all such Regulatory Materials to Company, including submitting to each applicable Regulatory Authority a letter or other necessary documentation (with a copy to Company) notifying such Regulatory Authority of the transfer of such ownership of each Regulatory Approval within the Regulatory Materials, and will reasonably cooperate with Company to make the benefits of such Regulatory Materials available to Company or its designee(s);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to the extent assignment pursuant to the preceding clause (A) is delayed or is not permitted by the applicable Regulatory Authority, Vertex will, and hereby does, grant, and will cause its Affiliates and any Sublicensee that does not elect to become a direct licensee of Company to grant, effective as of the effective date of termination, to Company a non-exclusive and irrevocable right of access and right of reference to such Regulatory Materials solely to Exploit Licensed Agents and Products;</w:t>
      </w:r>
    </w:p>
    <w:p>
      <w:pPr>
        <w:spacing w:after="0" w:line="155" w:lineRule="exact"/>
        <w:rPr>
          <w:rFonts w:ascii="Times New Roman" w:cs="Times New Roman" w:eastAsia="Times New Roman" w:hAnsi="Times New Roman"/>
          <w:sz w:val="21"/>
          <w:szCs w:val="21"/>
          <w:color w:val="auto"/>
        </w:rPr>
      </w:pPr>
    </w:p>
    <w:p>
      <w:pPr>
        <w:jc w:val="both"/>
        <w:ind w:firstLine="1952"/>
        <w:spacing w:after="0" w:line="209" w:lineRule="auto"/>
        <w:tabs>
          <w:tab w:leader="none" w:pos="2418"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with respect to any termination by Vertex under Section 9.2.3(a) and unless Company requests otherwise, effective upon such termination, Vertex hereby grants to Company (i) an exclusive, royalty-bearing, irrevocable, perpetual, license, which Company may sublicense through [***] tiers, under all Vertex Agreement Technology Controlled by Vertex or its Affiliates to Exploit Licensed Agents and Products in the Field in the Territory and (ii) a non-exclusive, royalty-bearing, irrevocable, perpetual, license, which Company may sublicense through [***] tiers, under all other Patents and Know-How Controlled by Vertex or its Affiliates that is necessary and has actually been used prior to such termination to Exploit Licensed Agents and Products in the Field in the Territory;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grant of such license to Company with respect to any Know-How or Patent included in the Vertex Agreement Technology or Company’s exercise of such license would trigger a royalty or other payment to a Third Party or would require compliance with any provision of any license between Vertex and a Third Party, Vertex will so notify Company in writing and such Know-How or Patent will only be included in the foregoing license if, following receipt of such notice, Company agrees in writing to reimburse Vertex for all such payments to such Third Party and comply with any such provision;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such license will not grant Company any rights with respect to any active ingredient in a Product that is not a Licensed Agent;</w:t>
      </w:r>
    </w:p>
    <w:p>
      <w:pPr>
        <w:spacing w:after="0" w:line="160" w:lineRule="exact"/>
        <w:rPr>
          <w:rFonts w:ascii="Times New Roman" w:cs="Times New Roman" w:eastAsia="Times New Roman" w:hAnsi="Times New Roman"/>
          <w:sz w:val="22"/>
          <w:szCs w:val="22"/>
          <w:color w:val="auto"/>
        </w:rPr>
      </w:pPr>
    </w:p>
    <w:p>
      <w:pPr>
        <w:ind w:firstLine="1952"/>
        <w:spacing w:after="0" w:line="255" w:lineRule="auto"/>
        <w:tabs>
          <w:tab w:leader="none" w:pos="2425"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solely in the event of termination by Vertex under Section 9.2.2 or 9.2.5, Company will pay to Vertex or its designated Affiliate the following royalty rates on Net Sales by Company, its Affiliates and, its and their (sub)licensees:</w:t>
      </w:r>
    </w:p>
    <w:p>
      <w:pPr>
        <w:spacing w:after="0" w:line="134" w:lineRule="exact"/>
        <w:rPr>
          <w:rFonts w:ascii="Times New Roman" w:cs="Times New Roman" w:eastAsia="Times New Roman" w:hAnsi="Times New Roman"/>
          <w:sz w:val="21"/>
          <w:szCs w:val="21"/>
          <w:color w:val="auto"/>
        </w:rPr>
      </w:pPr>
    </w:p>
    <w:p>
      <w:pPr>
        <w:ind w:firstLine="2600"/>
        <w:spacing w:after="0" w:line="236" w:lineRule="auto"/>
        <w:tabs>
          <w:tab w:leader="none" w:pos="3019"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for the license granted under the Vertex Agreement Technology in accordance with Section 9.6.2(g)(i), the royalty rates set forth in the following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395" w:right="339" w:bottom="1440" w:gutter="0" w:footer="0" w:header="0"/>
        </w:sectPr>
      </w:pPr>
    </w:p>
    <w:bookmarkStart w:id="315" w:name="page316"/>
    <w:bookmarkEnd w:id="31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600" w:type="dxa"/>
            <w:vAlign w:val="bottom"/>
            <w:tcBorders>
              <w:top w:val="single" w:sz="8" w:color="auto"/>
              <w:left w:val="single" w:sz="8" w:color="auto"/>
              <w:right w:val="single" w:sz="8" w:color="auto"/>
            </w:tcBorders>
            <w:shd w:val="clear" w:color="auto" w:fill="D0CECE"/>
          </w:tcPr>
          <w:p>
            <w:pPr>
              <w:jc w:val="right"/>
              <w:ind w:right="412"/>
              <w:spacing w:after="0" w:line="216" w:lineRule="exact"/>
              <w:rPr>
                <w:sz w:val="20"/>
                <w:szCs w:val="20"/>
                <w:color w:val="auto"/>
              </w:rPr>
            </w:pPr>
            <w:r>
              <w:rPr>
                <w:rFonts w:ascii="Times New Roman" w:cs="Times New Roman" w:eastAsia="Times New Roman" w:hAnsi="Times New Roman"/>
                <w:sz w:val="22"/>
                <w:szCs w:val="22"/>
                <w:b w:val="1"/>
                <w:bCs w:val="1"/>
                <w:color w:val="auto"/>
              </w:rPr>
              <w:t>Effective Date of</w:t>
            </w:r>
          </w:p>
        </w:tc>
        <w:tc>
          <w:tcPr>
            <w:tcW w:w="4900" w:type="dxa"/>
            <w:vAlign w:val="bottom"/>
            <w:tcBorders>
              <w:top w:val="single" w:sz="8" w:color="auto"/>
              <w:right w:val="single" w:sz="8" w:color="auto"/>
            </w:tcBorders>
            <w:shd w:val="clear" w:color="auto" w:fill="D0CECE"/>
          </w:tcPr>
          <w:p>
            <w:pPr>
              <w:ind w:left="60"/>
              <w:spacing w:after="0" w:line="216" w:lineRule="exact"/>
              <w:rPr>
                <w:sz w:val="20"/>
                <w:szCs w:val="20"/>
                <w:color w:val="auto"/>
              </w:rPr>
            </w:pPr>
            <w:r>
              <w:rPr>
                <w:rFonts w:ascii="Times New Roman" w:cs="Times New Roman" w:eastAsia="Times New Roman" w:hAnsi="Times New Roman"/>
                <w:sz w:val="22"/>
                <w:szCs w:val="22"/>
                <w:b w:val="1"/>
                <w:bCs w:val="1"/>
                <w:color w:val="auto"/>
                <w:w w:val="99"/>
              </w:rPr>
              <w:t>Annual Net Sales (in Dollars) for all Products in the</w:t>
            </w:r>
          </w:p>
        </w:tc>
        <w:tc>
          <w:tcPr>
            <w:tcW w:w="3760" w:type="dxa"/>
            <w:vAlign w:val="bottom"/>
            <w:tcBorders>
              <w:top w:val="single" w:sz="8" w:color="auto"/>
              <w:right w:val="single" w:sz="8" w:color="auto"/>
            </w:tcBorders>
            <w:shd w:val="clear" w:color="auto" w:fill="D0CECE"/>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Royalty Rates as a Percentage (%) of</w:t>
            </w:r>
          </w:p>
        </w:tc>
        <w:tc>
          <w:tcPr>
            <w:tcW w:w="0" w:type="dxa"/>
            <w:vAlign w:val="bottom"/>
          </w:tcPr>
          <w:p>
            <w:pPr>
              <w:spacing w:after="0"/>
              <w:rPr>
                <w:sz w:val="1"/>
                <w:szCs w:val="1"/>
                <w:color w:val="auto"/>
              </w:rPr>
            </w:pPr>
          </w:p>
        </w:tc>
      </w:tr>
      <w:tr>
        <w:trPr>
          <w:trHeight w:val="283"/>
        </w:trPr>
        <w:tc>
          <w:tcPr>
            <w:tcW w:w="2600" w:type="dxa"/>
            <w:vAlign w:val="bottom"/>
            <w:tcBorders>
              <w:left w:val="single" w:sz="8" w:color="auto"/>
              <w:bottom w:val="single" w:sz="8" w:color="auto"/>
              <w:right w:val="single" w:sz="8" w:color="auto"/>
            </w:tcBorders>
            <w:shd w:val="clear" w:color="auto" w:fill="D0CECE"/>
          </w:tcPr>
          <w:p>
            <w:pPr>
              <w:jc w:val="right"/>
              <w:ind w:right="612"/>
              <w:spacing w:after="0"/>
              <w:rPr>
                <w:sz w:val="20"/>
                <w:szCs w:val="20"/>
                <w:color w:val="auto"/>
              </w:rPr>
            </w:pPr>
            <w:r>
              <w:rPr>
                <w:rFonts w:ascii="Times New Roman" w:cs="Times New Roman" w:eastAsia="Times New Roman" w:hAnsi="Times New Roman"/>
                <w:sz w:val="22"/>
                <w:szCs w:val="22"/>
                <w:b w:val="1"/>
                <w:bCs w:val="1"/>
                <w:color w:val="auto"/>
              </w:rPr>
              <w:t>Termination</w:t>
            </w:r>
          </w:p>
        </w:tc>
        <w:tc>
          <w:tcPr>
            <w:tcW w:w="4900" w:type="dxa"/>
            <w:vAlign w:val="bottom"/>
            <w:tcBorders>
              <w:bottom w:val="single" w:sz="8" w:color="auto"/>
              <w:right w:val="single" w:sz="8" w:color="auto"/>
            </w:tcBorders>
            <w:shd w:val="clear" w:color="auto" w:fill="D0CECE"/>
          </w:tcPr>
          <w:p>
            <w:pPr>
              <w:ind w:left="2020"/>
              <w:spacing w:after="0"/>
              <w:rPr>
                <w:sz w:val="20"/>
                <w:szCs w:val="20"/>
                <w:color w:val="auto"/>
              </w:rPr>
            </w:pPr>
            <w:r>
              <w:rPr>
                <w:rFonts w:ascii="Times New Roman" w:cs="Times New Roman" w:eastAsia="Times New Roman" w:hAnsi="Times New Roman"/>
                <w:sz w:val="22"/>
                <w:szCs w:val="22"/>
                <w:b w:val="1"/>
                <w:bCs w:val="1"/>
                <w:color w:val="auto"/>
              </w:rPr>
              <w:t>Territory</w:t>
            </w:r>
          </w:p>
        </w:tc>
        <w:tc>
          <w:tcPr>
            <w:tcW w:w="376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Net Sales</w:t>
            </w:r>
          </w:p>
        </w:tc>
        <w:tc>
          <w:tcPr>
            <w:tcW w:w="0" w:type="dxa"/>
            <w:vAlign w:val="bottom"/>
          </w:tcPr>
          <w:p>
            <w:pPr>
              <w:spacing w:after="0"/>
              <w:rPr>
                <w:sz w:val="1"/>
                <w:szCs w:val="1"/>
                <w:color w:val="auto"/>
              </w:rPr>
            </w:pPr>
          </w:p>
        </w:tc>
      </w:tr>
      <w:tr>
        <w:trPr>
          <w:trHeight w:val="276"/>
        </w:trPr>
        <w:tc>
          <w:tcPr>
            <w:tcW w:w="2600" w:type="dxa"/>
            <w:vAlign w:val="bottom"/>
            <w:tcBorders>
              <w:left w:val="single" w:sz="8" w:color="auto"/>
              <w:right w:val="single" w:sz="8" w:color="auto"/>
            </w:tcBorders>
          </w:tcPr>
          <w:p>
            <w:pPr>
              <w:spacing w:after="0"/>
              <w:rPr>
                <w:sz w:val="23"/>
                <w:szCs w:val="23"/>
                <w:color w:val="auto"/>
              </w:rPr>
            </w:pPr>
          </w:p>
        </w:tc>
        <w:tc>
          <w:tcPr>
            <w:tcW w:w="4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w w:val="98"/>
              </w:rPr>
              <w:t>Portion of Annual Net Sales up to and including $[***]</w:t>
            </w:r>
          </w:p>
        </w:tc>
        <w:tc>
          <w:tcPr>
            <w:tcW w:w="3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w:t>
            </w:r>
          </w:p>
        </w:tc>
        <w:tc>
          <w:tcPr>
            <w:tcW w:w="0" w:type="dxa"/>
            <w:vAlign w:val="bottom"/>
          </w:tcPr>
          <w:p>
            <w:pPr>
              <w:spacing w:after="0"/>
              <w:rPr>
                <w:sz w:val="1"/>
                <w:szCs w:val="1"/>
                <w:color w:val="auto"/>
              </w:rPr>
            </w:pPr>
          </w:p>
        </w:tc>
      </w:tr>
      <w:tr>
        <w:trPr>
          <w:trHeight w:val="81"/>
        </w:trPr>
        <w:tc>
          <w:tcPr>
            <w:tcW w:w="2600" w:type="dxa"/>
            <w:vAlign w:val="bottom"/>
            <w:tcBorders>
              <w:left w:val="single" w:sz="8" w:color="auto"/>
              <w:right w:val="single" w:sz="8" w:color="auto"/>
            </w:tcBorders>
          </w:tcPr>
          <w:p>
            <w:pPr>
              <w:spacing w:after="0"/>
              <w:rPr>
                <w:sz w:val="7"/>
                <w:szCs w:val="7"/>
                <w:color w:val="auto"/>
              </w:rPr>
            </w:pPr>
          </w:p>
        </w:tc>
        <w:tc>
          <w:tcPr>
            <w:tcW w:w="4900" w:type="dxa"/>
            <w:vAlign w:val="bottom"/>
            <w:tcBorders>
              <w:right w:val="single" w:sz="8" w:color="auto"/>
            </w:tcBorders>
          </w:tcPr>
          <w:p>
            <w:pPr>
              <w:spacing w:after="0"/>
              <w:rPr>
                <w:sz w:val="7"/>
                <w:szCs w:val="7"/>
                <w:color w:val="auto"/>
              </w:rPr>
            </w:pP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600" w:type="dxa"/>
            <w:vAlign w:val="bottom"/>
            <w:tcBorders>
              <w:left w:val="single" w:sz="8" w:color="auto"/>
              <w:right w:val="single" w:sz="8" w:color="auto"/>
            </w:tcBorders>
          </w:tcPr>
          <w:p>
            <w:pPr>
              <w:spacing w:after="0"/>
              <w:rPr>
                <w:sz w:val="9"/>
                <w:szCs w:val="9"/>
                <w:color w:val="auto"/>
              </w:rPr>
            </w:pPr>
          </w:p>
        </w:tc>
        <w:tc>
          <w:tcPr>
            <w:tcW w:w="4900" w:type="dxa"/>
            <w:vAlign w:val="bottom"/>
            <w:tcBorders>
              <w:bottom w:val="single" w:sz="8" w:color="auto"/>
              <w:right w:val="single" w:sz="8" w:color="auto"/>
            </w:tcBorders>
          </w:tcPr>
          <w:p>
            <w:pPr>
              <w:spacing w:after="0"/>
              <w:rPr>
                <w:sz w:val="9"/>
                <w:szCs w:val="9"/>
                <w:color w:val="auto"/>
              </w:rPr>
            </w:pPr>
          </w:p>
        </w:tc>
        <w:tc>
          <w:tcPr>
            <w:tcW w:w="3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600" w:type="dxa"/>
            <w:vAlign w:val="bottom"/>
            <w:tcBorders>
              <w:left w:val="single" w:sz="8" w:color="auto"/>
              <w:right w:val="single" w:sz="8" w:color="auto"/>
            </w:tcBorders>
            <w:vMerge w:val="restart"/>
          </w:tcPr>
          <w:p>
            <w:pPr>
              <w:jc w:val="right"/>
              <w:ind w:right="1932"/>
              <w:spacing w:after="0"/>
              <w:rPr>
                <w:sz w:val="20"/>
                <w:szCs w:val="20"/>
                <w:color w:val="auto"/>
              </w:rPr>
            </w:pPr>
            <w:r>
              <w:rPr>
                <w:rFonts w:ascii="Times New Roman" w:cs="Times New Roman" w:eastAsia="Times New Roman" w:hAnsi="Times New Roman"/>
                <w:sz w:val="22"/>
                <w:szCs w:val="22"/>
                <w:color w:val="auto"/>
              </w:rPr>
              <w:t>[***]</w:t>
            </w:r>
          </w:p>
        </w:tc>
        <w:tc>
          <w:tcPr>
            <w:tcW w:w="490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rPr>
              <w:t>Portion of Annual Net Sales that exceeds $[***] up to</w:t>
            </w:r>
          </w:p>
        </w:tc>
        <w:tc>
          <w:tcPr>
            <w:tcW w:w="3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w:t>
            </w:r>
          </w:p>
        </w:tc>
        <w:tc>
          <w:tcPr>
            <w:tcW w:w="0" w:type="dxa"/>
            <w:vAlign w:val="bottom"/>
          </w:tcPr>
          <w:p>
            <w:pPr>
              <w:spacing w:after="0"/>
              <w:rPr>
                <w:sz w:val="1"/>
                <w:szCs w:val="1"/>
                <w:color w:val="auto"/>
              </w:rPr>
            </w:pPr>
          </w:p>
        </w:tc>
      </w:tr>
      <w:tr>
        <w:trPr>
          <w:trHeight w:val="282"/>
        </w:trPr>
        <w:tc>
          <w:tcPr>
            <w:tcW w:w="2600" w:type="dxa"/>
            <w:vAlign w:val="bottom"/>
            <w:tcBorders>
              <w:left w:val="single" w:sz="8" w:color="auto"/>
              <w:right w:val="single" w:sz="8" w:color="auto"/>
            </w:tcBorders>
            <w:vMerge w:val="continue"/>
          </w:tcPr>
          <w:p>
            <w:pPr>
              <w:spacing w:after="0"/>
              <w:rPr>
                <w:sz w:val="24"/>
                <w:szCs w:val="24"/>
                <w:color w:val="auto"/>
              </w:rPr>
            </w:pPr>
          </w:p>
        </w:tc>
        <w:tc>
          <w:tcPr>
            <w:tcW w:w="4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and including $[***]</w:t>
            </w:r>
          </w:p>
        </w:tc>
        <w:tc>
          <w:tcPr>
            <w:tcW w:w="376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600" w:type="dxa"/>
            <w:vAlign w:val="bottom"/>
            <w:tcBorders>
              <w:left w:val="single" w:sz="8" w:color="auto"/>
              <w:right w:val="single" w:sz="8" w:color="auto"/>
            </w:tcBorders>
          </w:tcPr>
          <w:p>
            <w:pPr>
              <w:spacing w:after="0"/>
              <w:rPr>
                <w:sz w:val="17"/>
                <w:szCs w:val="17"/>
                <w:color w:val="auto"/>
              </w:rPr>
            </w:pPr>
          </w:p>
        </w:tc>
        <w:tc>
          <w:tcPr>
            <w:tcW w:w="4900" w:type="dxa"/>
            <w:vAlign w:val="bottom"/>
            <w:tcBorders>
              <w:bottom w:val="single" w:sz="8" w:color="auto"/>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600" w:type="dxa"/>
            <w:vAlign w:val="bottom"/>
            <w:tcBorders>
              <w:left w:val="single" w:sz="8" w:color="auto"/>
              <w:right w:val="single" w:sz="8" w:color="auto"/>
            </w:tcBorders>
          </w:tcPr>
          <w:p>
            <w:pPr>
              <w:spacing w:after="0"/>
              <w:rPr>
                <w:sz w:val="23"/>
                <w:szCs w:val="23"/>
                <w:color w:val="auto"/>
              </w:rPr>
            </w:pPr>
          </w:p>
        </w:tc>
        <w:tc>
          <w:tcPr>
            <w:tcW w:w="4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Portion of Annual Net Sales that exceeds $[***]</w:t>
            </w:r>
          </w:p>
        </w:tc>
        <w:tc>
          <w:tcPr>
            <w:tcW w:w="3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w:t>
            </w:r>
          </w:p>
        </w:tc>
        <w:tc>
          <w:tcPr>
            <w:tcW w:w="0" w:type="dxa"/>
            <w:vAlign w:val="bottom"/>
          </w:tcPr>
          <w:p>
            <w:pPr>
              <w:spacing w:after="0"/>
              <w:rPr>
                <w:sz w:val="1"/>
                <w:szCs w:val="1"/>
                <w:color w:val="auto"/>
              </w:rPr>
            </w:pPr>
          </w:p>
        </w:tc>
      </w:tr>
      <w:tr>
        <w:trPr>
          <w:trHeight w:val="81"/>
        </w:trPr>
        <w:tc>
          <w:tcPr>
            <w:tcW w:w="2600" w:type="dxa"/>
            <w:vAlign w:val="bottom"/>
            <w:tcBorders>
              <w:left w:val="single" w:sz="8" w:color="auto"/>
              <w:right w:val="single" w:sz="8" w:color="auto"/>
            </w:tcBorders>
          </w:tcPr>
          <w:p>
            <w:pPr>
              <w:spacing w:after="0"/>
              <w:rPr>
                <w:sz w:val="7"/>
                <w:szCs w:val="7"/>
                <w:color w:val="auto"/>
              </w:rPr>
            </w:pPr>
          </w:p>
        </w:tc>
        <w:tc>
          <w:tcPr>
            <w:tcW w:w="4900" w:type="dxa"/>
            <w:vAlign w:val="bottom"/>
            <w:tcBorders>
              <w:right w:val="single" w:sz="8" w:color="auto"/>
            </w:tcBorders>
          </w:tcPr>
          <w:p>
            <w:pPr>
              <w:spacing w:after="0"/>
              <w:rPr>
                <w:sz w:val="7"/>
                <w:szCs w:val="7"/>
                <w:color w:val="auto"/>
              </w:rPr>
            </w:pP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600" w:type="dxa"/>
            <w:vAlign w:val="bottom"/>
            <w:tcBorders>
              <w:left w:val="single" w:sz="8" w:color="auto"/>
              <w:bottom w:val="single" w:sz="8" w:color="auto"/>
              <w:right w:val="single" w:sz="8" w:color="auto"/>
            </w:tcBorders>
          </w:tcPr>
          <w:p>
            <w:pPr>
              <w:spacing w:after="0"/>
              <w:rPr>
                <w:sz w:val="9"/>
                <w:szCs w:val="9"/>
                <w:color w:val="auto"/>
              </w:rPr>
            </w:pPr>
          </w:p>
        </w:tc>
        <w:tc>
          <w:tcPr>
            <w:tcW w:w="4900" w:type="dxa"/>
            <w:vAlign w:val="bottom"/>
            <w:tcBorders>
              <w:bottom w:val="single" w:sz="8" w:color="auto"/>
              <w:right w:val="single" w:sz="8" w:color="auto"/>
            </w:tcBorders>
          </w:tcPr>
          <w:p>
            <w:pPr>
              <w:spacing w:after="0"/>
              <w:rPr>
                <w:sz w:val="9"/>
                <w:szCs w:val="9"/>
                <w:color w:val="auto"/>
              </w:rPr>
            </w:pPr>
          </w:p>
        </w:tc>
        <w:tc>
          <w:tcPr>
            <w:tcW w:w="3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2600" w:type="dxa"/>
            <w:vAlign w:val="bottom"/>
            <w:tcBorders>
              <w:left w:val="single" w:sz="8" w:color="auto"/>
              <w:right w:val="single" w:sz="8" w:color="auto"/>
            </w:tcBorders>
          </w:tcPr>
          <w:p>
            <w:pPr>
              <w:spacing w:after="0"/>
              <w:rPr>
                <w:sz w:val="23"/>
                <w:szCs w:val="23"/>
                <w:color w:val="auto"/>
              </w:rPr>
            </w:pPr>
          </w:p>
        </w:tc>
        <w:tc>
          <w:tcPr>
            <w:tcW w:w="4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w w:val="98"/>
              </w:rPr>
              <w:t>Portion of Annual Net Sales up to and including $[***]</w:t>
            </w:r>
          </w:p>
        </w:tc>
        <w:tc>
          <w:tcPr>
            <w:tcW w:w="3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w:t>
            </w:r>
          </w:p>
        </w:tc>
        <w:tc>
          <w:tcPr>
            <w:tcW w:w="0" w:type="dxa"/>
            <w:vAlign w:val="bottom"/>
          </w:tcPr>
          <w:p>
            <w:pPr>
              <w:spacing w:after="0"/>
              <w:rPr>
                <w:sz w:val="1"/>
                <w:szCs w:val="1"/>
                <w:color w:val="auto"/>
              </w:rPr>
            </w:pPr>
          </w:p>
        </w:tc>
      </w:tr>
      <w:tr>
        <w:trPr>
          <w:trHeight w:val="81"/>
        </w:trPr>
        <w:tc>
          <w:tcPr>
            <w:tcW w:w="2600" w:type="dxa"/>
            <w:vAlign w:val="bottom"/>
            <w:tcBorders>
              <w:left w:val="single" w:sz="8" w:color="auto"/>
              <w:right w:val="single" w:sz="8" w:color="auto"/>
            </w:tcBorders>
          </w:tcPr>
          <w:p>
            <w:pPr>
              <w:spacing w:after="0"/>
              <w:rPr>
                <w:sz w:val="7"/>
                <w:szCs w:val="7"/>
                <w:color w:val="auto"/>
              </w:rPr>
            </w:pPr>
          </w:p>
        </w:tc>
        <w:tc>
          <w:tcPr>
            <w:tcW w:w="4900" w:type="dxa"/>
            <w:vAlign w:val="bottom"/>
            <w:tcBorders>
              <w:right w:val="single" w:sz="8" w:color="auto"/>
            </w:tcBorders>
          </w:tcPr>
          <w:p>
            <w:pPr>
              <w:spacing w:after="0"/>
              <w:rPr>
                <w:sz w:val="7"/>
                <w:szCs w:val="7"/>
                <w:color w:val="auto"/>
              </w:rPr>
            </w:pP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600" w:type="dxa"/>
            <w:vAlign w:val="bottom"/>
            <w:tcBorders>
              <w:left w:val="single" w:sz="8" w:color="auto"/>
              <w:right w:val="single" w:sz="8" w:color="auto"/>
            </w:tcBorders>
          </w:tcPr>
          <w:p>
            <w:pPr>
              <w:spacing w:after="0"/>
              <w:rPr>
                <w:sz w:val="9"/>
                <w:szCs w:val="9"/>
                <w:color w:val="auto"/>
              </w:rPr>
            </w:pPr>
          </w:p>
        </w:tc>
        <w:tc>
          <w:tcPr>
            <w:tcW w:w="4900" w:type="dxa"/>
            <w:vAlign w:val="bottom"/>
            <w:tcBorders>
              <w:bottom w:val="single" w:sz="8" w:color="auto"/>
              <w:right w:val="single" w:sz="8" w:color="auto"/>
            </w:tcBorders>
          </w:tcPr>
          <w:p>
            <w:pPr>
              <w:spacing w:after="0"/>
              <w:rPr>
                <w:sz w:val="9"/>
                <w:szCs w:val="9"/>
                <w:color w:val="auto"/>
              </w:rPr>
            </w:pPr>
          </w:p>
        </w:tc>
        <w:tc>
          <w:tcPr>
            <w:tcW w:w="3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600" w:type="dxa"/>
            <w:vAlign w:val="bottom"/>
            <w:tcBorders>
              <w:left w:val="single" w:sz="8" w:color="auto"/>
              <w:right w:val="single" w:sz="8" w:color="auto"/>
            </w:tcBorders>
            <w:vMerge w:val="restart"/>
          </w:tcPr>
          <w:p>
            <w:pPr>
              <w:jc w:val="right"/>
              <w:ind w:right="1932"/>
              <w:spacing w:after="0"/>
              <w:rPr>
                <w:sz w:val="20"/>
                <w:szCs w:val="20"/>
                <w:color w:val="auto"/>
              </w:rPr>
            </w:pPr>
            <w:r>
              <w:rPr>
                <w:rFonts w:ascii="Times New Roman" w:cs="Times New Roman" w:eastAsia="Times New Roman" w:hAnsi="Times New Roman"/>
                <w:sz w:val="22"/>
                <w:szCs w:val="22"/>
                <w:color w:val="auto"/>
              </w:rPr>
              <w:t>[***]</w:t>
            </w:r>
          </w:p>
        </w:tc>
        <w:tc>
          <w:tcPr>
            <w:tcW w:w="490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rPr>
              <w:t>Portion of Annual Net Sales that exceeds $[***] up to</w:t>
            </w:r>
          </w:p>
        </w:tc>
        <w:tc>
          <w:tcPr>
            <w:tcW w:w="3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w:t>
            </w:r>
          </w:p>
        </w:tc>
        <w:tc>
          <w:tcPr>
            <w:tcW w:w="0" w:type="dxa"/>
            <w:vAlign w:val="bottom"/>
          </w:tcPr>
          <w:p>
            <w:pPr>
              <w:spacing w:after="0"/>
              <w:rPr>
                <w:sz w:val="1"/>
                <w:szCs w:val="1"/>
                <w:color w:val="auto"/>
              </w:rPr>
            </w:pPr>
          </w:p>
        </w:tc>
      </w:tr>
      <w:tr>
        <w:trPr>
          <w:trHeight w:val="282"/>
        </w:trPr>
        <w:tc>
          <w:tcPr>
            <w:tcW w:w="2600" w:type="dxa"/>
            <w:vAlign w:val="bottom"/>
            <w:tcBorders>
              <w:left w:val="single" w:sz="8" w:color="auto"/>
              <w:right w:val="single" w:sz="8" w:color="auto"/>
            </w:tcBorders>
            <w:vMerge w:val="continue"/>
          </w:tcPr>
          <w:p>
            <w:pPr>
              <w:spacing w:after="0"/>
              <w:rPr>
                <w:sz w:val="24"/>
                <w:szCs w:val="24"/>
                <w:color w:val="auto"/>
              </w:rPr>
            </w:pPr>
          </w:p>
        </w:tc>
        <w:tc>
          <w:tcPr>
            <w:tcW w:w="4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and including $1,000,000,000</w:t>
            </w:r>
          </w:p>
        </w:tc>
        <w:tc>
          <w:tcPr>
            <w:tcW w:w="376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600" w:type="dxa"/>
            <w:vAlign w:val="bottom"/>
            <w:tcBorders>
              <w:left w:val="single" w:sz="8" w:color="auto"/>
              <w:right w:val="single" w:sz="8" w:color="auto"/>
            </w:tcBorders>
          </w:tcPr>
          <w:p>
            <w:pPr>
              <w:spacing w:after="0"/>
              <w:rPr>
                <w:sz w:val="17"/>
                <w:szCs w:val="17"/>
                <w:color w:val="auto"/>
              </w:rPr>
            </w:pPr>
          </w:p>
        </w:tc>
        <w:tc>
          <w:tcPr>
            <w:tcW w:w="4900" w:type="dxa"/>
            <w:vAlign w:val="bottom"/>
            <w:tcBorders>
              <w:bottom w:val="single" w:sz="8" w:color="auto"/>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600" w:type="dxa"/>
            <w:vAlign w:val="bottom"/>
            <w:tcBorders>
              <w:left w:val="single" w:sz="8" w:color="auto"/>
              <w:right w:val="single" w:sz="8" w:color="auto"/>
            </w:tcBorders>
          </w:tcPr>
          <w:p>
            <w:pPr>
              <w:spacing w:after="0"/>
              <w:rPr>
                <w:sz w:val="23"/>
                <w:szCs w:val="23"/>
                <w:color w:val="auto"/>
              </w:rPr>
            </w:pPr>
          </w:p>
        </w:tc>
        <w:tc>
          <w:tcPr>
            <w:tcW w:w="4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Portion of Annual Net Sales that exceeds $[***]</w:t>
            </w:r>
          </w:p>
        </w:tc>
        <w:tc>
          <w:tcPr>
            <w:tcW w:w="3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w:t>
            </w:r>
          </w:p>
        </w:tc>
        <w:tc>
          <w:tcPr>
            <w:tcW w:w="0" w:type="dxa"/>
            <w:vAlign w:val="bottom"/>
          </w:tcPr>
          <w:p>
            <w:pPr>
              <w:spacing w:after="0"/>
              <w:rPr>
                <w:sz w:val="1"/>
                <w:szCs w:val="1"/>
                <w:color w:val="auto"/>
              </w:rPr>
            </w:pPr>
          </w:p>
        </w:tc>
      </w:tr>
      <w:tr>
        <w:trPr>
          <w:trHeight w:val="81"/>
        </w:trPr>
        <w:tc>
          <w:tcPr>
            <w:tcW w:w="2600" w:type="dxa"/>
            <w:vAlign w:val="bottom"/>
            <w:tcBorders>
              <w:left w:val="single" w:sz="8" w:color="auto"/>
              <w:right w:val="single" w:sz="8" w:color="auto"/>
            </w:tcBorders>
          </w:tcPr>
          <w:p>
            <w:pPr>
              <w:spacing w:after="0"/>
              <w:rPr>
                <w:sz w:val="7"/>
                <w:szCs w:val="7"/>
                <w:color w:val="auto"/>
              </w:rPr>
            </w:pPr>
          </w:p>
        </w:tc>
        <w:tc>
          <w:tcPr>
            <w:tcW w:w="4900" w:type="dxa"/>
            <w:vAlign w:val="bottom"/>
            <w:tcBorders>
              <w:right w:val="single" w:sz="8" w:color="auto"/>
            </w:tcBorders>
          </w:tcPr>
          <w:p>
            <w:pPr>
              <w:spacing w:after="0"/>
              <w:rPr>
                <w:sz w:val="7"/>
                <w:szCs w:val="7"/>
                <w:color w:val="auto"/>
              </w:rPr>
            </w:pP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600" w:type="dxa"/>
            <w:vAlign w:val="bottom"/>
            <w:tcBorders>
              <w:left w:val="single" w:sz="8" w:color="auto"/>
              <w:bottom w:val="single" w:sz="8" w:color="auto"/>
              <w:right w:val="single" w:sz="8" w:color="auto"/>
            </w:tcBorders>
          </w:tcPr>
          <w:p>
            <w:pPr>
              <w:spacing w:after="0"/>
              <w:rPr>
                <w:sz w:val="9"/>
                <w:szCs w:val="9"/>
                <w:color w:val="auto"/>
              </w:rPr>
            </w:pPr>
          </w:p>
        </w:tc>
        <w:tc>
          <w:tcPr>
            <w:tcW w:w="4900" w:type="dxa"/>
            <w:vAlign w:val="bottom"/>
            <w:tcBorders>
              <w:bottom w:val="single" w:sz="8" w:color="auto"/>
              <w:right w:val="single" w:sz="8" w:color="auto"/>
            </w:tcBorders>
          </w:tcPr>
          <w:p>
            <w:pPr>
              <w:spacing w:after="0"/>
              <w:rPr>
                <w:sz w:val="9"/>
                <w:szCs w:val="9"/>
                <w:color w:val="auto"/>
              </w:rPr>
            </w:pPr>
          </w:p>
        </w:tc>
        <w:tc>
          <w:tcPr>
            <w:tcW w:w="3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jc w:val="both"/>
        <w:ind w:right="20" w:firstLine="2600"/>
        <w:spacing w:after="0" w:line="215" w:lineRule="auto"/>
        <w:tabs>
          <w:tab w:leader="none" w:pos="3163"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consideration for the license granted under other Patents and Know-How in accordance with Section 9.6.2(g)(ii), the Parties will negotiate economics at the time notice is given for such termination;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Parties are not able to resolve any dispute regarding such economics within [***] of the start of such negotiations, then such dispute will be escalated to the Executive Officers in accordance with Section 11.12.1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that if the Executive Officers are unable to resolve such dispute within [***] (or such other period of time as mutually agreed by the Executive Officers), then such dispute will be resolved in accordance with </w:t>
      </w:r>
      <w:r>
        <w:rPr>
          <w:rFonts w:ascii="Times New Roman" w:cs="Times New Roman" w:eastAsia="Times New Roman" w:hAnsi="Times New Roman"/>
          <w:sz w:val="22"/>
          <w:szCs w:val="22"/>
          <w:u w:val="single" w:color="auto"/>
          <w:color w:val="auto"/>
        </w:rPr>
        <w:t>Schedule 1.19</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 xml:space="preserve">The terms of Sections 1.117, 5.4.2, 5.4.3, 5.4.4, 5.4.5, 5.4.6, 5.9, 5.10 and 5.11 will apply with respect to Company’s payment of such royalty under this Section 9.6.2(h),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Notwithstanding the foregoing, the royalties set forth in this Section 9.6.2(h) will not apply if Company elects not to receive the license set forth in Section 9.6.2(g);</w:t>
      </w:r>
    </w:p>
    <w:p>
      <w:pPr>
        <w:spacing w:after="0" w:line="153" w:lineRule="exact"/>
        <w:rPr>
          <w:sz w:val="20"/>
          <w:szCs w:val="20"/>
          <w:color w:val="auto"/>
        </w:rPr>
      </w:pPr>
    </w:p>
    <w:p>
      <w:pPr>
        <w:jc w:val="both"/>
        <w:ind w:right="20" w:firstLine="1952"/>
        <w:spacing w:after="0" w:line="220" w:lineRule="auto"/>
        <w:tabs>
          <w:tab w:leader="none" w:pos="2577"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with respect to any termination by Vertex under Section 9.2.3(a), effective upon such termination, Company will have the right, but not the obligation, to purchase all of Vertex and its Affiliates’ remaining inventory of Licensed Agents and Products held as of the effective date of termination of this Agreement at a price equal to Vertex’s Manufacturing Cost;</w:t>
      </w:r>
    </w:p>
    <w:p>
      <w:pPr>
        <w:spacing w:after="0" w:line="152" w:lineRule="exact"/>
        <w:rPr>
          <w:rFonts w:ascii="Times New Roman" w:cs="Times New Roman" w:eastAsia="Times New Roman" w:hAnsi="Times New Roman"/>
          <w:sz w:val="22"/>
          <w:szCs w:val="22"/>
          <w:color w:val="auto"/>
        </w:rPr>
      </w:pPr>
    </w:p>
    <w:p>
      <w:pPr>
        <w:jc w:val="both"/>
        <w:ind w:right="20" w:firstLine="1952"/>
        <w:spacing w:after="0" w:line="220" w:lineRule="auto"/>
        <w:tabs>
          <w:tab w:leader="none" w:pos="2577"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with respect to any termination by Vertex under Section 9.2.3(a), effective upon such termination, Vertex hereby assigns to Company all of Vertex’s worldwide right, title and interest in and to any trademarks that is specific to and exclusively used for any Product (it being understood that the foregoing will not include any trademarks that contain the corporate or business name(s) or logo(s) of Vertex or any of its Affiliates or Sublicensees); and</w:t>
      </w:r>
    </w:p>
    <w:p>
      <w:pPr>
        <w:spacing w:after="0" w:line="152" w:lineRule="exact"/>
        <w:rPr>
          <w:rFonts w:ascii="Times New Roman" w:cs="Times New Roman" w:eastAsia="Times New Roman" w:hAnsi="Times New Roman"/>
          <w:sz w:val="22"/>
          <w:szCs w:val="22"/>
          <w:color w:val="auto"/>
        </w:rPr>
      </w:pPr>
    </w:p>
    <w:p>
      <w:pPr>
        <w:jc w:val="both"/>
        <w:ind w:right="20" w:firstLine="1952"/>
        <w:spacing w:after="0" w:line="217" w:lineRule="auto"/>
        <w:tabs>
          <w:tab w:leader="none" w:pos="2491"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with respect to any termination by Vertex under Section 9.2.3(a), upon Company’s request, Vertex agrees to discuss in good faith and reasonably cooperate with Company with respect to the assignment and transfer to Company of Vertex’s right, title and interest in and to any agreements between Vertex or any of its Affiliates and Third Parties that relate exclusively to the Development, Manufacture or Commercialization of any Licensed Agents or Products (including any Third Party licenses or sublicenses).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60"/>
          </w:cols>
          <w:pgMar w:left="320" w:top="1440" w:right="319" w:bottom="1440" w:gutter="0" w:footer="0" w:header="0"/>
        </w:sectPr>
      </w:pPr>
    </w:p>
    <w:bookmarkStart w:id="316" w:name="page317"/>
    <w:bookmarkEnd w:id="316"/>
    <w:p>
      <w:pPr>
        <w:jc w:val="center"/>
        <w:spacing w:after="0"/>
        <w:rPr>
          <w:sz w:val="20"/>
          <w:szCs w:val="20"/>
          <w:color w:val="auto"/>
        </w:rPr>
      </w:pPr>
      <w:r>
        <w:rPr>
          <w:rFonts w:ascii="Times New Roman" w:cs="Times New Roman" w:eastAsia="Times New Roman" w:hAnsi="Times New Roman"/>
          <w:sz w:val="22"/>
          <w:szCs w:val="22"/>
          <w:b w:val="1"/>
          <w:bCs w:val="1"/>
          <w:color w:val="auto"/>
        </w:rPr>
        <w:t>ARTICLE 10.</w:t>
      </w: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w:t>
      </w:r>
    </w:p>
    <w:p>
      <w:pPr>
        <w:spacing w:after="0" w:line="151"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color w:val="auto"/>
        </w:rPr>
        <w:t>. During the Term and for [***] thereafter, each Party (the “</w:t>
      </w:r>
      <w:r>
        <w:rPr>
          <w:rFonts w:ascii="Times New Roman" w:cs="Times New Roman" w:eastAsia="Times New Roman" w:hAnsi="Times New Roman"/>
          <w:sz w:val="22"/>
          <w:szCs w:val="22"/>
          <w:b w:val="1"/>
          <w:bCs w:val="1"/>
          <w:color w:val="auto"/>
        </w:rPr>
        <w:t>Receiving Party</w:t>
      </w:r>
      <w:r>
        <w:rPr>
          <w:rFonts w:ascii="Times New Roman" w:cs="Times New Roman" w:eastAsia="Times New Roman" w:hAnsi="Times New Roman"/>
          <w:sz w:val="22"/>
          <w:szCs w:val="22"/>
          <w:color w:val="auto"/>
        </w:rPr>
        <w:t>”) receiving any Confidential Information of the other Party (the “</w:t>
      </w:r>
      <w:r>
        <w:rPr>
          <w:rFonts w:ascii="Times New Roman" w:cs="Times New Roman" w:eastAsia="Times New Roman" w:hAnsi="Times New Roman"/>
          <w:sz w:val="22"/>
          <w:szCs w:val="22"/>
          <w:b w:val="1"/>
          <w:bCs w:val="1"/>
          <w:color w:val="auto"/>
        </w:rPr>
        <w:t>Disclosing Party</w:t>
      </w:r>
      <w:r>
        <w:rPr>
          <w:rFonts w:ascii="Times New Roman" w:cs="Times New Roman" w:eastAsia="Times New Roman" w:hAnsi="Times New Roman"/>
          <w:sz w:val="22"/>
          <w:szCs w:val="22"/>
          <w:color w:val="auto"/>
        </w:rPr>
        <w:t>”) hereunder will: (a) keep the Disclosing Party’s Confidential Information confidential; (b) not publish, or allow to be published, and will not otherwise disclose, or permit the disclosure of, the Disclosing Party’s Confidential Information; and (c) not use, or permit to be used, the Disclosing Party’s Confidential Information for any purpose, except, in each case, to the extent expressly permitted under this Agreement (including, for clarity, to exercise any of its rights and perform any of its obligations) or otherwise agreed in writing. Without limiting the generality of the foregoing, to the extent that either Party provides the other Party any Confidential Information owned by any Third Party, the Receiving Party will handle such Confidential Information in accordance with the terms of this ARTICLE 10 applicable to a Receiving Party.</w:t>
      </w:r>
    </w:p>
    <w:p>
      <w:pPr>
        <w:spacing w:after="0" w:line="14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b w:val="1"/>
          <w:bCs w:val="1"/>
          <w:u w:val="single" w:color="auto"/>
          <w:color w:val="auto"/>
        </w:rPr>
        <w:t>Authorized Disclosure</w:t>
      </w:r>
      <w:r>
        <w:rPr>
          <w:rFonts w:ascii="Times New Roman" w:cs="Times New Roman" w:eastAsia="Times New Roman" w:hAnsi="Times New Roman"/>
          <w:sz w:val="22"/>
          <w:szCs w:val="22"/>
          <w:color w:val="auto"/>
        </w:rPr>
        <w:t>. Notwithstanding Section 10.1, each Party may disclose the other Party’s Confidential Information to the extent such disclosure is reasonably necessary to:</w:t>
      </w:r>
    </w:p>
    <w:p>
      <w:pPr>
        <w:spacing w:after="0" w:line="150" w:lineRule="exact"/>
        <w:rPr>
          <w:sz w:val="20"/>
          <w:szCs w:val="20"/>
          <w:color w:val="auto"/>
        </w:rPr>
      </w:pPr>
    </w:p>
    <w:p>
      <w:pPr>
        <w:ind w:firstLine="1952"/>
        <w:spacing w:after="0" w:line="236" w:lineRule="auto"/>
        <w:tabs>
          <w:tab w:leader="none" w:pos="2578"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discussion between the Parties of such disclosure through the IP Committee, file or prosecute patent applications as contemplated by this Agreement;</w:t>
      </w:r>
    </w:p>
    <w:p>
      <w:pPr>
        <w:spacing w:after="0" w:line="150"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remainder of this Section 10.2, prosecute or defend litigation;</w:t>
      </w:r>
    </w:p>
    <w:p>
      <w:pPr>
        <w:spacing w:after="0" w:line="175" w:lineRule="exact"/>
        <w:rPr>
          <w:rFonts w:ascii="Times New Roman" w:cs="Times New Roman" w:eastAsia="Times New Roman" w:hAnsi="Times New Roman"/>
          <w:sz w:val="22"/>
          <w:szCs w:val="22"/>
          <w:color w:val="auto"/>
        </w:rPr>
      </w:pPr>
    </w:p>
    <w:p>
      <w:pPr>
        <w:jc w:val="both"/>
        <w:ind w:firstLine="1952"/>
        <w:spacing w:after="0" w:line="227" w:lineRule="auto"/>
        <w:tabs>
          <w:tab w:leader="none" w:pos="2436"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exercise its rights and perform its obligations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disclosure is covered by terms of confidentiality similar to those set forth herein (except with respect to the duration of such terms which will be commercially reasonable under the circumstances);</w:t>
      </w:r>
    </w:p>
    <w:p>
      <w:pPr>
        <w:spacing w:after="0" w:line="150" w:lineRule="exact"/>
        <w:rPr>
          <w:rFonts w:ascii="Times New Roman" w:cs="Times New Roman" w:eastAsia="Times New Roman" w:hAnsi="Times New Roman"/>
          <w:sz w:val="22"/>
          <w:szCs w:val="22"/>
          <w:color w:val="auto"/>
        </w:rPr>
      </w:pPr>
    </w:p>
    <w:p>
      <w:pPr>
        <w:jc w:val="both"/>
        <w:ind w:firstLine="1952"/>
        <w:spacing w:after="0" w:line="217" w:lineRule="auto"/>
        <w:tabs>
          <w:tab w:leader="none" w:pos="2439"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remainder of this Section 10.2, its advisors (including financial advisors, attorneys and accountants), actual or potential acquisition partners, financing sources, investors, underwriters or sub(licensees) on a need to know basis;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disclosure is covered by terms of confidentiality similar to those set forth herein (except with respect to the duration of such terms which will be commercially reasonable under the circumstances) which may include professional ethical obligations;</w:t>
      </w:r>
    </w:p>
    <w:p>
      <w:pPr>
        <w:spacing w:after="0" w:line="152"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remainder of this Section 10.2, comply with Applicable Law; or</w:t>
      </w:r>
    </w:p>
    <w:p>
      <w:pPr>
        <w:spacing w:after="0" w:line="179"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 such Confidential Information in Regulatory Filings.</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In addition to the foregoing, each Party may disclose the other Party’s Confidential Information to Third Parties (other than an actual or potential competitor of such Party) in connection with its obligations under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disclosure is covered by terms of confidentiality similar to those set forth herein.</w:t>
      </w:r>
    </w:p>
    <w:p>
      <w:pPr>
        <w:spacing w:after="0" w:line="15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If a Party deems it reasonably necessary to disclose Confidential Information belonging to the other Party pursuant to Sections 10.2(b) or 10.2(e), the disclosing Party will, to the extent possible, give reasonable advance notice of such disclosure to the other Party and take reasonable measures to ensure confidential treatment of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382" w:right="339" w:bottom="1440" w:gutter="0" w:footer="0" w:header="0"/>
        </w:sectPr>
      </w:pPr>
    </w:p>
    <w:bookmarkStart w:id="317" w:name="page318"/>
    <w:bookmarkEnd w:id="317"/>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b w:val="1"/>
          <w:bCs w:val="1"/>
          <w:u w:val="single" w:color="auto"/>
          <w:color w:val="auto"/>
        </w:rPr>
        <w:t>Expiration or Termination of this Agreement</w:t>
      </w:r>
      <w:r>
        <w:rPr>
          <w:rFonts w:ascii="Times New Roman" w:cs="Times New Roman" w:eastAsia="Times New Roman" w:hAnsi="Times New Roman"/>
          <w:sz w:val="22"/>
          <w:szCs w:val="22"/>
          <w:color w:val="auto"/>
        </w:rPr>
        <w:t>. Following the expiration or termination of this Agreement, if requested by the Disclosing Party, the Receiving Party will return or destroy, at the Receiving Party’s election, all data, files, records and other materials containing or comprising the Disclosing Party’s Confidential Information, except to the extent such Confidential Information is necessary or useful to conduct surviving obligations or exercise surviving rights. Notwithstanding the foregoing, (a) the Receiving Party will be permitted to retain one copy of such data, files, records, and other materials for archival and legal compliance purposes and (b) the Receiving Party will not be required to delete or destroy any electronic back-up tapes or other electronic back-up files that have been created solely by the Receiving Party’s or its Affiliate’s automatic or routine archiving and back-up procedures, to the extent created and retained in a manner consistent with its or their standard archiving and back-up procedures.</w:t>
      </w:r>
    </w:p>
    <w:p>
      <w:pPr>
        <w:spacing w:after="0" w:line="14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b w:val="1"/>
          <w:bCs w:val="1"/>
          <w:u w:val="single" w:color="auto"/>
          <w:color w:val="auto"/>
        </w:rPr>
        <w:t>Applicable Law; SEC Filings and Other Disclosures</w:t>
      </w:r>
      <w:r>
        <w:rPr>
          <w:rFonts w:ascii="Times New Roman" w:cs="Times New Roman" w:eastAsia="Times New Roman" w:hAnsi="Times New Roman"/>
          <w:sz w:val="22"/>
          <w:szCs w:val="22"/>
          <w:color w:val="auto"/>
        </w:rPr>
        <w:t xml:space="preserve">. Either Party may disclose the terms of this Agreement or activities performed hereunder to the extent required to comply with Applicable Law, including the rules and regulations promulgated by the United States Securities and Exchange Commission or any equivalent governmental agency in any country in the Territory;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such disclosure includes terms or information that have not previously been so disclosed, such Party will provide the other Party a reasonable opportunity to review such disclosure and reasonably consider the other Party’s comments regarding confidential treatment sought for such disclosure.</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10.5.</w:t>
      </w:r>
      <w:r>
        <w:rPr>
          <w:sz w:val="20"/>
          <w:szCs w:val="20"/>
          <w:color w:val="auto"/>
        </w:rPr>
        <w:tab/>
      </w:r>
      <w:r>
        <w:rPr>
          <w:rFonts w:ascii="Times New Roman" w:cs="Times New Roman" w:eastAsia="Times New Roman" w:hAnsi="Times New Roman"/>
          <w:sz w:val="22"/>
          <w:szCs w:val="22"/>
          <w:b w:val="1"/>
          <w:bCs w:val="1"/>
          <w:u w:val="single" w:color="auto"/>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10.6.</w:t>
      </w:r>
      <w:r>
        <w:rPr>
          <w:sz w:val="20"/>
          <w:szCs w:val="20"/>
          <w:color w:val="auto"/>
        </w:rPr>
        <w:tab/>
      </w:r>
      <w:r>
        <w:rPr>
          <w:rFonts w:ascii="Times New Roman" w:cs="Times New Roman" w:eastAsia="Times New Roman" w:hAnsi="Times New Roman"/>
          <w:sz w:val="21"/>
          <w:szCs w:val="21"/>
          <w:b w:val="1"/>
          <w:bCs w:val="1"/>
          <w:u w:val="single" w:color="auto"/>
          <w:color w:val="auto"/>
        </w:rPr>
        <w:t>Public Announcements; Publications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b w:val="1"/>
          <w:bCs w:val="1"/>
          <w:color w:val="auto"/>
        </w:rPr>
        <w:t>10.6.1. Announcements</w:t>
      </w:r>
      <w:r>
        <w:rPr>
          <w:rFonts w:ascii="Times New Roman" w:cs="Times New Roman" w:eastAsia="Times New Roman" w:hAnsi="Times New Roman"/>
          <w:sz w:val="21"/>
          <w:szCs w:val="21"/>
          <w:color w:val="auto"/>
        </w:rPr>
        <w:t>. On a date to be determined by Vertex, the Parties will jointly issue a press release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regarding the signing of this Agreement in a mutually agreed form. Except (a) as set forth in the preceding sentence or (b) as set forth in Section 10.4, neither Party will make any public announcement regarding this Agreement or activities hereunder without the prior written approval of the other Party. For clarity, either Party may make subsequent public announcement, including in corporate presentations and corporate websites, regarding this Agreement or activities hereunder that has already been approved by the other Party without the need to obtain additional written approval of the other Party provided that such subsequent public announcement remains correct at such time. Notwithstanding the foregoing, subject to Section 10.6.2, Vertex may make scientific publications or public announcements concerning its Research, Development, Manufacturing or Commercialization activities with respect to any Licensed Agent or Product under this Agreement without Company’s prior written approval.</w:t>
      </w:r>
    </w:p>
    <w:p>
      <w:pPr>
        <w:spacing w:after="0" w:line="150"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10.6.2. Publications. </w:t>
      </w:r>
      <w:r>
        <w:rPr>
          <w:rFonts w:ascii="Times New Roman" w:cs="Times New Roman" w:eastAsia="Times New Roman" w:hAnsi="Times New Roman"/>
          <w:sz w:val="22"/>
          <w:szCs w:val="22"/>
          <w:color w:val="auto"/>
        </w:rPr>
        <w:t>During the Term, each Party will submit to the other Party for review any proposed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academic, scientific and medical publication or academic, scientific and medical public presentation that, in the case of a Vertex publication or presentation, contains Company’s Confidential Information or is related to any Licensed Agent or Product or to any activities conducted pursuant to this Agreement, or, in the case of a Company publication or presentation, contains Vertex’s Confidential Information or is related to the structure or function of any EEV that is the same as the EEV in any Licensed Agent or related to any activities conducted pursuant to this Agreement ([***]). For clarity, either Party may make a subsequent publication or presentation that has already been approved by the other Party without the need to obtain additional written approval of the other Party, and if portions of a publication or presentation have already been approved and portions have not, only those portions that have not been approved previously will need to be submitted for review. The non-publishing Party will review such publication or presentation to determine whether any portion of the proposed publication or presentation contains its Confidential Information. The publishing Party will submit written copies of such proposed publication or presentation to the non-publishing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391" w:right="339" w:bottom="1440" w:gutter="0" w:footer="0" w:header="0"/>
        </w:sectPr>
      </w:pPr>
    </w:p>
    <w:bookmarkStart w:id="318" w:name="page319"/>
    <w:bookmarkEnd w:id="318"/>
    <w:p>
      <w:pPr>
        <w:jc w:val="both"/>
        <w:spacing w:after="0" w:line="210" w:lineRule="auto"/>
        <w:rPr>
          <w:sz w:val="20"/>
          <w:szCs w:val="20"/>
          <w:color w:val="auto"/>
        </w:rPr>
      </w:pPr>
      <w:r>
        <w:rPr>
          <w:rFonts w:ascii="Times New Roman" w:cs="Times New Roman" w:eastAsia="Times New Roman" w:hAnsi="Times New Roman"/>
          <w:sz w:val="22"/>
          <w:szCs w:val="22"/>
          <w:color w:val="auto"/>
        </w:rPr>
        <w:t xml:space="preserve">no later than [***] before submission for publication or presentation (or [***] in advance in the case of an abstract). The non-publishing Party will provide its comments with respect to such publications and presentations within [***] after its receipt of such written copy (or [***] in the case of an abstract). If requested by the non-publishing Party, the publishing Party will redact the non-publishing Party’s Confidential Information from any such proposed publication or presentation. In addition, Company will consider in good faith comments from Vertex to its proposed publications and presentations. The publishing Party will comply with standard academic practice regarding authorship of scientific publications and recognition of contribution of other parties in any publication. Except as set forth in this Section 10.6.2, Company will not publish, present or make any publication with respect to the Licensed Agents, Products or Licensed Technology specifically and solely related to the Licensed Agents or Products other than any publication pursuant to each third party agreements set forth on </w:t>
      </w:r>
      <w:r>
        <w:rPr>
          <w:rFonts w:ascii="Times New Roman" w:cs="Times New Roman" w:eastAsia="Times New Roman" w:hAnsi="Times New Roman"/>
          <w:sz w:val="22"/>
          <w:szCs w:val="22"/>
          <w:u w:val="single" w:color="auto"/>
          <w:color w:val="auto"/>
        </w:rPr>
        <w:t>Schedule 10.6.2</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b w:val="1"/>
          <w:bCs w:val="1"/>
          <w:color w:val="auto"/>
        </w:rPr>
        <w:t>Third Party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Publication</w:t>
      </w:r>
      <w:r>
        <w:rPr>
          <w:rFonts w:ascii="Times New Roman" w:cs="Times New Roman" w:eastAsia="Times New Roman" w:hAnsi="Times New Roman"/>
          <w:sz w:val="22"/>
          <w:szCs w:val="22"/>
          <w:color w:val="auto"/>
        </w:rPr>
        <w:t>”) without Vertex’s prior written approval, provided that Vertex will have the same review and comment rights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this Section 10.6.2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with respect to the Third Party Publications.</w:t>
      </w:r>
    </w:p>
    <w:p>
      <w:pPr>
        <w:spacing w:after="0" w:line="153"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10.7. </w:t>
      </w:r>
      <w:r>
        <w:rPr>
          <w:rFonts w:ascii="Times New Roman" w:cs="Times New Roman" w:eastAsia="Times New Roman" w:hAnsi="Times New Roman"/>
          <w:sz w:val="22"/>
          <w:szCs w:val="22"/>
          <w:b w:val="1"/>
          <w:bCs w:val="1"/>
          <w:u w:val="single" w:color="auto"/>
          <w:color w:val="auto"/>
        </w:rPr>
        <w:t>Vertex Information Rights</w:t>
      </w:r>
      <w:r>
        <w:rPr>
          <w:rFonts w:ascii="Times New Roman" w:cs="Times New Roman" w:eastAsia="Times New Roman" w:hAnsi="Times New Roman"/>
          <w:sz w:val="22"/>
          <w:szCs w:val="22"/>
          <w:color w:val="auto"/>
        </w:rPr>
        <w:t>. If Vertex determines in good faith that Company is an entity that is subject to financial consolidation with Vertex for the purposes of its quarterly and annual financial statements (or otherwise requires such information in order to comply with GAAP), Company will make available to Vertex:</w:t>
      </w:r>
    </w:p>
    <w:p>
      <w:pPr>
        <w:spacing w:after="0" w:line="150" w:lineRule="exact"/>
        <w:rPr>
          <w:sz w:val="20"/>
          <w:szCs w:val="20"/>
          <w:color w:val="auto"/>
        </w:rPr>
      </w:pPr>
    </w:p>
    <w:p>
      <w:pPr>
        <w:jc w:val="both"/>
        <w:ind w:firstLine="1952"/>
        <w:spacing w:after="0" w:line="215" w:lineRule="auto"/>
        <w:tabs>
          <w:tab w:leader="none" w:pos="2503"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but in any event within [***] after the end of each [***] (i) an unaudited balance sheet as of the end of such [***], (ii) unaudited statements of income and cash flows for such [***], (iii) an unaudited statement of stockholders’ equity for such period, and (iv) a detailed trial balance as of the end of such [***], all prepared in accordance with GAAP (except that such financial statements may (x) be subject to year-end audit adjustments and (y) not contain all notes thereto that may be required in accordance with GAAP) and thereafter will promptly provide such other information as Vertex may reasonably request;</w:t>
      </w:r>
    </w:p>
    <w:p>
      <w:pPr>
        <w:spacing w:after="0" w:line="152" w:lineRule="exact"/>
        <w:rPr>
          <w:rFonts w:ascii="Times New Roman" w:cs="Times New Roman" w:eastAsia="Times New Roman" w:hAnsi="Times New Roman"/>
          <w:sz w:val="22"/>
          <w:szCs w:val="22"/>
          <w:color w:val="auto"/>
        </w:rPr>
      </w:pPr>
    </w:p>
    <w:p>
      <w:pPr>
        <w:jc w:val="both"/>
        <w:ind w:firstLine="1952"/>
        <w:spacing w:after="0" w:line="231" w:lineRule="auto"/>
        <w:tabs>
          <w:tab w:leader="none" w:pos="2421"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practicable, but in any event within [***] after the end of each [***] (i) an audited balance sheet as of the end of such [***], (ii) audited statements of income and cash flows for such [***], (iii) an audited statement of stockholders’ equity for such [***] and (iv) a detailed trial balance as of the end of such [***], together with related footnotes all prepared in accordance with GAAP and audited and certified by a nationally recognized independent public accounting firm; and</w:t>
      </w:r>
    </w:p>
    <w:p>
      <w:pPr>
        <w:spacing w:after="0" w:line="150" w:lineRule="exact"/>
        <w:rPr>
          <w:rFonts w:ascii="Times New Roman" w:cs="Times New Roman" w:eastAsia="Times New Roman" w:hAnsi="Times New Roman"/>
          <w:sz w:val="21"/>
          <w:szCs w:val="21"/>
          <w:color w:val="auto"/>
        </w:rPr>
      </w:pPr>
    </w:p>
    <w:p>
      <w:pPr>
        <w:ind w:right="20" w:firstLine="1952"/>
        <w:spacing w:after="0" w:line="236" w:lineRule="auto"/>
        <w:tabs>
          <w:tab w:leader="none" w:pos="2447"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information or agreements requested by Vertex and reasonably necessary for the purposes of its quarterly and annual financial statements.</w:t>
      </w:r>
    </w:p>
    <w:p>
      <w:pPr>
        <w:spacing w:after="0" w:line="146"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10.8. </w:t>
      </w:r>
      <w:r>
        <w:rPr>
          <w:rFonts w:ascii="Times New Roman" w:cs="Times New Roman" w:eastAsia="Times New Roman" w:hAnsi="Times New Roman"/>
          <w:sz w:val="22"/>
          <w:szCs w:val="22"/>
          <w:b w:val="1"/>
          <w:bCs w:val="1"/>
          <w:u w:val="single" w:color="auto"/>
          <w:color w:val="auto"/>
        </w:rPr>
        <w:t>Transfer or Sale of Royalty Rights</w:t>
      </w:r>
      <w:r>
        <w:rPr>
          <w:rFonts w:ascii="Times New Roman" w:cs="Times New Roman" w:eastAsia="Times New Roman" w:hAnsi="Times New Roman"/>
          <w:sz w:val="22"/>
          <w:szCs w:val="22"/>
          <w:color w:val="auto"/>
        </w:rPr>
        <w:t>. In connection with the sale, assignment, transfer or pledge as a security of all or any part of the Rights, Company may disclose on an ongoing basis to any Third Party that has (or proposes to have) an interest (whether direct or indirect) in the Rights (each, a “</w:t>
      </w:r>
      <w:r>
        <w:rPr>
          <w:rFonts w:ascii="Times New Roman" w:cs="Times New Roman" w:eastAsia="Times New Roman" w:hAnsi="Times New Roman"/>
          <w:sz w:val="22"/>
          <w:szCs w:val="22"/>
          <w:b w:val="1"/>
          <w:bCs w:val="1"/>
          <w:color w:val="auto"/>
        </w:rPr>
        <w:t>Recipient</w:t>
      </w:r>
      <w:r>
        <w:rPr>
          <w:rFonts w:ascii="Times New Roman" w:cs="Times New Roman" w:eastAsia="Times New Roman" w:hAnsi="Times New Roman"/>
          <w:sz w:val="22"/>
          <w:szCs w:val="22"/>
          <w:color w:val="auto"/>
        </w:rPr>
        <w:t>”), and to such Recipient’s affiliates, auditors, bankers, co-investors, employees, insurance providers, investors, lenders, sublicensees or trustees (collectively “</w:t>
      </w:r>
      <w:r>
        <w:rPr>
          <w:rFonts w:ascii="Times New Roman" w:cs="Times New Roman" w:eastAsia="Times New Roman" w:hAnsi="Times New Roman"/>
          <w:sz w:val="22"/>
          <w:szCs w:val="22"/>
          <w:b w:val="1"/>
          <w:bCs w:val="1"/>
          <w:color w:val="auto"/>
        </w:rPr>
        <w:t>Representatives</w:t>
      </w:r>
      <w:r>
        <w:rPr>
          <w:rFonts w:ascii="Times New Roman" w:cs="Times New Roman" w:eastAsia="Times New Roman" w:hAnsi="Times New Roman"/>
          <w:sz w:val="22"/>
          <w:szCs w:val="22"/>
          <w:color w:val="auto"/>
        </w:rPr>
        <w:t>”), any or all of the following: (a) a Vertex-approved (such approval not be unreasonably withheld, conditioned or delayed) redacted copy of this Agreement and the Sublicense Agreement, including a redacted version of any amendments supplements and other modifications hereto, and a Vertex-approved (such approval not be unreasonably withheld, conditioned or delayed) redacted copy of any other agreement between Company and Vertex relating to the Rights and (b) (i) royalty reports provided by Vertex under Section 5.4.7 and (ii) notices, reports and correspondence provided under ARTICLE 6 hereof and ARTICLE 7 of the Sublicense Agreement and other notices, reports and correspondence relating to or involving this Agreement that could reasonably be expected to affect the Rights, in each case ((i) and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395" w:right="339" w:bottom="1440" w:gutter="0" w:footer="0" w:header="0"/>
        </w:sectPr>
      </w:pPr>
    </w:p>
    <w:bookmarkStart w:id="319" w:name="page320"/>
    <w:bookmarkEnd w:id="319"/>
    <w:p>
      <w:pPr>
        <w:jc w:val="both"/>
        <w:spacing w:after="0" w:line="217" w:lineRule="auto"/>
        <w:rPr>
          <w:sz w:val="20"/>
          <w:szCs w:val="20"/>
          <w:color w:val="auto"/>
        </w:rPr>
      </w:pPr>
      <w:r>
        <w:rPr>
          <w:rFonts w:ascii="Times New Roman" w:cs="Times New Roman" w:eastAsia="Times New Roman" w:hAnsi="Times New Roman"/>
          <w:sz w:val="22"/>
          <w:szCs w:val="22"/>
          <w:color w:val="auto"/>
        </w:rPr>
        <w:t>following Vertex’s prior approval on a case-by-case basis, which approval will not be unreasonably withheld, conditioned or delayed (collectively, the “</w:t>
      </w:r>
      <w:r>
        <w:rPr>
          <w:rFonts w:ascii="Times New Roman" w:cs="Times New Roman" w:eastAsia="Times New Roman" w:hAnsi="Times New Roman"/>
          <w:sz w:val="22"/>
          <w:szCs w:val="22"/>
          <w:b w:val="1"/>
          <w:bCs w:val="1"/>
          <w:color w:val="auto"/>
        </w:rPr>
        <w:t>Royalty Information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each such Recipient will agree, on behalf of itself and its Representatives, to keep such Royalty Information confidential on terms no less restrictive than those set forth in this Agreement pursuant to a non-disclosure agreement between Company (or an Affiliate of Company) and such Recipient that includes Vertex as a Third Party beneficiary to such non-disclosure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11.</w:t>
      </w: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51"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b w:val="1"/>
          <w:bCs w:val="1"/>
          <w:u w:val="single" w:color="auto"/>
          <w:color w:val="auto"/>
        </w:rPr>
        <w:t>Assignment</w:t>
      </w:r>
      <w:r>
        <w:rPr>
          <w:rFonts w:ascii="Times New Roman" w:cs="Times New Roman" w:eastAsia="Times New Roman" w:hAnsi="Times New Roman"/>
          <w:sz w:val="22"/>
          <w:szCs w:val="22"/>
          <w:color w:val="auto"/>
        </w:rPr>
        <w:t xml:space="preserve">. This Agreement will not be assignable by either Party to any Third Party without the written consent of the non-assigning Party. Notwithstanding the foregoing, either Party may assign this Agreement or its rights and obligations under this Agreement, without the written consent of the other Party, to an Affiliate or to a Third Party that acquires all or substantially all of the business or assets of such Party to which this Agreement relates (whether by merger, reorganization, acquisition, sale or otherwise), and agrees in writing to be bound by the terms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Affiliate or Third Party maintains the rights and abilities to perform the obligations of the assigning Party under this Agreement. The Parties agree that this Agreement and the Sublicense Agreement will always be assigned together to the same assignee;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upon termination of the OSIF Agreement, the Sublicense Agreement may be assigned to OSIF pursuant to 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8.6(a) of the OSIF Agreement. This Agreement will be binding upon the successors and permitted assigns of the Parties and the name of a Party appearing herein will be deemed to include the names of such Party’s successors and permitted assigns to the extent necessary to carry out the intent of this Agreement. Any assignment not in accordance with this Section 11.1 will be void. Notwithstanding anything to the contrary in this Agreement and subject to prior written notice by Company to Vertex, Company may sell, assign or otherwise transfer or pledge as a security all or any part of its rights to receive royalties and other related payments under this Agreement (collectively, “</w:t>
      </w:r>
      <w:r>
        <w:rPr>
          <w:rFonts w:ascii="Times New Roman" w:cs="Times New Roman" w:eastAsia="Times New Roman" w:hAnsi="Times New Roman"/>
          <w:sz w:val="22"/>
          <w:szCs w:val="22"/>
          <w:b w:val="1"/>
          <w:bCs w:val="1"/>
          <w:color w:val="auto"/>
        </w:rPr>
        <w:t>Rights</w:t>
      </w:r>
      <w:r>
        <w:rPr>
          <w:rFonts w:ascii="Times New Roman" w:cs="Times New Roman" w:eastAsia="Times New Roman" w:hAnsi="Times New Roman"/>
          <w:sz w:val="22"/>
          <w:szCs w:val="22"/>
          <w:color w:val="auto"/>
        </w:rPr>
        <w:t>”) without the prior consent of Vertex, and any permitted assignee, pledgee or other transferee of such Rights may likewise sell, assign or otherwise transfer or pledge as a security all or any part of such assignee, pledgee or other transferee’s Rights without the prior written consent of Vertex, and Company or such assignee, pledgee or other transferee may disclose Royalty Information in accordance with Section 10.8 as if such permitted assignee, pledgee or other transferee were Company.</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b w:val="1"/>
          <w:bCs w:val="1"/>
          <w:u w:val="single" w:color="auto"/>
          <w:color w:val="auto"/>
        </w:rPr>
        <w:t>Change of Control of Company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11.2.1. Notification</w:t>
      </w:r>
      <w:r>
        <w:rPr>
          <w:rFonts w:ascii="Times New Roman" w:cs="Times New Roman" w:eastAsia="Times New Roman" w:hAnsi="Times New Roman"/>
          <w:sz w:val="22"/>
          <w:szCs w:val="22"/>
          <w:color w:val="auto"/>
        </w:rPr>
        <w:t>. Company will notify Vertex in writing promptly (and in any event within [***])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execution of a definitive agreement by Company, its Affiliates or its equity holders that could reasonably be expected to result in a Change of Control of Company.</w:t>
      </w:r>
    </w:p>
    <w:p>
      <w:pPr>
        <w:spacing w:after="0" w:line="146"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11.2.2. Effects of Change of Control of Company</w:t>
      </w:r>
      <w:r>
        <w:rPr>
          <w:rFonts w:ascii="Times New Roman" w:cs="Times New Roman" w:eastAsia="Times New Roman" w:hAnsi="Times New Roman"/>
          <w:sz w:val="22"/>
          <w:szCs w:val="22"/>
          <w:color w:val="auto"/>
        </w:rPr>
        <w:t>. If during the Term Company undergoes a Change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in accordance with Section 4.7, upon the effective date of such Change of Control (a) Vertex’s obligation to provide Company with Research reports in accordance with Section 2.1.10 and Development reports in accordance with Section 2.2.2 will terminate; and (b) Vertex will have the option to terminate Company’s participation in the JRC and decisions that would have been made by the JRC but for such termination will be made solely by Vertex.</w:t>
      </w:r>
    </w:p>
    <w:p>
      <w:pPr>
        <w:spacing w:after="0" w:line="14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b w:val="1"/>
          <w:bCs w:val="1"/>
          <w:u w:val="single" w:color="auto"/>
          <w:color w:val="auto"/>
        </w:rPr>
        <w:t>Force Majeure</w:t>
      </w:r>
      <w:r>
        <w:rPr>
          <w:rFonts w:ascii="Times New Roman" w:cs="Times New Roman" w:eastAsia="Times New Roman" w:hAnsi="Times New Roman"/>
          <w:sz w:val="22"/>
          <w:szCs w:val="22"/>
          <w:color w:val="auto"/>
        </w:rPr>
        <w:t>. Each Party will be excused from the performance of its obligations under this Agreement to the extent that such performance is prevented by Force Majeure and the nonperforming Party promptly provides written notice of the Force Majeure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395" w:right="339" w:bottom="1440" w:gutter="0" w:footer="0" w:header="0"/>
        </w:sectPr>
      </w:pPr>
    </w:p>
    <w:bookmarkStart w:id="320" w:name="page321"/>
    <w:bookmarkEnd w:id="320"/>
    <w:p>
      <w:pPr>
        <w:jc w:val="both"/>
        <w:spacing w:after="0" w:line="225" w:lineRule="auto"/>
        <w:rPr>
          <w:sz w:val="20"/>
          <w:szCs w:val="20"/>
          <w:color w:val="auto"/>
        </w:rPr>
      </w:pPr>
      <w:r>
        <w:rPr>
          <w:rFonts w:ascii="Times New Roman" w:cs="Times New Roman" w:eastAsia="Times New Roman" w:hAnsi="Times New Roman"/>
          <w:sz w:val="22"/>
          <w:szCs w:val="22"/>
          <w:color w:val="auto"/>
        </w:rPr>
        <w:t>the other Party. Such excuse will continue for so long as the condition constituting a Force Majeure continues, on the condition that the nonperforming Party continues to use Commercially Reasonable Efforts to resume performance of its obligations under this Agreement.</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b w:val="1"/>
          <w:bCs w:val="1"/>
          <w:u w:val="single" w:color="auto"/>
          <w:color w:val="auto"/>
        </w:rPr>
        <w:t>Representation by Legal Counsel</w:t>
      </w:r>
      <w:r>
        <w:rPr>
          <w:rFonts w:ascii="Times New Roman" w:cs="Times New Roman" w:eastAsia="Times New Roman" w:hAnsi="Times New Roman"/>
          <w:sz w:val="22"/>
          <w:szCs w:val="22"/>
          <w:color w:val="auto"/>
        </w:rPr>
        <w:t>. Each Party hereto represents that it has been represented by legal counsel in connection with this Agreement and acknowledges that it has participated in the drafting hereof. In interpreting and applying the terms and provisions of this Agreement, no presumption will exist or be implied against the Party that drafted such terms and provisions.</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All written notices which are required or permitted hereunder will be in writing and sufficient if delivered personally or sent by nationally-recognized overnight courier, or through email to the applicable email address, addressed as follows: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Vertex:</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Vertex Pharmaceuticals Incorporated</w:t>
      </w:r>
    </w:p>
    <w:p>
      <w:pPr>
        <w:ind w:left="660"/>
        <w:spacing w:after="0" w:line="204" w:lineRule="auto"/>
        <w:rPr>
          <w:sz w:val="20"/>
          <w:szCs w:val="20"/>
          <w:color w:val="auto"/>
        </w:rPr>
      </w:pPr>
      <w:r>
        <w:rPr>
          <w:rFonts w:ascii="Times New Roman" w:cs="Times New Roman" w:eastAsia="Times New Roman" w:hAnsi="Times New Roman"/>
          <w:sz w:val="22"/>
          <w:szCs w:val="22"/>
          <w:color w:val="auto"/>
        </w:rPr>
        <w:t>Attn: Business Development</w:t>
      </w:r>
    </w:p>
    <w:p>
      <w:pPr>
        <w:ind w:left="660"/>
        <w:spacing w:after="0" w:line="205" w:lineRule="auto"/>
        <w:rPr>
          <w:sz w:val="20"/>
          <w:szCs w:val="20"/>
          <w:color w:val="auto"/>
        </w:rPr>
      </w:pPr>
      <w:r>
        <w:rPr>
          <w:rFonts w:ascii="Times New Roman" w:cs="Times New Roman" w:eastAsia="Times New Roman" w:hAnsi="Times New Roman"/>
          <w:sz w:val="22"/>
          <w:szCs w:val="22"/>
          <w:color w:val="auto"/>
        </w:rPr>
        <w:t>50 Northern Avenue</w:t>
      </w:r>
    </w:p>
    <w:p>
      <w:pPr>
        <w:ind w:left="660"/>
        <w:spacing w:after="0" w:line="205" w:lineRule="auto"/>
        <w:rPr>
          <w:sz w:val="20"/>
          <w:szCs w:val="20"/>
          <w:color w:val="auto"/>
        </w:rPr>
      </w:pPr>
      <w:r>
        <w:rPr>
          <w:rFonts w:ascii="Times New Roman" w:cs="Times New Roman" w:eastAsia="Times New Roman" w:hAnsi="Times New Roman"/>
          <w:sz w:val="22"/>
          <w:szCs w:val="22"/>
          <w:color w:val="auto"/>
        </w:rPr>
        <w:t>Boston, Massachusetts 02210</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Email: [***]</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to:</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Vertex Pharmaceuticals Incorporated</w:t>
      </w:r>
    </w:p>
    <w:p>
      <w:pPr>
        <w:ind w:left="660"/>
        <w:spacing w:after="0" w:line="204" w:lineRule="auto"/>
        <w:rPr>
          <w:sz w:val="20"/>
          <w:szCs w:val="20"/>
          <w:color w:val="auto"/>
        </w:rPr>
      </w:pPr>
      <w:r>
        <w:rPr>
          <w:rFonts w:ascii="Times New Roman" w:cs="Times New Roman" w:eastAsia="Times New Roman" w:hAnsi="Times New Roman"/>
          <w:sz w:val="22"/>
          <w:szCs w:val="22"/>
          <w:color w:val="auto"/>
        </w:rPr>
        <w:t>Attn: Corporate Legal</w:t>
      </w:r>
    </w:p>
    <w:p>
      <w:pPr>
        <w:ind w:left="660"/>
        <w:spacing w:after="0" w:line="205" w:lineRule="auto"/>
        <w:rPr>
          <w:sz w:val="20"/>
          <w:szCs w:val="20"/>
          <w:color w:val="auto"/>
        </w:rPr>
      </w:pPr>
      <w:r>
        <w:rPr>
          <w:rFonts w:ascii="Times New Roman" w:cs="Times New Roman" w:eastAsia="Times New Roman" w:hAnsi="Times New Roman"/>
          <w:sz w:val="22"/>
          <w:szCs w:val="22"/>
          <w:color w:val="auto"/>
        </w:rPr>
        <w:t>50 Northern Avenue</w:t>
      </w:r>
    </w:p>
    <w:p>
      <w:pPr>
        <w:ind w:left="660"/>
        <w:spacing w:after="0" w:line="205" w:lineRule="auto"/>
        <w:rPr>
          <w:sz w:val="20"/>
          <w:szCs w:val="20"/>
          <w:color w:val="auto"/>
        </w:rPr>
      </w:pPr>
      <w:r>
        <w:rPr>
          <w:rFonts w:ascii="Times New Roman" w:cs="Times New Roman" w:eastAsia="Times New Roman" w:hAnsi="Times New Roman"/>
          <w:sz w:val="22"/>
          <w:szCs w:val="22"/>
          <w:color w:val="auto"/>
        </w:rPr>
        <w:t>Boston, Massachusetts 02210</w:t>
      </w:r>
    </w:p>
    <w:p>
      <w:pPr>
        <w:ind w:left="660"/>
        <w:spacing w:after="0" w:line="205" w:lineRule="auto"/>
        <w:rPr>
          <w:sz w:val="20"/>
          <w:szCs w:val="20"/>
          <w:color w:val="auto"/>
        </w:rPr>
      </w:pPr>
      <w:r>
        <w:rPr>
          <w:rFonts w:ascii="Times New Roman" w:cs="Times New Roman" w:eastAsia="Times New Roman" w:hAnsi="Times New Roman"/>
          <w:sz w:val="22"/>
          <w:szCs w:val="22"/>
          <w:color w:val="auto"/>
        </w:rPr>
        <w:t>Email: [***] &amp;</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and:</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Ropes &amp; Gray LLP</w:t>
      </w:r>
    </w:p>
    <w:p>
      <w:pPr>
        <w:ind w:left="660"/>
        <w:spacing w:after="0" w:line="204" w:lineRule="auto"/>
        <w:rPr>
          <w:sz w:val="20"/>
          <w:szCs w:val="20"/>
          <w:color w:val="auto"/>
        </w:rPr>
      </w:pPr>
      <w:r>
        <w:rPr>
          <w:rFonts w:ascii="Times New Roman" w:cs="Times New Roman" w:eastAsia="Times New Roman" w:hAnsi="Times New Roman"/>
          <w:sz w:val="22"/>
          <w:szCs w:val="22"/>
          <w:color w:val="auto"/>
        </w:rPr>
        <w:t>Attn: [***]</w:t>
      </w:r>
    </w:p>
    <w:p>
      <w:pPr>
        <w:ind w:left="660"/>
        <w:spacing w:after="0" w:line="205" w:lineRule="auto"/>
        <w:rPr>
          <w:sz w:val="20"/>
          <w:szCs w:val="20"/>
          <w:color w:val="auto"/>
        </w:rPr>
      </w:pPr>
      <w:r>
        <w:rPr>
          <w:rFonts w:ascii="Times New Roman" w:cs="Times New Roman" w:eastAsia="Times New Roman" w:hAnsi="Times New Roman"/>
          <w:sz w:val="22"/>
          <w:szCs w:val="22"/>
          <w:color w:val="auto"/>
        </w:rPr>
        <w:t>Prudential Tower</w:t>
      </w:r>
    </w:p>
    <w:p>
      <w:pPr>
        <w:ind w:left="660"/>
        <w:spacing w:after="0" w:line="205" w:lineRule="auto"/>
        <w:rPr>
          <w:sz w:val="20"/>
          <w:szCs w:val="20"/>
          <w:color w:val="auto"/>
        </w:rPr>
      </w:pPr>
      <w:r>
        <w:rPr>
          <w:rFonts w:ascii="Times New Roman" w:cs="Times New Roman" w:eastAsia="Times New Roman" w:hAnsi="Times New Roman"/>
          <w:sz w:val="22"/>
          <w:szCs w:val="22"/>
          <w:color w:val="auto"/>
        </w:rPr>
        <w:t>800 Boylston Street</w:t>
      </w:r>
    </w:p>
    <w:p>
      <w:pPr>
        <w:ind w:left="660"/>
        <w:spacing w:after="0" w:line="205" w:lineRule="auto"/>
        <w:rPr>
          <w:sz w:val="20"/>
          <w:szCs w:val="20"/>
          <w:color w:val="auto"/>
        </w:rPr>
      </w:pPr>
      <w:r>
        <w:rPr>
          <w:rFonts w:ascii="Times New Roman" w:cs="Times New Roman" w:eastAsia="Times New Roman" w:hAnsi="Times New Roman"/>
          <w:sz w:val="22"/>
          <w:szCs w:val="22"/>
          <w:color w:val="auto"/>
        </w:rPr>
        <w:t>Boston, Massachusetts 02199</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Email: [***]</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Company:</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Entrada Therapeutics, Inc.</w:t>
      </w:r>
    </w:p>
    <w:p>
      <w:pPr>
        <w:ind w:left="660"/>
        <w:spacing w:after="0" w:line="204" w:lineRule="auto"/>
        <w:rPr>
          <w:sz w:val="20"/>
          <w:szCs w:val="20"/>
          <w:color w:val="auto"/>
        </w:rPr>
      </w:pPr>
      <w:r>
        <w:rPr>
          <w:rFonts w:ascii="Times New Roman" w:cs="Times New Roman" w:eastAsia="Times New Roman" w:hAnsi="Times New Roman"/>
          <w:sz w:val="22"/>
          <w:szCs w:val="22"/>
          <w:color w:val="auto"/>
        </w:rPr>
        <w:t>Attn: Chief Operating Officer</w:t>
      </w:r>
    </w:p>
    <w:p>
      <w:pPr>
        <w:ind w:left="660"/>
        <w:spacing w:after="0" w:line="205" w:lineRule="auto"/>
        <w:rPr>
          <w:sz w:val="20"/>
          <w:szCs w:val="20"/>
          <w:color w:val="auto"/>
        </w:rPr>
      </w:pPr>
      <w:r>
        <w:rPr>
          <w:rFonts w:ascii="Times New Roman" w:cs="Times New Roman" w:eastAsia="Times New Roman" w:hAnsi="Times New Roman"/>
          <w:sz w:val="22"/>
          <w:szCs w:val="22"/>
          <w:color w:val="auto"/>
        </w:rPr>
        <w:t>6 Tide Street</w:t>
      </w:r>
    </w:p>
    <w:p>
      <w:pPr>
        <w:ind w:left="660"/>
        <w:spacing w:after="0" w:line="205" w:lineRule="auto"/>
        <w:rPr>
          <w:sz w:val="20"/>
          <w:szCs w:val="20"/>
          <w:color w:val="auto"/>
        </w:rPr>
      </w:pPr>
      <w:r>
        <w:rPr>
          <w:rFonts w:ascii="Times New Roman" w:cs="Times New Roman" w:eastAsia="Times New Roman" w:hAnsi="Times New Roman"/>
          <w:sz w:val="22"/>
          <w:szCs w:val="22"/>
          <w:color w:val="auto"/>
        </w:rPr>
        <w:t>Boston, Massachusetts 02210</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Email: [***]</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to:</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Entrada Therapeutics, Inc.</w:t>
      </w:r>
    </w:p>
    <w:p>
      <w:pPr>
        <w:ind w:left="660"/>
        <w:spacing w:after="0" w:line="204" w:lineRule="auto"/>
        <w:rPr>
          <w:sz w:val="20"/>
          <w:szCs w:val="20"/>
          <w:color w:val="auto"/>
        </w:rPr>
      </w:pPr>
      <w:r>
        <w:rPr>
          <w:rFonts w:ascii="Times New Roman" w:cs="Times New Roman" w:eastAsia="Times New Roman" w:hAnsi="Times New Roman"/>
          <w:sz w:val="22"/>
          <w:szCs w:val="22"/>
          <w:color w:val="auto"/>
        </w:rPr>
        <w:t>Attn: Legal Notice</w:t>
      </w:r>
    </w:p>
    <w:p>
      <w:pPr>
        <w:ind w:left="660"/>
        <w:spacing w:after="0" w:line="205" w:lineRule="auto"/>
        <w:rPr>
          <w:sz w:val="20"/>
          <w:szCs w:val="20"/>
          <w:color w:val="auto"/>
        </w:rPr>
      </w:pPr>
      <w:r>
        <w:rPr>
          <w:rFonts w:ascii="Times New Roman" w:cs="Times New Roman" w:eastAsia="Times New Roman" w:hAnsi="Times New Roman"/>
          <w:sz w:val="22"/>
          <w:szCs w:val="22"/>
          <w:color w:val="auto"/>
        </w:rPr>
        <w:t>6 Tide Street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Boston, Massachusetts 02210</w:t>
      </w: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395" w:right="339" w:bottom="1440" w:gutter="0" w:footer="0" w:header="0"/>
          <w:type w:val="continuous"/>
        </w:sectPr>
      </w:pPr>
    </w:p>
    <w:bookmarkStart w:id="321" w:name="page322"/>
    <w:bookmarkEnd w:id="321"/>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Email: [***] &amp;</w:t>
      </w: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and:</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Goodwin Procter LLP</w:t>
      </w:r>
    </w:p>
    <w:p>
      <w:pPr>
        <w:ind w:left="660"/>
        <w:spacing w:after="0" w:line="204" w:lineRule="auto"/>
        <w:rPr>
          <w:sz w:val="20"/>
          <w:szCs w:val="20"/>
          <w:color w:val="auto"/>
        </w:rPr>
      </w:pPr>
      <w:r>
        <w:rPr>
          <w:rFonts w:ascii="Times New Roman" w:cs="Times New Roman" w:eastAsia="Times New Roman" w:hAnsi="Times New Roman"/>
          <w:sz w:val="22"/>
          <w:szCs w:val="22"/>
          <w:color w:val="auto"/>
        </w:rPr>
        <w:t>Attn: [***]</w:t>
      </w:r>
    </w:p>
    <w:p>
      <w:pPr>
        <w:ind w:left="660"/>
        <w:spacing w:after="0" w:line="205" w:lineRule="auto"/>
        <w:rPr>
          <w:sz w:val="20"/>
          <w:szCs w:val="20"/>
          <w:color w:val="auto"/>
        </w:rPr>
      </w:pPr>
      <w:r>
        <w:rPr>
          <w:rFonts w:ascii="Times New Roman" w:cs="Times New Roman" w:eastAsia="Times New Roman" w:hAnsi="Times New Roman"/>
          <w:sz w:val="22"/>
          <w:szCs w:val="22"/>
          <w:color w:val="auto"/>
        </w:rPr>
        <w:t>601 Marshall Street</w:t>
      </w:r>
    </w:p>
    <w:p>
      <w:pPr>
        <w:ind w:left="660"/>
        <w:spacing w:after="0" w:line="205" w:lineRule="auto"/>
        <w:rPr>
          <w:sz w:val="20"/>
          <w:szCs w:val="20"/>
          <w:color w:val="auto"/>
        </w:rPr>
      </w:pPr>
      <w:r>
        <w:rPr>
          <w:rFonts w:ascii="Times New Roman" w:cs="Times New Roman" w:eastAsia="Times New Roman" w:hAnsi="Times New Roman"/>
          <w:sz w:val="22"/>
          <w:szCs w:val="22"/>
          <w:color w:val="auto"/>
        </w:rPr>
        <w:t>Redwood City, CA 94063</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Email: [***]</w:t>
      </w:r>
    </w:p>
    <w:p>
      <w:pPr>
        <w:spacing w:after="0" w:line="155"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or to such other address as the Party to whom written notice is to be given may have furnished to the other Party in writing in accordance herewith. In addition, each Party will deliver a courtesy copy to the other Party’s Alliance Manager concurrently with such notice. Any such written notice will be deemed to have been given and received by the other Party: (a) when delivered if personally delivered; or (b) on receipt if sent by overnight courier or email.</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color w:val="auto"/>
        </w:rPr>
        <w:t>. No amendment, modification or supplement of any provision of this Agreement will be valid or effective unless made in writing and signed by a duly authorized officer of each of Vertex and Company.</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22"/>
          <w:szCs w:val="22"/>
          <w:b w:val="1"/>
          <w:bCs w:val="1"/>
          <w:u w:val="single" w:color="auto"/>
          <w:color w:val="auto"/>
        </w:rPr>
        <w:t>Waiver</w:t>
      </w:r>
      <w:r>
        <w:rPr>
          <w:rFonts w:ascii="Times New Roman" w:cs="Times New Roman" w:eastAsia="Times New Roman" w:hAnsi="Times New Roman"/>
          <w:sz w:val="22"/>
          <w:szCs w:val="22"/>
          <w:color w:val="auto"/>
        </w:rPr>
        <w:t>. No provision of this Agreement will be waived by any act, omission or knowledge of a Party or its agents or employees except by an instrument in writing expressly waiving such provision and signed by a duly authorized officer of the waiving Party. The waiver by either Party of any breach of any provision hereof by the other Party will not be construed to be a waiver of any succeeding breach of such provision or a waiver of the provision itself.</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11.8. </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clause or portion thereof in this Agreement is for any reason held to be invalid, illegal or unenforceable, the same will not affect any other portion of this Agreement, as it is the intent of the Parties that this Agreement will be construed in such fashion as to maintain its existence, validity and enforceability to the greatest extent possible. In any such event, this Agreement will be construed as if such clause of portion thereof had never been contained in this Agreement, and there will be deemed substituted therefor such provision as will most nearly carry out the intent of the Parties as expressed in this Agreement to the fullest extent permitted by Applicable Law.</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 xml:space="preserve">11.9. </w:t>
      </w:r>
      <w:r>
        <w:rPr>
          <w:rFonts w:ascii="Times New Roman" w:cs="Times New Roman" w:eastAsia="Times New Roman" w:hAnsi="Times New Roman"/>
          <w:sz w:val="22"/>
          <w:szCs w:val="22"/>
          <w:b w:val="1"/>
          <w:bCs w:val="1"/>
          <w:u w:val="single" w:color="auto"/>
          <w:color w:val="auto"/>
        </w:rPr>
        <w:t>Descriptive Headings</w:t>
      </w:r>
      <w:r>
        <w:rPr>
          <w:rFonts w:ascii="Times New Roman" w:cs="Times New Roman" w:eastAsia="Times New Roman" w:hAnsi="Times New Roman"/>
          <w:sz w:val="22"/>
          <w:szCs w:val="22"/>
          <w:color w:val="auto"/>
        </w:rPr>
        <w:t>. The descriptive headings of this Agreement are for convenience only and will be of no force or effect in construing or interpreting any of the provisions of this Agreement.</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11.10. </w:t>
      </w:r>
      <w:r>
        <w:rPr>
          <w:rFonts w:ascii="Times New Roman" w:cs="Times New Roman" w:eastAsia="Times New Roman" w:hAnsi="Times New Roman"/>
          <w:sz w:val="22"/>
          <w:szCs w:val="22"/>
          <w:b w:val="1"/>
          <w:bCs w:val="1"/>
          <w:u w:val="single" w:color="auto"/>
          <w:color w:val="auto"/>
        </w:rPr>
        <w:t>Export Control</w:t>
      </w:r>
      <w:r>
        <w:rPr>
          <w:rFonts w:ascii="Times New Roman" w:cs="Times New Roman" w:eastAsia="Times New Roman" w:hAnsi="Times New Roman"/>
          <w:sz w:val="22"/>
          <w:szCs w:val="22"/>
          <w:color w:val="auto"/>
        </w:rPr>
        <w:t>. This Agreement is made subject to any restrictions concerning the export of products or technical information from the United States of America or other countries that may be imposed upon or related to Company or Vertex from time to time. Each Party agrees that it will not export, directly or indirectly, any technical information acquired from the other Party under this Agreement or any products using such technical information to a location or in a manner that at the time of export requires an export license or other governmental approval, without first obtaining the written consent to do so from the appropriate Governmental Authority.</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11.11.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Agreement, and all claims arising under or in connection therewith, will be governed by and interpreted in accordance with the substantive laws of The Commonwealth of Massachusetts, without regard to conflict of law principles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440" w:right="339" w:bottom="1440" w:gutter="0" w:footer="0" w:header="0"/>
        </w:sectPr>
      </w:pPr>
    </w:p>
    <w:bookmarkStart w:id="322" w:name="page323"/>
    <w:bookmarkEnd w:id="322"/>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11.12. </w:t>
      </w:r>
      <w:r>
        <w:rPr>
          <w:rFonts w:ascii="Times New Roman" w:cs="Times New Roman" w:eastAsia="Times New Roman" w:hAnsi="Times New Roman"/>
          <w:sz w:val="22"/>
          <w:szCs w:val="22"/>
          <w:b w:val="1"/>
          <w:bCs w:val="1"/>
          <w:u w:val="single" w:color="auto"/>
          <w:color w:val="auto"/>
        </w:rPr>
        <w:t>Dispute Resolution</w:t>
      </w:r>
      <w:r>
        <w:rPr>
          <w:rFonts w:ascii="Times New Roman" w:cs="Times New Roman" w:eastAsia="Times New Roman" w:hAnsi="Times New Roman"/>
          <w:sz w:val="22"/>
          <w:szCs w:val="22"/>
          <w:color w:val="auto"/>
        </w:rPr>
        <w:t>. Subject to Section 11.12.4 regarding the resolution of certain Patent and Know-How-related disputes and Section 9.6.2(h)(ii) regarding post-termination royalty rates for economics related to certain intellectual property, if a dispute arises between the Parties in connection with or relating to this Agreement or any document or instrument delivered in connection herewith (a “</w:t>
      </w:r>
      <w:r>
        <w:rPr>
          <w:rFonts w:ascii="Times New Roman" w:cs="Times New Roman" w:eastAsia="Times New Roman" w:hAnsi="Times New Roman"/>
          <w:sz w:val="22"/>
          <w:szCs w:val="22"/>
          <w:b w:val="1"/>
          <w:bCs w:val="1"/>
          <w:color w:val="auto"/>
        </w:rPr>
        <w:t>Dispute</w:t>
      </w:r>
      <w:r>
        <w:rPr>
          <w:rFonts w:ascii="Times New Roman" w:cs="Times New Roman" w:eastAsia="Times New Roman" w:hAnsi="Times New Roman"/>
          <w:sz w:val="22"/>
          <w:szCs w:val="22"/>
          <w:color w:val="auto"/>
        </w:rPr>
        <w:t>”), it will be resolved pursuant to Sections 11.12.1, 11.12.2, and 11.12.3.</w:t>
      </w:r>
    </w:p>
    <w:p>
      <w:pPr>
        <w:spacing w:after="0" w:line="14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11.12.1. Escalation to Executive Officers</w:t>
      </w:r>
      <w:r>
        <w:rPr>
          <w:rFonts w:ascii="Times New Roman" w:cs="Times New Roman" w:eastAsia="Times New Roman" w:hAnsi="Times New Roman"/>
          <w:sz w:val="22"/>
          <w:szCs w:val="22"/>
          <w:color w:val="auto"/>
        </w:rPr>
        <w:t>. Either Party may refer any Dispute to the Executive Officers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who will confer in good faith on the resolution of the issue, by delivering written notice to the other Party.</w:t>
      </w:r>
    </w:p>
    <w:p>
      <w:pPr>
        <w:spacing w:after="0" w:line="137" w:lineRule="exact"/>
        <w:rPr>
          <w:sz w:val="20"/>
          <w:szCs w:val="20"/>
          <w:color w:val="auto"/>
        </w:rPr>
      </w:pPr>
    </w:p>
    <w:p>
      <w:pPr>
        <w:ind w:left="1300"/>
        <w:spacing w:after="0"/>
        <w:tabs>
          <w:tab w:leader="none" w:pos="2240" w:val="left"/>
        </w:tabs>
        <w:rPr>
          <w:sz w:val="20"/>
          <w:szCs w:val="20"/>
          <w:color w:val="auto"/>
        </w:rPr>
      </w:pPr>
      <w:r>
        <w:rPr>
          <w:rFonts w:ascii="Times New Roman" w:cs="Times New Roman" w:eastAsia="Times New Roman" w:hAnsi="Times New Roman"/>
          <w:sz w:val="22"/>
          <w:szCs w:val="22"/>
          <w:b w:val="1"/>
          <w:bCs w:val="1"/>
          <w:color w:val="auto"/>
        </w:rPr>
        <w:t>11.12.2.</w:t>
        <w:tab/>
        <w:t>Mediation</w:t>
      </w:r>
      <w:r>
        <w:rPr>
          <w:rFonts w:ascii="Times New Roman" w:cs="Times New Roman" w:eastAsia="Times New Roman" w:hAnsi="Times New Roman"/>
          <w:sz w:val="22"/>
          <w:szCs w:val="22"/>
          <w:color w:val="auto"/>
        </w:rPr>
        <w:t>. If the Executive Officers are unable to agree on the resolution of any such Dispute within</w:t>
      </w:r>
    </w:p>
    <w:p>
      <w:pPr>
        <w:jc w:val="both"/>
        <w:ind w:firstLine="8"/>
        <w:spacing w:after="0" w:line="212" w:lineRule="auto"/>
        <w:tabs>
          <w:tab w:leader="none" w:pos="535"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such other period of time as mutually agreed by the Executive Officers) after such Dispute was first referred to them, then within [***] after the end of such [***] period or such other mutually-agreed period of time, either Party may serve notice to the other Party referring the matter to confidential mediation administered by the American Arbitration Association (“</w:t>
      </w:r>
      <w:r>
        <w:rPr>
          <w:rFonts w:ascii="Times New Roman" w:cs="Times New Roman" w:eastAsia="Times New Roman" w:hAnsi="Times New Roman"/>
          <w:sz w:val="22"/>
          <w:szCs w:val="22"/>
          <w:b w:val="1"/>
          <w:bCs w:val="1"/>
          <w:color w:val="auto"/>
        </w:rPr>
        <w:t>AAA</w:t>
      </w:r>
      <w:r>
        <w:rPr>
          <w:rFonts w:ascii="Times New Roman" w:cs="Times New Roman" w:eastAsia="Times New Roman" w:hAnsi="Times New Roman"/>
          <w:sz w:val="22"/>
          <w:szCs w:val="22"/>
          <w:color w:val="auto"/>
        </w:rPr>
        <w:t>”) under its Mediation Procedures (subject to this Section 11.12.2). Such mediation will begin within [***] following the service of such mediation notice.</w:t>
      </w:r>
    </w:p>
    <w:p>
      <w:pPr>
        <w:spacing w:after="0" w:line="155"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If the Parties are unable to agree on a mediator within [***] after service of the mediation notice, a mediator will be appointed by the AAA. The mediation session will last for at least [***] before any Party has the option to withdraw from the process. The Parties may agree to continue the mediation process beyond [***], until there is a settlement agreement, or one Party or the mediator states that there is no reason to continue. The Parties agree to have their respective principals participate in the mediation process, including being present throughout the mediation session(s). Any period of limitations that would otherwise expire between the reference of the Disputes to the Executive Officers of the Parties and the conclusion of the mediation will be extended until [***] after the conclusion of mediation.</w:t>
      </w:r>
    </w:p>
    <w:p>
      <w:pPr>
        <w:spacing w:after="0" w:line="15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If the Dispute is not resolved through mediation, then either Party may by written notice to the other Party, elect to initiate an arbitration proceeding pursuant to the procedures set forth in Section 11.12.3 for purposes of having the matter settled (the “</w:t>
      </w:r>
      <w:r>
        <w:rPr>
          <w:rFonts w:ascii="Times New Roman" w:cs="Times New Roman" w:eastAsia="Times New Roman" w:hAnsi="Times New Roman"/>
          <w:sz w:val="22"/>
          <w:szCs w:val="22"/>
          <w:b w:val="1"/>
          <w:bCs w:val="1"/>
          <w:color w:val="auto"/>
        </w:rPr>
        <w:t>Arbitration Notice</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11.12.3. Arbitration</w:t>
      </w:r>
      <w:r>
        <w:rPr>
          <w:rFonts w:ascii="Times New Roman" w:cs="Times New Roman" w:eastAsia="Times New Roman" w:hAnsi="Times New Roman"/>
          <w:sz w:val="22"/>
          <w:szCs w:val="22"/>
          <w:color w:val="auto"/>
        </w:rPr>
        <w:t>. A Party may elect to resolve any Dispute pursuant to arbitration only after the Parties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escalated the Dispute to the Executive Officers pursuant to Section 11.12.1 and attempted to mediate the Dispute pursuant to Section 11.12.2, which process will be a condition precedent to arbitration. The Parties will follow the following procedures to resolve such Dispute under arbitration:</w:t>
      </w:r>
    </w:p>
    <w:p>
      <w:pPr>
        <w:spacing w:after="0" w:line="152" w:lineRule="exact"/>
        <w:rPr>
          <w:sz w:val="20"/>
          <w:szCs w:val="20"/>
          <w:color w:val="auto"/>
        </w:rPr>
      </w:pPr>
    </w:p>
    <w:p>
      <w:pPr>
        <w:jc w:val="both"/>
        <w:ind w:firstLine="1952"/>
        <w:spacing w:after="0" w:line="210" w:lineRule="auto"/>
        <w:tabs>
          <w:tab w:leader="none" w:pos="2481"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Arbitration</w:t>
      </w:r>
      <w:r>
        <w:rPr>
          <w:rFonts w:ascii="Times New Roman" w:cs="Times New Roman" w:eastAsia="Times New Roman" w:hAnsi="Times New Roman"/>
          <w:sz w:val="22"/>
          <w:szCs w:val="22"/>
          <w:color w:val="auto"/>
        </w:rPr>
        <w:t>. Within [***] following a Party’s receipt of the Arbitration Notice, the Parties will submit such Dispute to, and such Dispute will be finally resolved by, binding arbitration in accordance with the Commercial Arbitration Rules (the “</w:t>
      </w:r>
      <w:r>
        <w:rPr>
          <w:rFonts w:ascii="Times New Roman" w:cs="Times New Roman" w:eastAsia="Times New Roman" w:hAnsi="Times New Roman"/>
          <w:sz w:val="22"/>
          <w:szCs w:val="22"/>
          <w:b w:val="1"/>
          <w:bCs w:val="1"/>
          <w:color w:val="auto"/>
        </w:rPr>
        <w:t>Rules</w:t>
      </w:r>
      <w:r>
        <w:rPr>
          <w:rFonts w:ascii="Times New Roman" w:cs="Times New Roman" w:eastAsia="Times New Roman" w:hAnsi="Times New Roman"/>
          <w:sz w:val="22"/>
          <w:szCs w:val="22"/>
          <w:color w:val="auto"/>
        </w:rPr>
        <w:t>”) of the AAA by an arbitral tribunal composed of [***] impartial arbitrators bound by The Code of Ethics for Arbitrators in Commercial Disputes, all of whom will have relevant experience in the pharmaceutical industry (and the field of pharmaceutical development, commercialization or any other relevant area, as applicable), [***] appointed by each of the Parties within [***] after the Arbitration Notice, and the [***] who will chair the arbitral tribunal appointed by the Party-appointed arbitrators within [***] after the appointment of the [***] arbitrator, or, failing agreement by the Party-appointed arbitrators, by the AAA in accordance with the Rules. If, at the time of the arbitration, the Parties agree in writing to submit the Dispute to a single arbitrator, said single arbitrator will (i) have relevant experience in the pharmaceutical industry (and the field of pharmaceutical development, commercialization or any other relevant area, as applicable) and (ii) be appointed by agreement of the Parties within [***]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391" w:right="339" w:bottom="1440" w:gutter="0" w:footer="0" w:header="0"/>
        </w:sectPr>
      </w:pPr>
    </w:p>
    <w:bookmarkStart w:id="323" w:name="page324"/>
    <w:bookmarkEnd w:id="323"/>
    <w:p>
      <w:pPr>
        <w:jc w:val="both"/>
        <w:spacing w:after="0" w:line="217" w:lineRule="auto"/>
        <w:rPr>
          <w:sz w:val="20"/>
          <w:szCs w:val="20"/>
          <w:color w:val="auto"/>
        </w:rPr>
      </w:pPr>
      <w:r>
        <w:rPr>
          <w:rFonts w:ascii="Times New Roman" w:cs="Times New Roman" w:eastAsia="Times New Roman" w:hAnsi="Times New Roman"/>
          <w:sz w:val="22"/>
          <w:szCs w:val="22"/>
          <w:color w:val="auto"/>
        </w:rPr>
        <w:t>Arbitration Notice, or, failing such agreement, by the AAA in accordance with the Rules. In no case will any arbitrator have participated in a prior mediation involving either Party unless explicitly agreed to by the Parties. Unless otherwise agreed by the Parties hereto, all such arbitration proceedings will be held in Boston, MA, U.S.A. All arbitration proceedings will be conducted in the English language. The Dispute will not be subject to the Commercial Arbitration Rules’ Expedited Procedures, regardless of the amount in controversy, unless otherwise agreed by the Parties in writing.</w:t>
      </w:r>
    </w:p>
    <w:p>
      <w:pPr>
        <w:spacing w:after="0" w:line="152" w:lineRule="exact"/>
        <w:rPr>
          <w:sz w:val="20"/>
          <w:szCs w:val="20"/>
          <w:color w:val="auto"/>
        </w:rPr>
      </w:pPr>
    </w:p>
    <w:p>
      <w:pPr>
        <w:jc w:val="both"/>
        <w:ind w:firstLine="1952"/>
        <w:spacing w:after="0" w:line="212" w:lineRule="auto"/>
        <w:tabs>
          <w:tab w:leader="none" w:pos="2466"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Limited Discovery</w:t>
      </w:r>
      <w:r>
        <w:rPr>
          <w:rFonts w:ascii="Times New Roman" w:cs="Times New Roman" w:eastAsia="Times New Roman" w:hAnsi="Times New Roman"/>
          <w:sz w:val="22"/>
          <w:szCs w:val="22"/>
          <w:color w:val="auto"/>
        </w:rPr>
        <w:t xml:space="preserve">. Documentary discovery may be conducted at the discretion of the arbitrator(s);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any such discovery will (i) be limited to documents directly relating to the Dispute, (ii) be conducted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document discovery procedures as set forth under the laws of the International Bar Association Rules of Evidence, and (iii) be conducted subject to the schedule stipulated by the Parties, or in the absence of stipulation, the schedule ordered by the arbitrator(s). At the request of a Party, the arbitrator(s) may at their discretion order the deposition of witnesses. Depositions will be limited to a maximum of [***] depositions per Party, each of a maximum of [***] hours duration, unless the arbitrator(s) otherwise determine. Notwithstanding any provision of this Section 11.12.3 to the contrary, all discovery must be completed within [***] after the appointment of the arbitrator(s).</w:t>
      </w:r>
    </w:p>
    <w:p>
      <w:pPr>
        <w:spacing w:after="0" w:line="156" w:lineRule="exact"/>
        <w:rPr>
          <w:rFonts w:ascii="Times New Roman" w:cs="Times New Roman" w:eastAsia="Times New Roman" w:hAnsi="Times New Roman"/>
          <w:sz w:val="22"/>
          <w:szCs w:val="22"/>
          <w:color w:val="auto"/>
        </w:rPr>
      </w:pPr>
    </w:p>
    <w:p>
      <w:pPr>
        <w:jc w:val="both"/>
        <w:ind w:firstLine="1952"/>
        <w:spacing w:after="0" w:line="217" w:lineRule="auto"/>
        <w:tabs>
          <w:tab w:leader="none" w:pos="2548"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Awards and Fees</w:t>
      </w:r>
      <w:r>
        <w:rPr>
          <w:rFonts w:ascii="Times New Roman" w:cs="Times New Roman" w:eastAsia="Times New Roman" w:hAnsi="Times New Roman"/>
          <w:sz w:val="22"/>
          <w:szCs w:val="22"/>
          <w:color w:val="auto"/>
        </w:rPr>
        <w:t>. The arbitrator(s) have the authority to make awards of declaratory relief and monetary damages, but they may not award damages excluded under Section 8.3, and will not under any circumstances have the authority or power to grant (i) equitable relief or (ii) orders for specific performance. The allocation of expenses of the arbitration, including reasonable attorney’s fees, will be determined by the arbitrator(s), or, in the absence of such determination, each Party will pay its own expenses, including attorney’s fees.</w:t>
      </w:r>
    </w:p>
    <w:p>
      <w:pPr>
        <w:spacing w:after="0" w:line="152" w:lineRule="exact"/>
        <w:rPr>
          <w:rFonts w:ascii="Times New Roman" w:cs="Times New Roman" w:eastAsia="Times New Roman" w:hAnsi="Times New Roman"/>
          <w:sz w:val="22"/>
          <w:szCs w:val="22"/>
          <w:color w:val="auto"/>
        </w:rPr>
      </w:pPr>
    </w:p>
    <w:p>
      <w:pPr>
        <w:jc w:val="both"/>
        <w:ind w:firstLine="1952"/>
        <w:spacing w:after="0" w:line="215" w:lineRule="auto"/>
        <w:tabs>
          <w:tab w:leader="none" w:pos="2412"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Rulings</w:t>
      </w:r>
      <w:r>
        <w:rPr>
          <w:rFonts w:ascii="Times New Roman" w:cs="Times New Roman" w:eastAsia="Times New Roman" w:hAnsi="Times New Roman"/>
          <w:sz w:val="22"/>
          <w:szCs w:val="22"/>
          <w:color w:val="auto"/>
        </w:rPr>
        <w:t>. All arbitration proceedings must be completed within [***] after the Arbitration Notice. The Parties hereby agree that, subject to the provisions of this Section 11.12.3, the arbitrator(s) has authority to issue rulings and orders regarding all procedural and evidentiary matters that the arbitrator(s) deem reasonable and necessary with or without petition therefor by the Parties as well as the final award. The final award will be issued no more than [***] after the final submissions of the Parties, or as soon thereafter as practicable. All rulings by the arbitrator(s) will be final and binding on the Parties. The arbitrator(s) will issue a reasoned decision that accompanies the final award.</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454"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 of Rulings by Courts of Competent Jurisdiction</w:t>
      </w:r>
      <w:r>
        <w:rPr>
          <w:rFonts w:ascii="Times New Roman" w:cs="Times New Roman" w:eastAsia="Times New Roman" w:hAnsi="Times New Roman"/>
          <w:sz w:val="22"/>
          <w:szCs w:val="22"/>
          <w:color w:val="auto"/>
        </w:rPr>
        <w:t>. Any ruling issued by the arbitrator(s) pursuant to Section 11.12.3(b) may be enforced, to the extent that such ruling complies with the provisions of Section 11.12.3(a), in any court having jurisdiction over any of the Parties or any of their respective assets.</w:t>
      </w:r>
    </w:p>
    <w:p>
      <w:pPr>
        <w:spacing w:after="0" w:line="152" w:lineRule="exact"/>
        <w:rPr>
          <w:rFonts w:ascii="Times New Roman" w:cs="Times New Roman" w:eastAsia="Times New Roman" w:hAnsi="Times New Roman"/>
          <w:sz w:val="22"/>
          <w:szCs w:val="22"/>
          <w:color w:val="auto"/>
        </w:rPr>
      </w:pPr>
    </w:p>
    <w:p>
      <w:pPr>
        <w:jc w:val="both"/>
        <w:ind w:firstLine="1952"/>
        <w:spacing w:after="0" w:line="227" w:lineRule="auto"/>
        <w:tabs>
          <w:tab w:leader="none" w:pos="2457"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All activities undertaken by the arbitrator(s) or the Parties pursuant to this Section 11.12.3 will be conducted subject to obligations of confidentiality no less restrictive than those set forth in ARTICLE 10. Further, the Parties acknowledge and agree that their respective conduct during the course of the arbitration, their respective statements and all information exchanged in connection with the arbitration, and the conduct of the arbitration and any information produced thereunder is Confidential Information under this Agreement and subject to the provisions of ARTICLE 10.</w:t>
      </w:r>
    </w:p>
    <w:p>
      <w:pPr>
        <w:spacing w:after="0" w:line="150"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11.12.4. Patent and Know-How Disputes</w:t>
      </w:r>
      <w:r>
        <w:rPr>
          <w:rFonts w:ascii="Times New Roman" w:cs="Times New Roman" w:eastAsia="Times New Roman" w:hAnsi="Times New Roman"/>
          <w:sz w:val="22"/>
          <w:szCs w:val="22"/>
          <w:color w:val="auto"/>
        </w:rPr>
        <w:t>. Notwithstanding the foregoing in this Section 11.12, if a dispute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arises between the Parties under this Agreement with respect to the interpretation, scope, validity, enforceability, applicability or term of any Patent or inventorship or ownership of any Know-How, then such dispute will not be resolved pursuant to Sections 11.12.1, 11.12.2 and 11.12.3, but instead may be brought by either Party in the federal courts of Massachusetts, in each case, (a) unless the Parties agree in writing to submit such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395" w:right="339" w:bottom="1440" w:gutter="0" w:footer="0" w:header="0"/>
        </w:sectPr>
      </w:pPr>
    </w:p>
    <w:bookmarkStart w:id="324" w:name="page325"/>
    <w:bookmarkEnd w:id="324"/>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to arbitration pursuant to Sections 11.12.1, 11.12.2 and 11.12.3 or (b) except to the extent federal jurisdiction cannot be maintained, in which case such claim will be submitted to arbitration pursuant to Sections 11.12.1, 11.12.2 and 11.12.3.</w:t>
      </w:r>
    </w:p>
    <w:p>
      <w:pPr>
        <w:spacing w:after="0" w:line="146"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b w:val="1"/>
          <w:bCs w:val="1"/>
          <w:color w:val="auto"/>
        </w:rPr>
        <w:t>11.12.5. Equitable Relief</w:t>
      </w:r>
      <w:r>
        <w:rPr>
          <w:rFonts w:ascii="Times New Roman" w:cs="Times New Roman" w:eastAsia="Times New Roman" w:hAnsi="Times New Roman"/>
          <w:sz w:val="21"/>
          <w:szCs w:val="21"/>
          <w:color w:val="auto"/>
        </w:rPr>
        <w:t>. Notwithstanding the foregoing in this Section 11.12, nothing contained in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will in any way limit or preclude a Party from, at any time, seeking or obtaining equitable relief hereunder, whether preliminary or permanent, including a temporary or permanent restraining order, preliminary or permanent injunction, specific performance or any other form of equitable relief, from any United States court of competent jurisdiction if necessary to protect the interests of such Party. Each Party agrees that its unauthorized release of the other Party’s Confidential Information or its breach of Sections 4.5, 4.6, or 4.7 of this Agreement will cause irreparable damage to other Party for which recovery of damages would be inadequate, and that such other Party will be entitled to seek timely injunctive relief with respect to such breach, without the need to show irreparable harm or the inadequacy of monetary damages as a remedy, and without the requirement of having to post bond or other security, as well as any further relief that may be granted by a court of competent jurisdiction.</w:t>
      </w:r>
    </w:p>
    <w:p>
      <w:pPr>
        <w:spacing w:after="0" w:line="150"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11.13. </w:t>
      </w: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Agreement constitutes and contains the complete, final and exclusive understanding and agreement of the Parties and cancels and supersedes all prior negotiations, correspondence, understandings and agreements, whether oral or written, between the Parties respecting the subject matter hereof, including the CDA, which is hereby superseded and replaced in its entirety as of the Execution Date.</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11.14. </w:t>
      </w:r>
      <w:r>
        <w:rPr>
          <w:rFonts w:ascii="Times New Roman" w:cs="Times New Roman" w:eastAsia="Times New Roman" w:hAnsi="Times New Roman"/>
          <w:sz w:val="22"/>
          <w:szCs w:val="22"/>
          <w:b w:val="1"/>
          <w:bCs w:val="1"/>
          <w:u w:val="single" w:color="auto"/>
          <w:color w:val="auto"/>
        </w:rPr>
        <w:t>Independent Contractors</w:t>
      </w:r>
      <w:r>
        <w:rPr>
          <w:rFonts w:ascii="Times New Roman" w:cs="Times New Roman" w:eastAsia="Times New Roman" w:hAnsi="Times New Roman"/>
          <w:sz w:val="22"/>
          <w:szCs w:val="22"/>
          <w:color w:val="auto"/>
        </w:rPr>
        <w:t>. Both Parties are independent contractors under this Agreement. Nothing contained herein will be deemed to create an employment, agency, joint venture or partnership relationship between the Parties or any of their agents or employees, or any other legal arrangement that would impose liability upon one Party for the act or failure to act of the other Party. Neither Party will have any express or implied power to enter into any contracts or commitments or to incur any liabilities in the name of, or on behalf of, the other Party, or to bind the other Party in any respect whatsoever.</w:t>
      </w:r>
    </w:p>
    <w:p>
      <w:pPr>
        <w:spacing w:after="0" w:line="147"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11.15. </w:t>
      </w:r>
      <w:r>
        <w:rPr>
          <w:rFonts w:ascii="Times New Roman" w:cs="Times New Roman" w:eastAsia="Times New Roman" w:hAnsi="Times New Roman"/>
          <w:sz w:val="22"/>
          <w:szCs w:val="22"/>
          <w:b w:val="1"/>
          <w:bCs w:val="1"/>
          <w:u w:val="single" w:color="auto"/>
          <w:color w:val="auto"/>
        </w:rPr>
        <w:t>Transparency Laws</w:t>
      </w:r>
      <w:r>
        <w:rPr>
          <w:rFonts w:ascii="Times New Roman" w:cs="Times New Roman" w:eastAsia="Times New Roman" w:hAnsi="Times New Roman"/>
          <w:sz w:val="22"/>
          <w:szCs w:val="22"/>
          <w:color w:val="auto"/>
        </w:rPr>
        <w:t>. Company agrees that Vertex may publicly disclose any information related to (a) any payment or transfer of value made to Company by Vertex hereunder, or (b) any payment or transfer of value made by Company to any Third Party or Affiliate in connection with this Agreement, in each case (a)-(b), to the extent reasonably required by Transparency Laws and by any means, including reporting through any government platform or system, Vertex’s and its Affiliates’ websites or any other platform or system. Company will promptly (and in any event within [***]) provide Vertex with any such information as reasonably requested by Vertex to enable compliance with Transparency Laws.</w:t>
      </w:r>
    </w:p>
    <w:p>
      <w:pPr>
        <w:spacing w:after="0" w:line="146"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11.16. </w:t>
      </w:r>
      <w:r>
        <w:rPr>
          <w:rFonts w:ascii="Times New Roman" w:cs="Times New Roman" w:eastAsia="Times New Roman" w:hAnsi="Times New Roman"/>
          <w:sz w:val="22"/>
          <w:szCs w:val="22"/>
          <w:b w:val="1"/>
          <w:bCs w:val="1"/>
          <w:u w:val="single" w:color="auto"/>
          <w:color w:val="auto"/>
        </w:rPr>
        <w:t>Interpretation</w:t>
      </w:r>
      <w:r>
        <w:rPr>
          <w:rFonts w:ascii="Times New Roman" w:cs="Times New Roman" w:eastAsia="Times New Roman" w:hAnsi="Times New Roman"/>
          <w:sz w:val="22"/>
          <w:szCs w:val="22"/>
          <w:color w:val="auto"/>
        </w:rPr>
        <w:t>. Except where the context expressly requires otherwise, (a) the use of any gender herein will be deemed to encompass references to either or both genders, and the use of the singular will be deemed to include the plural (and vice versa), (b) the words “include,” “includes” and “including” will be deemed to be followed by the phrase “without limitation,” (c) the word “will” will be construed to have the same meaning and effect as the word “shall,” (d)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(e) any reference herein to any Person will be construed to include the Person’s successors and assigns, (f) the words “herein,” “hereof” and “hereunder,” and words of similar import, will be construed to refer to this Agreement in its entirety and not to any particular provision hereof, (g) all references herein to Sections, Schedules or Exhibits will be construed to refer to Sections, Schedules or Exhibits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395" w:right="339" w:bottom="1440" w:gutter="0" w:footer="0" w:header="0"/>
        </w:sectPr>
      </w:pPr>
    </w:p>
    <w:bookmarkStart w:id="325" w:name="page326"/>
    <w:bookmarkEnd w:id="325"/>
    <w:p>
      <w:pPr>
        <w:jc w:val="both"/>
        <w:spacing w:after="0" w:line="212" w:lineRule="auto"/>
        <w:rPr>
          <w:sz w:val="20"/>
          <w:szCs w:val="20"/>
          <w:color w:val="auto"/>
        </w:rPr>
      </w:pPr>
      <w:r>
        <w:rPr>
          <w:rFonts w:ascii="Times New Roman" w:cs="Times New Roman" w:eastAsia="Times New Roman" w:hAnsi="Times New Roman"/>
          <w:sz w:val="22"/>
          <w:szCs w:val="22"/>
          <w:color w:val="auto"/>
        </w:rPr>
        <w:t>this Agreement, and references to this Agreement include all Schedules and Exhibits hereto, (h) provisions that require that a Party, the Parties or any committee hereunder “agree,” “consent” or “approve” or the like will require that such agreement, consent or approval be specific and in writing, whether by written agreement, letter, approved minutes, e-mail or otherwise (but excluding text messaging or instant messaging), (i) references to any specific law, rule or regulation, or article, section or other division thereof, will be deemed to include the then-current amendments thereto or any replacement or successor law, rule or regulation thereof, (j) any action or occurrence deemed to be effective as of a particular date will be deemed to be effective as of 11:59 PM ET on such date and (k) the term “or” will be interpreted in the inclusive sense commonly associated with the term “and/or.”</w:t>
      </w:r>
    </w:p>
    <w:p>
      <w:pPr>
        <w:spacing w:after="0" w:line="15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11.17. </w:t>
      </w:r>
      <w:r>
        <w:rPr>
          <w:rFonts w:ascii="Times New Roman" w:cs="Times New Roman" w:eastAsia="Times New Roman" w:hAnsi="Times New Roman"/>
          <w:sz w:val="22"/>
          <w:szCs w:val="22"/>
          <w:b w:val="1"/>
          <w:bCs w:val="1"/>
          <w:u w:val="single" w:color="auto"/>
          <w:color w:val="auto"/>
        </w:rPr>
        <w:t>No Third Party Rights or Obligations</w:t>
      </w:r>
      <w:r>
        <w:rPr>
          <w:rFonts w:ascii="Times New Roman" w:cs="Times New Roman" w:eastAsia="Times New Roman" w:hAnsi="Times New Roman"/>
          <w:sz w:val="22"/>
          <w:szCs w:val="22"/>
          <w:color w:val="auto"/>
        </w:rPr>
        <w:t>. No provision of this Agreement will be deemed or construed in any way to result in the creation of any rights or obligations in any Person not a Party to this Agreement.</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 xml:space="preserve">11.18. </w:t>
      </w:r>
      <w:r>
        <w:rPr>
          <w:rFonts w:ascii="Times New Roman" w:cs="Times New Roman" w:eastAsia="Times New Roman" w:hAnsi="Times New Roman"/>
          <w:sz w:val="22"/>
          <w:szCs w:val="22"/>
          <w:b w:val="1"/>
          <w:bCs w:val="1"/>
          <w:u w:val="single" w:color="auto"/>
          <w:color w:val="auto"/>
        </w:rPr>
        <w:t>Further Actions</w:t>
      </w:r>
      <w:r>
        <w:rPr>
          <w:rFonts w:ascii="Times New Roman" w:cs="Times New Roman" w:eastAsia="Times New Roman" w:hAnsi="Times New Roman"/>
          <w:sz w:val="22"/>
          <w:szCs w:val="22"/>
          <w:color w:val="auto"/>
        </w:rPr>
        <w:t>. Each Party agrees to execute, acknowledge and deliver such further instruments, and to do all such other acts, as may be necessary or appropriate in order to carry out the purposes and intent of this Agreement.</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11.19. </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two counterparts, each of which will be an original and both of which will constitute together the same document. Counterparts may be signed and delivered by digital transmission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w:t>
      </w:r>
    </w:p>
    <w:p>
      <w:pPr>
        <w:jc w:val="both"/>
        <w:spacing w:after="0" w:line="218" w:lineRule="auto"/>
        <w:rPr>
          <w:sz w:val="20"/>
          <w:szCs w:val="20"/>
          <w:color w:val="auto"/>
        </w:rPr>
      </w:pPr>
      <w:r>
        <w:rPr>
          <w:rFonts w:ascii="Times New Roman" w:cs="Times New Roman" w:eastAsia="Times New Roman" w:hAnsi="Times New Roman"/>
          <w:sz w:val="22"/>
          <w:szCs w:val="22"/>
          <w:color w:val="auto"/>
        </w:rPr>
        <w:t>.pdf), each of which will be binding when received by the applicable Party. The Parties may execute this Agreement by electronically transmitted signature and such electronically transmitted signature will be as effective as an original executed signature page.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395" w:right="339" w:bottom="1440" w:gutter="0" w:footer="0" w:header="0"/>
        </w:sectPr>
      </w:pPr>
    </w:p>
    <w:bookmarkStart w:id="326" w:name="page327"/>
    <w:bookmarkEnd w:id="326"/>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caused this Agreement to be executed by their representatives thereunto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duly authorized as of the Execution Date.</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VERTEX PHARMACEUTICALS INCORPORATED</w:t>
      </w: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Reshma Kewalramani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Reshma Kewalramani</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Title: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ENTRADA THERAPEUTICS, INC.</w:t>
      </w: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Dipal Doshi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Dipal Doshi</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ectPr>
          <w:pgSz w:w="11900" w:h="16838" w:orient="portrait"/>
          <w:cols w:equalWidth="0" w:num="1">
            <w:col w:w="11240"/>
          </w:cols>
          <w:pgMar w:left="320" w:top="1391" w:right="339" w:bottom="1440" w:gutter="0" w:footer="0" w:header="0"/>
        </w:sectPr>
      </w:pPr>
    </w:p>
    <w:bookmarkStart w:id="327" w:name="page328"/>
    <w:bookmarkEnd w:id="32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1.19</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Baseball Arbitration Procedures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t>
      </w:r>
    </w:p>
    <w:p>
      <w:pPr>
        <w:sectPr>
          <w:pgSz w:w="11900" w:h="16838" w:orient="portrait"/>
          <w:cols w:equalWidth="0" w:num="1">
            <w:col w:w="9019"/>
          </w:cols>
          <w:pgMar w:left="1440" w:top="1391" w:right="1440" w:bottom="1440" w:gutter="0" w:footer="0" w:header="0"/>
        </w:sectPr>
      </w:pPr>
    </w:p>
    <w:bookmarkStart w:id="328" w:name="page329"/>
    <w:bookmarkEnd w:id="328"/>
    <w:p>
      <w:pPr>
        <w:jc w:val="center"/>
        <w:spacing w:after="0"/>
        <w:rPr>
          <w:sz w:val="20"/>
          <w:szCs w:val="20"/>
          <w:color w:val="auto"/>
        </w:rPr>
      </w:pPr>
      <w:r>
        <w:rPr>
          <w:rFonts w:ascii="Times New Roman" w:cs="Times New Roman" w:eastAsia="Times New Roman" w:hAnsi="Times New Roman"/>
          <w:sz w:val="22"/>
          <w:szCs w:val="22"/>
          <w:b w:val="1"/>
          <w:bCs w:val="1"/>
          <w:color w:val="auto"/>
        </w:rPr>
        <w:t>Schedule 1.102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Licensed Agent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391" w:right="1440" w:bottom="1440" w:gutter="0" w:footer="0" w:header="0"/>
        </w:sectPr>
      </w:pPr>
    </w:p>
    <w:bookmarkStart w:id="329" w:name="page330"/>
    <w:bookmarkEnd w:id="329"/>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Schedule 2.1.1</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Research Plan</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391" w:right="1440" w:bottom="1440" w:gutter="0" w:footer="0" w:header="0"/>
        </w:sectPr>
      </w:pPr>
    </w:p>
    <w:bookmarkStart w:id="330" w:name="page331"/>
    <w:bookmarkEnd w:id="33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4.3.5</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Third Party Vendors or Contractors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391" w:right="1440" w:bottom="1440" w:gutter="0" w:footer="0" w:header="0"/>
        </w:sectPr>
      </w:pPr>
    </w:p>
    <w:bookmarkStart w:id="331" w:name="page332"/>
    <w:bookmarkEnd w:id="33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5.6</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Company In-License Agreements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391" w:right="1440" w:bottom="1440" w:gutter="0" w:footer="0" w:header="0"/>
        </w:sectPr>
      </w:pPr>
    </w:p>
    <w:bookmarkStart w:id="332" w:name="page333"/>
    <w:bookmarkEnd w:id="33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7.2</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Disclosure Schedule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391" w:right="1440" w:bottom="1440" w:gutter="0" w:footer="0" w:header="0"/>
        </w:sectPr>
      </w:pPr>
    </w:p>
    <w:bookmarkStart w:id="333" w:name="page334"/>
    <w:bookmarkEnd w:id="333"/>
    <w:p>
      <w:pPr>
        <w:jc w:val="center"/>
        <w:spacing w:after="0"/>
        <w:rPr>
          <w:sz w:val="20"/>
          <w:szCs w:val="20"/>
          <w:color w:val="auto"/>
        </w:rPr>
      </w:pPr>
      <w:r>
        <w:rPr>
          <w:rFonts w:ascii="Times New Roman" w:cs="Times New Roman" w:eastAsia="Times New Roman" w:hAnsi="Times New Roman"/>
          <w:sz w:val="22"/>
          <w:szCs w:val="22"/>
          <w:b w:val="1"/>
          <w:bCs w:val="1"/>
          <w:color w:val="auto"/>
        </w:rPr>
        <w:t>Schedule 10.6.2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Third Party Publications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391" w:right="1440" w:bottom="1440" w:gutter="0" w:footer="0" w:header="0"/>
        </w:sectPr>
      </w:pPr>
    </w:p>
    <w:bookmarkStart w:id="334" w:name="page335"/>
    <w:bookmarkEnd w:id="334"/>
    <w:p>
      <w:pPr>
        <w:ind w:right="80"/>
        <w:spacing w:after="0" w:line="227" w:lineRule="auto"/>
        <w:rPr>
          <w:sz w:val="20"/>
          <w:szCs w:val="20"/>
          <w:color w:val="auto"/>
        </w:rPr>
      </w:pPr>
      <w:r>
        <w:rPr>
          <w:rFonts w:ascii="Times New Roman" w:cs="Times New Roman" w:eastAsia="Times New Roman" w:hAnsi="Times New Roman"/>
          <w:sz w:val="22"/>
          <w:szCs w:val="22"/>
          <w:b w:val="1"/>
          <w:bCs w:val="1"/>
          <w:color w:val="auto"/>
        </w:rPr>
        <w:t>CERTAIN CONFIDENTIAL INFORMATION, MARKED BY [***] HAS BEEN EXCLUDED FROM THIS EXHIBIT BECAUSE IT IS BOTH NOT MATERIAL AND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AMENDMENT NO. 1</w:t>
      </w:r>
    </w:p>
    <w:p>
      <w:pPr>
        <w:jc w:val="center"/>
        <w:ind w:right="60"/>
        <w:spacing w:after="0" w:line="204" w:lineRule="auto"/>
        <w:rPr>
          <w:sz w:val="20"/>
          <w:szCs w:val="20"/>
          <w:color w:val="auto"/>
        </w:rPr>
      </w:pPr>
      <w:r>
        <w:rPr>
          <w:rFonts w:ascii="Times New Roman" w:cs="Times New Roman" w:eastAsia="Times New Roman" w:hAnsi="Times New Roman"/>
          <w:sz w:val="22"/>
          <w:szCs w:val="22"/>
          <w:b w:val="1"/>
          <w:bCs w:val="1"/>
          <w:color w:val="auto"/>
        </w:rPr>
        <w:t>TO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STRATEGIC COLLABORATION AND LICENSE AGREEMENT</w:t>
      </w:r>
    </w:p>
    <w:p>
      <w:pPr>
        <w:spacing w:after="0" w:line="398"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This AMENDMENT NO. 1 TO THE STRATEGIC COLLABORATION AND LICENSE AGREEMENT (this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is entered into as of October 26, 2023 (the “</w:t>
      </w:r>
      <w:r>
        <w:rPr>
          <w:rFonts w:ascii="Times New Roman" w:cs="Times New Roman" w:eastAsia="Times New Roman" w:hAnsi="Times New Roman"/>
          <w:sz w:val="22"/>
          <w:szCs w:val="22"/>
          <w:b w:val="1"/>
          <w:bCs w:val="1"/>
          <w:color w:val="auto"/>
        </w:rPr>
        <w:t>Amendment Effective Date</w:t>
      </w:r>
      <w:r>
        <w:rPr>
          <w:rFonts w:ascii="Times New Roman" w:cs="Times New Roman" w:eastAsia="Times New Roman" w:hAnsi="Times New Roman"/>
          <w:sz w:val="22"/>
          <w:szCs w:val="22"/>
          <w:color w:val="auto"/>
        </w:rPr>
        <w:t xml:space="preserve">”) by and between, on the one hand, </w:t>
      </w:r>
      <w:r>
        <w:rPr>
          <w:rFonts w:ascii="Times New Roman" w:cs="Times New Roman" w:eastAsia="Times New Roman" w:hAnsi="Times New Roman"/>
          <w:sz w:val="22"/>
          <w:szCs w:val="22"/>
          <w:b w:val="1"/>
          <w:bCs w:val="1"/>
          <w:color w:val="auto"/>
        </w:rPr>
        <w:t>VERTEX PHARMACEUTICALS INCORPORATED</w:t>
      </w:r>
      <w:r>
        <w:rPr>
          <w:rFonts w:ascii="Times New Roman" w:cs="Times New Roman" w:eastAsia="Times New Roman" w:hAnsi="Times New Roman"/>
          <w:sz w:val="22"/>
          <w:szCs w:val="22"/>
          <w:color w:val="auto"/>
        </w:rPr>
        <w:t>, a corporation organized and existing under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Commonwealth of Massachusetts (“</w:t>
      </w:r>
      <w:r>
        <w:rPr>
          <w:rFonts w:ascii="Times New Roman" w:cs="Times New Roman" w:eastAsia="Times New Roman" w:hAnsi="Times New Roman"/>
          <w:sz w:val="22"/>
          <w:szCs w:val="22"/>
          <w:b w:val="1"/>
          <w:bCs w:val="1"/>
          <w:color w:val="auto"/>
        </w:rPr>
        <w:t>Vertex</w:t>
      </w:r>
      <w:r>
        <w:rPr>
          <w:rFonts w:ascii="Times New Roman" w:cs="Times New Roman" w:eastAsia="Times New Roman" w:hAnsi="Times New Roman"/>
          <w:sz w:val="22"/>
          <w:szCs w:val="22"/>
          <w:color w:val="auto"/>
        </w:rPr>
        <w:t xml:space="preserve">”), and, on the other hand, </w:t>
      </w:r>
      <w:r>
        <w:rPr>
          <w:rFonts w:ascii="Times New Roman" w:cs="Times New Roman" w:eastAsia="Times New Roman" w:hAnsi="Times New Roman"/>
          <w:sz w:val="22"/>
          <w:szCs w:val="22"/>
          <w:b w:val="1"/>
          <w:bCs w:val="1"/>
          <w:color w:val="auto"/>
        </w:rPr>
        <w:t>ENTRADA THERAPEUTICS, INC.</w:t>
      </w:r>
      <w:r>
        <w:rPr>
          <w:rFonts w:ascii="Times New Roman" w:cs="Times New Roman" w:eastAsia="Times New Roman" w:hAnsi="Times New Roman"/>
          <w:sz w:val="22"/>
          <w:szCs w:val="22"/>
          <w:color w:val="auto"/>
        </w:rPr>
        <w:t>, a corporation organized under the laws of the State of Delaware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Vertex and Company each may be referred to herein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or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This Amendment amends the Strategic Collaboration and License Agreement, entered into as of December 7, 2022, between Vertex and Company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Capitalized terms used but not defined in this Amendment shall have the meanings ascribed to such terms in the Agreement.</w:t>
      </w:r>
    </w:p>
    <w:p>
      <w:pPr>
        <w:spacing w:after="0" w:line="38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RECITALS</w:t>
      </w: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Vertex and Company desire to amend Section 1.167 and Section 5.3.1 of the Agreement.</w:t>
      </w:r>
    </w:p>
    <w:p>
      <w:pPr>
        <w:spacing w:after="0" w:line="151" w:lineRule="exact"/>
        <w:rPr>
          <w:sz w:val="20"/>
          <w:szCs w:val="20"/>
          <w:color w:val="auto"/>
        </w:rPr>
      </w:pPr>
    </w:p>
    <w:p>
      <w:pPr>
        <w:ind w:left="660" w:right="3760"/>
        <w:spacing w:after="0" w:line="429"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the Company has [***] as defined under the original Agreement;</w:t>
      </w:r>
      <w:r>
        <w:rPr>
          <w:rFonts w:ascii="Times New Roman" w:cs="Times New Roman" w:eastAsia="Times New Roman" w:hAnsi="Times New Roman"/>
          <w:sz w:val="21"/>
          <w:szCs w:val="21"/>
          <w:b w:val="1"/>
          <w:bCs w:val="1"/>
          <w:color w:val="auto"/>
        </w:rPr>
        <w:t xml:space="preserve"> WHEREAS, </w:t>
      </w:r>
      <w:r>
        <w:rPr>
          <w:rFonts w:ascii="Times New Roman" w:cs="Times New Roman" w:eastAsia="Times New Roman" w:hAnsi="Times New Roman"/>
          <w:sz w:val="21"/>
          <w:szCs w:val="21"/>
          <w:color w:val="auto"/>
        </w:rPr>
        <w:t>the Parties have agreed [***] to amend the Agreement [***].</w:t>
      </w:r>
    </w:p>
    <w:p>
      <w:pPr>
        <w:spacing w:after="0" w:line="1"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respective covenants and agreements set forth herein, the Parties hereto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as follows:</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12.</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AMENDMENTS</w:t>
      </w:r>
    </w:p>
    <w:p>
      <w:pPr>
        <w:spacing w:after="0" w:line="15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Times New Roman" w:cs="Times New Roman" w:eastAsia="Times New Roman" w:hAnsi="Times New Roman"/>
          <w:sz w:val="21"/>
          <w:szCs w:val="21"/>
          <w:b w:val="1"/>
          <w:bCs w:val="1"/>
          <w:u w:val="single" w:color="auto"/>
          <w:color w:val="auto"/>
        </w:rPr>
        <w:t>Amendment Date</w:t>
      </w:r>
      <w:r>
        <w:rPr>
          <w:rFonts w:ascii="Times New Roman" w:cs="Times New Roman" w:eastAsia="Times New Roman" w:hAnsi="Times New Roman"/>
          <w:sz w:val="21"/>
          <w:szCs w:val="21"/>
          <w:color w:val="auto"/>
        </w:rPr>
        <w:t>. This Amendment will be effective as of the Amendment Effective Date.</w:t>
      </w:r>
    </w:p>
    <w:p>
      <w:pPr>
        <w:spacing w:after="0" w:line="179" w:lineRule="exact"/>
        <w:rPr>
          <w:sz w:val="20"/>
          <w:szCs w:val="20"/>
          <w:color w:val="auto"/>
        </w:rPr>
      </w:pPr>
    </w:p>
    <w:p>
      <w:pPr>
        <w:jc w:val="both"/>
        <w:ind w:left="660" w:right="20" w:hanging="647"/>
        <w:spacing w:after="0" w:line="238" w:lineRule="auto"/>
        <w:tabs>
          <w:tab w:leader="none" w:pos="64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2"/>
          <w:szCs w:val="22"/>
          <w:b w:val="1"/>
          <w:bCs w:val="1"/>
          <w:u w:val="single" w:color="auto"/>
          <w:color w:val="auto"/>
        </w:rPr>
        <w:t>Successful Completion of Ongoing Study Definition</w:t>
      </w:r>
      <w:r>
        <w:rPr>
          <w:rFonts w:ascii="Times New Roman" w:cs="Times New Roman" w:eastAsia="Times New Roman" w:hAnsi="Times New Roman"/>
          <w:sz w:val="22"/>
          <w:szCs w:val="22"/>
          <w:color w:val="auto"/>
        </w:rPr>
        <w:t>. Section 1.167 of the Agreement is hereby amended by deleting it</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in its entirety and replacing it with the following text:</w:t>
      </w:r>
    </w:p>
    <w:p>
      <w:pPr>
        <w:spacing w:after="0" w:line="146"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22"/>
          <w:szCs w:val="22"/>
          <w:color w:val="auto"/>
        </w:rPr>
        <w:t>1.167.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Successful Completion of Ongoing Study</w:t>
      </w:r>
      <w:r>
        <w:rPr>
          <w:rFonts w:ascii="Times New Roman" w:cs="Times New Roman" w:eastAsia="Times New Roman" w:hAnsi="Times New Roman"/>
          <w:sz w:val="21"/>
          <w:szCs w:val="21"/>
          <w:color w:val="auto"/>
        </w:rPr>
        <w:t>” means [***].</w:t>
      </w:r>
    </w:p>
    <w:p>
      <w:pPr>
        <w:sectPr>
          <w:pgSz w:w="11900" w:h="16838" w:orient="portrait"/>
          <w:cols w:equalWidth="0" w:num="1">
            <w:col w:w="11240"/>
          </w:cols>
          <w:pgMar w:left="320" w:top="1391" w:right="339" w:bottom="1440" w:gutter="0" w:footer="0" w:header="0"/>
        </w:sectPr>
      </w:pPr>
    </w:p>
    <w:bookmarkStart w:id="335" w:name="page336"/>
    <w:bookmarkEnd w:id="335"/>
    <w:p>
      <w:pPr>
        <w:jc w:val="both"/>
        <w:ind w:left="660" w:right="20" w:hanging="647"/>
        <w:spacing w:after="0" w:line="227" w:lineRule="auto"/>
        <w:tabs>
          <w:tab w:leader="none" w:pos="64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2"/>
          <w:szCs w:val="22"/>
          <w:b w:val="1"/>
          <w:bCs w:val="1"/>
          <w:u w:val="single" w:color="auto"/>
          <w:color w:val="auto"/>
        </w:rPr>
        <w:t>Milestone Payment Section</w:t>
      </w:r>
      <w:r>
        <w:rPr>
          <w:rFonts w:ascii="Times New Roman" w:cs="Times New Roman" w:eastAsia="Times New Roman" w:hAnsi="Times New Roman"/>
          <w:sz w:val="22"/>
          <w:szCs w:val="22"/>
          <w:color w:val="auto"/>
        </w:rPr>
        <w:t>. The Section 5.3.1 of the Agreement is hereby amended (i) by deleting the table contained in</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Section 5.3.1 and replacing it with the table set forth below and (ii) adding a final sentence to Section 5.3.1 after the table as set forth below.</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00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51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Milestone Event</w:t>
            </w:r>
          </w:p>
        </w:tc>
        <w:tc>
          <w:tcPr>
            <w:tcW w:w="514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Milestone Payment</w:t>
            </w:r>
          </w:p>
        </w:tc>
      </w:tr>
      <w:tr>
        <w:trPr>
          <w:trHeight w:val="263"/>
        </w:trPr>
        <w:tc>
          <w:tcPr>
            <w:tcW w:w="1000" w:type="dxa"/>
            <w:vAlign w:val="bottom"/>
            <w:tcBorders>
              <w:left w:val="single" w:sz="8" w:color="auto"/>
              <w:bottom w:val="single" w:sz="8" w:color="auto"/>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1</w:t>
            </w:r>
          </w:p>
        </w:tc>
        <w:tc>
          <w:tcPr>
            <w:tcW w:w="5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5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263"/>
        </w:trPr>
        <w:tc>
          <w:tcPr>
            <w:tcW w:w="1000" w:type="dxa"/>
            <w:vAlign w:val="bottom"/>
            <w:tcBorders>
              <w:left w:val="single" w:sz="8" w:color="auto"/>
              <w:bottom w:val="single" w:sz="8" w:color="auto"/>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2</w:t>
            </w:r>
          </w:p>
        </w:tc>
        <w:tc>
          <w:tcPr>
            <w:tcW w:w="5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5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263"/>
        </w:trPr>
        <w:tc>
          <w:tcPr>
            <w:tcW w:w="1000" w:type="dxa"/>
            <w:vAlign w:val="bottom"/>
            <w:tcBorders>
              <w:left w:val="single" w:sz="8" w:color="auto"/>
              <w:bottom w:val="single" w:sz="8" w:color="auto"/>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3</w:t>
            </w:r>
          </w:p>
        </w:tc>
        <w:tc>
          <w:tcPr>
            <w:tcW w:w="5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5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263"/>
        </w:trPr>
        <w:tc>
          <w:tcPr>
            <w:tcW w:w="1000" w:type="dxa"/>
            <w:vAlign w:val="bottom"/>
            <w:tcBorders>
              <w:left w:val="single" w:sz="8" w:color="auto"/>
              <w:bottom w:val="single" w:sz="8" w:color="auto"/>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4</w:t>
            </w:r>
          </w:p>
        </w:tc>
        <w:tc>
          <w:tcPr>
            <w:tcW w:w="5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5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263"/>
        </w:trPr>
        <w:tc>
          <w:tcPr>
            <w:tcW w:w="1000" w:type="dxa"/>
            <w:vAlign w:val="bottom"/>
            <w:tcBorders>
              <w:left w:val="single" w:sz="8" w:color="auto"/>
              <w:bottom w:val="single" w:sz="8" w:color="auto"/>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5</w:t>
            </w:r>
          </w:p>
        </w:tc>
        <w:tc>
          <w:tcPr>
            <w:tcW w:w="5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5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bl>
    <w:p>
      <w:pPr>
        <w:spacing w:after="0" w:line="297" w:lineRule="exact"/>
        <w:rPr>
          <w:sz w:val="20"/>
          <w:szCs w:val="20"/>
          <w:color w:val="auto"/>
        </w:rPr>
      </w:pPr>
    </w:p>
    <w:p>
      <w:pPr>
        <w:ind w:left="1300" w:right="20"/>
        <w:spacing w:after="0" w:line="236" w:lineRule="auto"/>
        <w:rPr>
          <w:sz w:val="20"/>
          <w:szCs w:val="20"/>
          <w:color w:val="auto"/>
        </w:rPr>
      </w:pPr>
      <w:r>
        <w:rPr>
          <w:rFonts w:ascii="Times New Roman" w:cs="Times New Roman" w:eastAsia="Times New Roman" w:hAnsi="Times New Roman"/>
          <w:sz w:val="22"/>
          <w:szCs w:val="22"/>
          <w:color w:val="auto"/>
        </w:rPr>
        <w:t>As of the Amendment Effective Date under the Agreement, as amended, the Parties agree and acknowledge [***] in accordance with Section 5.3.3 promptly after the Amendment Effective Date.</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ARTICLE 13.</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51" w:lineRule="exact"/>
        <w:rPr>
          <w:sz w:val="20"/>
          <w:szCs w:val="20"/>
          <w:color w:val="auto"/>
        </w:rPr>
      </w:pPr>
    </w:p>
    <w:p>
      <w:pPr>
        <w:jc w:val="both"/>
        <w:ind w:left="660" w:right="20" w:hanging="647"/>
        <w:spacing w:after="0" w:line="216" w:lineRule="auto"/>
        <w:tabs>
          <w:tab w:leader="none" w:pos="640" w:val="left"/>
        </w:tabs>
        <w:rPr>
          <w:sz w:val="20"/>
          <w:szCs w:val="20"/>
          <w:color w:val="auto"/>
        </w:rPr>
      </w:pPr>
      <w:r>
        <w:rPr>
          <w:rFonts w:ascii="Times New Roman" w:cs="Times New Roman" w:eastAsia="Times New Roman" w:hAnsi="Times New Roman"/>
          <w:sz w:val="22"/>
          <w:szCs w:val="22"/>
          <w:color w:val="auto"/>
        </w:rPr>
        <w:t>13.1.</w:t>
      </w:r>
      <w:r>
        <w:rPr>
          <w:sz w:val="20"/>
          <w:szCs w:val="20"/>
          <w:color w:val="auto"/>
        </w:rPr>
        <w:tab/>
      </w:r>
      <w:r>
        <w:rPr>
          <w:rFonts w:ascii="Times New Roman" w:cs="Times New Roman" w:eastAsia="Times New Roman" w:hAnsi="Times New Roman"/>
          <w:sz w:val="22"/>
          <w:szCs w:val="22"/>
          <w:b w:val="1"/>
          <w:bCs w:val="1"/>
          <w:u w:val="single" w:color="auto"/>
          <w:color w:val="auto"/>
        </w:rPr>
        <w:t>Effect of Amendment</w:t>
      </w:r>
      <w:r>
        <w:rPr>
          <w:rFonts w:ascii="Times New Roman" w:cs="Times New Roman" w:eastAsia="Times New Roman" w:hAnsi="Times New Roman"/>
          <w:sz w:val="22"/>
          <w:szCs w:val="22"/>
          <w:color w:val="auto"/>
        </w:rPr>
        <w:t>. The amendments set forth in this Amendment shall be deemed to be incorporated in, and made a</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 xml:space="preserve">part of, the Agreement, and the Agreement and this Amendment shall be read, taken and construed as one and the same agreement (including with respect to the provisions set forth in Article 11 (Miscellaneous) of the Agreement which shall, as applicable, be deemed to apply to this Amendment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This Amendment shall not be deemed to be an amendment to any other terms and conditions of the Agreement. Except as expressly amended by this Amendment, the Agreement remains unchanged and in full force and effect.</w:t>
      </w:r>
    </w:p>
    <w:p>
      <w:pPr>
        <w:spacing w:after="0" w:line="146" w:lineRule="exact"/>
        <w:rPr>
          <w:sz w:val="20"/>
          <w:szCs w:val="20"/>
          <w:color w:val="auto"/>
        </w:rPr>
      </w:pPr>
    </w:p>
    <w:p>
      <w:pPr>
        <w:jc w:val="both"/>
        <w:ind w:left="660" w:right="20" w:hanging="647"/>
        <w:spacing w:after="0" w:line="218" w:lineRule="auto"/>
        <w:tabs>
          <w:tab w:leader="none" w:pos="640" w:val="left"/>
        </w:tabs>
        <w:rPr>
          <w:sz w:val="20"/>
          <w:szCs w:val="20"/>
          <w:color w:val="auto"/>
        </w:rPr>
      </w:pPr>
      <w:r>
        <w:rPr>
          <w:rFonts w:ascii="Times New Roman" w:cs="Times New Roman" w:eastAsia="Times New Roman" w:hAnsi="Times New Roman"/>
          <w:sz w:val="22"/>
          <w:szCs w:val="22"/>
          <w:color w:val="auto"/>
        </w:rPr>
        <w:t>13.2.</w:t>
      </w:r>
      <w:r>
        <w:rPr>
          <w:sz w:val="20"/>
          <w:szCs w:val="20"/>
          <w:color w:val="auto"/>
        </w:rPr>
        <w:tab/>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Amendment may be executed in one or more counterparts, each of which will be an original and all</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of which will constitute together the same document. Counterparts may be signed and delivered by digital transmission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.pdf), each of which will be binding when received by the applicable Party. The Parties may execute this Agreement by electronically transmitted signature and such electronically transmitted signature will be as effective as an original executed signature page.</w:t>
      </w:r>
    </w:p>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jc w:val="center"/>
        <w:ind w:right="20"/>
        <w:spacing w:after="0"/>
        <w:rPr>
          <w:sz w:val="20"/>
          <w:szCs w:val="20"/>
          <w:color w:val="auto"/>
        </w:rPr>
      </w:pPr>
      <w:r>
        <w:rPr>
          <w:rFonts w:ascii="Times New Roman" w:cs="Times New Roman" w:eastAsia="Times New Roman" w:hAnsi="Times New Roman"/>
          <w:sz w:val="22"/>
          <w:szCs w:val="22"/>
          <w:color w:val="auto"/>
        </w:rPr>
        <w:t>* - * - * - *</w:t>
      </w:r>
    </w:p>
    <w:p>
      <w:pPr>
        <w:sectPr>
          <w:pgSz w:w="11900" w:h="16838" w:orient="portrait"/>
          <w:cols w:equalWidth="0" w:num="1">
            <w:col w:w="11260"/>
          </w:cols>
          <w:pgMar w:left="320" w:top="1391" w:right="319" w:bottom="1440" w:gutter="0" w:footer="0" w:header="0"/>
        </w:sectPr>
      </w:pPr>
    </w:p>
    <w:bookmarkStart w:id="336" w:name="page337"/>
    <w:bookmarkEnd w:id="336"/>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caused this Amendment to be executed by their representatives thereunto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duly authorized as of the Amendment Effective Date.</w:t>
      </w:r>
    </w:p>
    <w:p>
      <w:pPr>
        <w:spacing w:after="0" w:line="200" w:lineRule="exact"/>
        <w:rPr>
          <w:sz w:val="20"/>
          <w:szCs w:val="20"/>
          <w:color w:val="auto"/>
        </w:rPr>
      </w:pPr>
    </w:p>
    <w:tbl>
      <w:tblPr>
        <w:tblLayout w:type="fixed"/>
        <w:tblInd w:w="80" w:type="dxa"/>
        <w:tblCellMar>
          <w:top w:w="0" w:type="dxa"/>
          <w:left w:w="0" w:type="dxa"/>
          <w:bottom w:w="0" w:type="dxa"/>
          <w:right w:w="0" w:type="dxa"/>
        </w:tblCellMar>
      </w:tblPr>
      <w:tr>
        <w:trPr>
          <w:trHeight w:val="274"/>
        </w:trPr>
        <w:tc>
          <w:tcPr>
            <w:tcW w:w="57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VERTEX PHARMACEUTICALS INCORPORATED</w:t>
            </w:r>
          </w:p>
        </w:tc>
        <w:tc>
          <w:tcPr>
            <w:tcW w:w="542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ENTRADA THERAPEUTICS, INC.</w:t>
            </w:r>
          </w:p>
        </w:tc>
      </w:tr>
      <w:tr>
        <w:trPr>
          <w:trHeight w:val="282"/>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 Charles Wagner</w:t>
            </w:r>
          </w:p>
        </w:tc>
        <w:tc>
          <w:tcPr>
            <w:tcW w:w="12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By:</w:t>
            </w:r>
          </w:p>
        </w:tc>
        <w:tc>
          <w:tcPr>
            <w:tcW w:w="4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 Dipal Doshi</w:t>
            </w:r>
          </w:p>
        </w:tc>
      </w:tr>
      <w:tr>
        <w:trPr>
          <w:trHeight w:val="251"/>
        </w:trPr>
        <w:tc>
          <w:tcPr>
            <w:tcW w:w="13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4420" w:type="dxa"/>
            <w:vAlign w:val="bottom"/>
          </w:tcPr>
          <w:p>
            <w:pPr>
              <w:ind w:left="60"/>
              <w:spacing w:after="0" w:line="251" w:lineRule="exact"/>
              <w:rPr>
                <w:sz w:val="20"/>
                <w:szCs w:val="20"/>
                <w:color w:val="auto"/>
              </w:rPr>
            </w:pPr>
            <w:r>
              <w:rPr>
                <w:rFonts w:ascii="Times New Roman" w:cs="Times New Roman" w:eastAsia="Times New Roman" w:hAnsi="Times New Roman"/>
                <w:sz w:val="22"/>
                <w:szCs w:val="22"/>
                <w:color w:val="auto"/>
              </w:rPr>
              <w:t>Charles Wagner</w:t>
            </w:r>
          </w:p>
        </w:tc>
        <w:tc>
          <w:tcPr>
            <w:tcW w:w="1220" w:type="dxa"/>
            <w:vAlign w:val="bottom"/>
          </w:tcPr>
          <w:p>
            <w:pPr>
              <w:ind w:left="60"/>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4200" w:type="dxa"/>
            <w:vAlign w:val="bottom"/>
          </w:tcPr>
          <w:p>
            <w:pPr>
              <w:ind w:left="60"/>
              <w:spacing w:after="0" w:line="251" w:lineRule="exact"/>
              <w:rPr>
                <w:sz w:val="20"/>
                <w:szCs w:val="20"/>
                <w:color w:val="auto"/>
              </w:rPr>
            </w:pPr>
            <w:r>
              <w:rPr>
                <w:rFonts w:ascii="Times New Roman" w:cs="Times New Roman" w:eastAsia="Times New Roman" w:hAnsi="Times New Roman"/>
                <w:sz w:val="22"/>
                <w:szCs w:val="22"/>
                <w:color w:val="auto"/>
              </w:rPr>
              <w:t>Dipal Doshi</w:t>
            </w:r>
          </w:p>
        </w:tc>
      </w:tr>
      <w:tr>
        <w:trPr>
          <w:trHeight w:val="282"/>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4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CFO</w:t>
            </w:r>
          </w:p>
        </w:tc>
        <w:tc>
          <w:tcPr>
            <w:tcW w:w="12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Title:</w:t>
            </w:r>
          </w:p>
        </w:tc>
        <w:tc>
          <w:tcPr>
            <w:tcW w:w="4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CEO</w:t>
            </w:r>
          </w:p>
        </w:tc>
      </w:tr>
    </w:tbl>
    <w:p>
      <w:pPr>
        <w:sectPr>
          <w:pgSz w:w="11900" w:h="16838" w:orient="portrait"/>
          <w:cols w:equalWidth="0" w:num="1">
            <w:col w:w="11240"/>
          </w:cols>
          <w:pgMar w:left="320" w:top="1391" w:right="339" w:bottom="1440" w:gutter="0" w:footer="0" w:header="0"/>
        </w:sectPr>
      </w:pPr>
    </w:p>
    <w:bookmarkStart w:id="337" w:name="page338"/>
    <w:bookmarkEnd w:id="337"/>
    <w:p>
      <w:pPr>
        <w:jc w:val="right"/>
        <w:spacing w:after="0"/>
        <w:rPr>
          <w:sz w:val="20"/>
          <w:szCs w:val="20"/>
          <w:color w:val="auto"/>
        </w:rPr>
      </w:pPr>
      <w:r>
        <w:rPr>
          <w:rFonts w:ascii="Times New Roman" w:cs="Times New Roman" w:eastAsia="Times New Roman" w:hAnsi="Times New Roman"/>
          <w:sz w:val="22"/>
          <w:szCs w:val="22"/>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22"/>
          <w:szCs w:val="22"/>
          <w:b w:val="1"/>
          <w:bCs w:val="1"/>
          <w:color w:val="auto"/>
        </w:rPr>
        <w:t>CERTAIN CONFIDENTIAL INFORMATION, MARKED BY [***] HAS BEEN EXCLUDED FROM THIS EXHIBIT BECAUSE IT IS BOTH NOT MATERIAL AND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SUBLICENSE AGREEMENT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BETWEEN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VERTEX PHARMACEUTICALS INCORPORATED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ENTRADA THERAPEUTICS, INC.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7, 2022</w:t>
      </w:r>
    </w:p>
    <w:p>
      <w:pPr>
        <w:sectPr>
          <w:pgSz w:w="11900" w:h="16838" w:orient="portrait"/>
          <w:cols w:equalWidth="0" w:num="1">
            <w:col w:w="11240"/>
          </w:cols>
          <w:pgMar w:left="320" w:top="1391" w:right="339" w:bottom="1440" w:gutter="0" w:footer="0" w:header="0"/>
        </w:sectPr>
      </w:pPr>
    </w:p>
    <w:bookmarkStart w:id="338" w:name="page339"/>
    <w:bookmarkEnd w:id="338"/>
    <w:p>
      <w:pPr>
        <w:jc w:val="center"/>
        <w:spacing w:after="0"/>
        <w:rPr>
          <w:sz w:val="20"/>
          <w:szCs w:val="20"/>
          <w:color w:val="auto"/>
        </w:rPr>
      </w:pPr>
      <w:r>
        <w:rPr>
          <w:rFonts w:ascii="Times New Roman" w:cs="Times New Roman" w:eastAsia="Times New Roman" w:hAnsi="Times New Roman"/>
          <w:sz w:val="22"/>
          <w:szCs w:val="22"/>
          <w:b w:val="1"/>
          <w:bCs w:val="1"/>
          <w:color w:val="auto"/>
        </w:rPr>
        <w:t>SUBLICENSE AGREEMENT</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This Sublicense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entered into as of December 7, 2022 (the “</w:t>
      </w:r>
      <w:r>
        <w:rPr>
          <w:rFonts w:ascii="Times New Roman" w:cs="Times New Roman" w:eastAsia="Times New Roman" w:hAnsi="Times New Roman"/>
          <w:sz w:val="22"/>
          <w:szCs w:val="22"/>
          <w:b w:val="1"/>
          <w:bCs w:val="1"/>
          <w:color w:val="auto"/>
        </w:rPr>
        <w:t>Execution Date</w:t>
      </w:r>
      <w:r>
        <w:rPr>
          <w:rFonts w:ascii="Times New Roman" w:cs="Times New Roman" w:eastAsia="Times New Roman" w:hAnsi="Times New Roman"/>
          <w:sz w:val="22"/>
          <w:szCs w:val="22"/>
          <w:color w:val="auto"/>
        </w:rPr>
        <w:t>”) by and between Vertex Pharmaceuticals Incorporated, a corporation organized under the laws of The Commonwealth of Massachusetts (“</w:t>
      </w:r>
      <w:r>
        <w:rPr>
          <w:rFonts w:ascii="Times New Roman" w:cs="Times New Roman" w:eastAsia="Times New Roman" w:hAnsi="Times New Roman"/>
          <w:sz w:val="22"/>
          <w:szCs w:val="22"/>
          <w:b w:val="1"/>
          <w:bCs w:val="1"/>
          <w:color w:val="auto"/>
        </w:rPr>
        <w:t>Vertex</w:t>
      </w:r>
      <w:r>
        <w:rPr>
          <w:rFonts w:ascii="Times New Roman" w:cs="Times New Roman" w:eastAsia="Times New Roman" w:hAnsi="Times New Roman"/>
          <w:sz w:val="22"/>
          <w:szCs w:val="22"/>
          <w:color w:val="auto"/>
        </w:rPr>
        <w:t>”), and Entrada Therapeutics, Inc., a corporation organized under the laws of the State of Delaware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Vertex and Company each may be referred to herein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or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Company is party to that certain Exclusive License Agreement (the “</w:t>
      </w:r>
      <w:r>
        <w:rPr>
          <w:rFonts w:ascii="Times New Roman" w:cs="Times New Roman" w:eastAsia="Times New Roman" w:hAnsi="Times New Roman"/>
          <w:sz w:val="22"/>
          <w:szCs w:val="22"/>
          <w:b w:val="1"/>
          <w:bCs w:val="1"/>
          <w:color w:val="auto"/>
        </w:rPr>
        <w:t>OSIF Agreement</w:t>
      </w:r>
      <w:r>
        <w:rPr>
          <w:rFonts w:ascii="Times New Roman" w:cs="Times New Roman" w:eastAsia="Times New Roman" w:hAnsi="Times New Roman"/>
          <w:sz w:val="22"/>
          <w:szCs w:val="22"/>
          <w:color w:val="auto"/>
        </w:rPr>
        <w:t>”), dated December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14, 2018, by and between Company and the Ohio State Innovation Foundation (“</w:t>
      </w:r>
      <w:r>
        <w:rPr>
          <w:rFonts w:ascii="Times New Roman" w:cs="Times New Roman" w:eastAsia="Times New Roman" w:hAnsi="Times New Roman"/>
          <w:sz w:val="22"/>
          <w:szCs w:val="22"/>
          <w:b w:val="1"/>
          <w:bCs w:val="1"/>
          <w:color w:val="auto"/>
        </w:rPr>
        <w:t>OSIF</w:t>
      </w:r>
      <w:r>
        <w:rPr>
          <w:rFonts w:ascii="Times New Roman" w:cs="Times New Roman" w:eastAsia="Times New Roman" w:hAnsi="Times New Roman"/>
          <w:sz w:val="22"/>
          <w:szCs w:val="22"/>
          <w:color w:val="auto"/>
        </w:rPr>
        <w:t>”), pursuant to which OSIF granted to Company an exclusive license under certain intellectual property to practice certain products;</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Vertex is a biopharmaceutical company that possesses expertise in developing and commercializing human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therapeutics;</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simultaneously with entering into this Agreement, Company and Vertex are entering into a Strategic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Collaboration and License Agreement (the “</w:t>
      </w:r>
      <w:r>
        <w:rPr>
          <w:rFonts w:ascii="Times New Roman" w:cs="Times New Roman" w:eastAsia="Times New Roman" w:hAnsi="Times New Roman"/>
          <w:sz w:val="22"/>
          <w:szCs w:val="22"/>
          <w:b w:val="1"/>
          <w:bCs w:val="1"/>
          <w:color w:val="auto"/>
        </w:rPr>
        <w:t>Collaboration Agreement</w:t>
      </w:r>
      <w:r>
        <w:rPr>
          <w:rFonts w:ascii="Times New Roman" w:cs="Times New Roman" w:eastAsia="Times New Roman" w:hAnsi="Times New Roman"/>
          <w:sz w:val="22"/>
          <w:szCs w:val="22"/>
          <w:color w:val="auto"/>
        </w:rPr>
        <w:t>”), pursuant to which Company would perform certain research activities and grant to Vertex an exclusive license to exploit novel products for the treatment or prevention of DM1, using Company’s proprietary EEV delivery peptides on the terms and conditions set forth therein;</w:t>
      </w:r>
    </w:p>
    <w:p>
      <w:pPr>
        <w:spacing w:after="0" w:line="14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Vertex and Company desire to enter into this Agreement, pursuant to which Company would grant to Vertex</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 exclusive sublicense under the OSIF Agreement to exploit novel products for the treatment or prevention of DM1; and</w:t>
      </w:r>
    </w:p>
    <w:p>
      <w:pPr>
        <w:spacing w:after="0" w:line="12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respective covenants, representations, warranties and agreements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the Parties hereto agree as follows: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purposes of this Agreement, the following capitalized terms will have the following meanings:</w:t>
      </w:r>
    </w:p>
    <w:p>
      <w:pPr>
        <w:spacing w:after="0" w:line="17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AAA</w:t>
      </w:r>
      <w:r>
        <w:rPr>
          <w:rFonts w:ascii="Times New Roman" w:cs="Times New Roman" w:eastAsia="Times New Roman" w:hAnsi="Times New Roman"/>
          <w:sz w:val="21"/>
          <w:szCs w:val="21"/>
          <w:color w:val="auto"/>
        </w:rPr>
        <w:t>” has the meaning set forth in Section 12.12.2.</w:t>
      </w:r>
    </w:p>
    <w:p>
      <w:pPr>
        <w:spacing w:after="0" w:line="17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1.2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as of any point in time and for so long as such relationship continues to exist with respect to any Person, any other Person that controls, is controlled by or is under common control with such Person. A Person will be regarded as in control of another Person if it (a) owns or controls, directly or indirectly, more than 50% of the equity securities of the subject Person entitled to vote in the election of directors (or, in the case of a Person that is not a corporation, for the election of the corresponding managing authority), or (b) possesses, directly or indirectly, the power to direct or cause the direction of the management or policies of such Person (whether through ownership of securities or other ownership interests, by contract or otherwise).</w:t>
      </w:r>
    </w:p>
    <w:p>
      <w:pPr>
        <w:spacing w:after="0" w:line="14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has the meaning set forth in the Preamble.</w:t>
      </w:r>
    </w:p>
    <w:p>
      <w:pPr>
        <w:sectPr>
          <w:pgSz w:w="11900" w:h="16838" w:orient="portrait"/>
          <w:cols w:equalWidth="0" w:num="1">
            <w:col w:w="11240"/>
          </w:cols>
          <w:pgMar w:left="320" w:top="1391" w:right="339" w:bottom="1440" w:gutter="0" w:footer="0" w:header="0"/>
        </w:sectPr>
      </w:pPr>
    </w:p>
    <w:bookmarkStart w:id="339" w:name="page340"/>
    <w:bookmarkEnd w:id="339"/>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1.4 “</w:t>
      </w:r>
      <w:r>
        <w:rPr>
          <w:rFonts w:ascii="Times New Roman" w:cs="Times New Roman" w:eastAsia="Times New Roman" w:hAnsi="Times New Roman"/>
          <w:sz w:val="22"/>
          <w:szCs w:val="22"/>
          <w:b w:val="1"/>
          <w:bCs w:val="1"/>
          <w:color w:val="auto"/>
        </w:rPr>
        <w:t>Annual Net Sales</w:t>
      </w:r>
      <w:r>
        <w:rPr>
          <w:rFonts w:ascii="Times New Roman" w:cs="Times New Roman" w:eastAsia="Times New Roman" w:hAnsi="Times New Roman"/>
          <w:sz w:val="22"/>
          <w:szCs w:val="22"/>
          <w:color w:val="auto"/>
        </w:rPr>
        <w:t>” means, with respect to a Product, the aggregate Net Sales of the Product sold by Vertex, its Affiliates or Sublicensees in the Field in the Territory during a Calendar Year and only during the Royalty Term for such Product(s) in the applicable country.</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1.5 “</w:t>
      </w:r>
      <w:r>
        <w:rPr>
          <w:rFonts w:ascii="Times New Roman" w:cs="Times New Roman" w:eastAsia="Times New Roman" w:hAnsi="Times New Roman"/>
          <w:sz w:val="22"/>
          <w:szCs w:val="22"/>
          <w:b w:val="1"/>
          <w:bCs w:val="1"/>
          <w:color w:val="auto"/>
        </w:rPr>
        <w:t>Applicable Law</w:t>
      </w:r>
      <w:r>
        <w:rPr>
          <w:rFonts w:ascii="Times New Roman" w:cs="Times New Roman" w:eastAsia="Times New Roman" w:hAnsi="Times New Roman"/>
          <w:sz w:val="22"/>
          <w:szCs w:val="22"/>
          <w:color w:val="auto"/>
        </w:rPr>
        <w:t>” means all applicable laws, statutes, rules, regulations and other pronouncements having the effect of law of any federal, national, multinational, state, provincial, county, city or other political subdivision, agency or other body, domestic or foreign, including any applicable rules, regulations, guidelines, or other requirements of the Regulatory Authorities that may be in effect from time to time.</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1.6 “</w:t>
      </w:r>
      <w:r>
        <w:rPr>
          <w:rFonts w:ascii="Times New Roman" w:cs="Times New Roman" w:eastAsia="Times New Roman" w:hAnsi="Times New Roman"/>
          <w:sz w:val="22"/>
          <w:szCs w:val="22"/>
          <w:b w:val="1"/>
          <w:bCs w:val="1"/>
          <w:color w:val="auto"/>
        </w:rPr>
        <w:t>Approval Application</w:t>
      </w:r>
      <w:r>
        <w:rPr>
          <w:rFonts w:ascii="Times New Roman" w:cs="Times New Roman" w:eastAsia="Times New Roman" w:hAnsi="Times New Roman"/>
          <w:sz w:val="22"/>
          <w:szCs w:val="22"/>
          <w:color w:val="auto"/>
        </w:rPr>
        <w:t>” means a BLA, NDA or similar application or submission for a Product filed with a Regulatory Authority in a country or group of countries to obtain marketing approval for a biological or pharmaceutical product in that country or group of countries.</w:t>
      </w:r>
    </w:p>
    <w:p>
      <w:pPr>
        <w:spacing w:after="0" w:line="14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Arbitration Notice</w:t>
      </w:r>
      <w:r>
        <w:rPr>
          <w:rFonts w:ascii="Times New Roman" w:cs="Times New Roman" w:eastAsia="Times New Roman" w:hAnsi="Times New Roman"/>
          <w:sz w:val="21"/>
          <w:szCs w:val="21"/>
          <w:color w:val="auto"/>
        </w:rPr>
        <w:t>” has the meaning set forth in Section 12.12.2.</w:t>
      </w:r>
    </w:p>
    <w:p>
      <w:pPr>
        <w:spacing w:after="0" w:line="17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Baseball Arbitration</w:t>
      </w:r>
      <w:r>
        <w:rPr>
          <w:rFonts w:ascii="Times New Roman" w:cs="Times New Roman" w:eastAsia="Times New Roman" w:hAnsi="Times New Roman"/>
          <w:sz w:val="21"/>
          <w:szCs w:val="21"/>
          <w:color w:val="auto"/>
        </w:rPr>
        <w:t xml:space="preserve">” means the arbitration process set forth in </w:t>
      </w:r>
      <w:r>
        <w:rPr>
          <w:rFonts w:ascii="Times New Roman" w:cs="Times New Roman" w:eastAsia="Times New Roman" w:hAnsi="Times New Roman"/>
          <w:sz w:val="21"/>
          <w:szCs w:val="21"/>
          <w:u w:val="single" w:color="auto"/>
          <w:color w:val="auto"/>
        </w:rPr>
        <w:t>Schedule 1.8</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Baseball Expert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Schedule 1.8</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1.10 “</w:t>
      </w:r>
      <w:r>
        <w:rPr>
          <w:rFonts w:ascii="Times New Roman" w:cs="Times New Roman" w:eastAsia="Times New Roman" w:hAnsi="Times New Roman"/>
          <w:sz w:val="22"/>
          <w:szCs w:val="22"/>
          <w:b w:val="1"/>
          <w:bCs w:val="1"/>
          <w:color w:val="auto"/>
        </w:rPr>
        <w:t>BLA</w:t>
      </w:r>
      <w:r>
        <w:rPr>
          <w:rFonts w:ascii="Times New Roman" w:cs="Times New Roman" w:eastAsia="Times New Roman" w:hAnsi="Times New Roman"/>
          <w:sz w:val="22"/>
          <w:szCs w:val="22"/>
          <w:color w:val="auto"/>
        </w:rPr>
        <w:t>” means a Biologics License Application that is submitted to the FDA for marketing approval for a Product pursuant to 21 C.F.R. § 601.2.</w:t>
      </w:r>
    </w:p>
    <w:p>
      <w:pPr>
        <w:spacing w:after="0" w:line="14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Breaching Party</w:t>
      </w:r>
      <w:r>
        <w:rPr>
          <w:rFonts w:ascii="Times New Roman" w:cs="Times New Roman" w:eastAsia="Times New Roman" w:hAnsi="Times New Roman"/>
          <w:sz w:val="21"/>
          <w:szCs w:val="21"/>
          <w:color w:val="auto"/>
        </w:rPr>
        <w:t>” means the Party that the other Party believes is in material breach of this Agreement.</w:t>
      </w:r>
    </w:p>
    <w:p>
      <w:pPr>
        <w:spacing w:after="0" w:line="179"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1.12 “</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 Monday, Tuesday, Wednesday, Thursday or Friday that is not a day on which banking institutions in Boston, Massachusetts are authorized or obligated to close.</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1.13 “</w:t>
      </w:r>
      <w:r>
        <w:rPr>
          <w:rFonts w:ascii="Times New Roman" w:cs="Times New Roman" w:eastAsia="Times New Roman" w:hAnsi="Times New Roman"/>
          <w:sz w:val="22"/>
          <w:szCs w:val="22"/>
          <w:b w:val="1"/>
          <w:bCs w:val="1"/>
          <w:color w:val="auto"/>
        </w:rPr>
        <w:t>Calendar Quarter</w:t>
      </w:r>
      <w:r>
        <w:rPr>
          <w:rFonts w:ascii="Times New Roman" w:cs="Times New Roman" w:eastAsia="Times New Roman" w:hAnsi="Times New Roman"/>
          <w:sz w:val="22"/>
          <w:szCs w:val="22"/>
          <w:color w:val="auto"/>
        </w:rPr>
        <w:t>” means the respective periods of three consecutive calendar months ending on March 31, June 30, September 30 or December 31, during the Term, or the applicable part thereof during the first or last calendar quarter of the Term.</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1.14 “</w:t>
      </w:r>
      <w:r>
        <w:rPr>
          <w:rFonts w:ascii="Times New Roman" w:cs="Times New Roman" w:eastAsia="Times New Roman" w:hAnsi="Times New Roman"/>
          <w:sz w:val="22"/>
          <w:szCs w:val="22"/>
          <w:b w:val="1"/>
          <w:bCs w:val="1"/>
          <w:color w:val="auto"/>
        </w:rPr>
        <w:t>Calendar Year</w:t>
      </w:r>
      <w:r>
        <w:rPr>
          <w:rFonts w:ascii="Times New Roman" w:cs="Times New Roman" w:eastAsia="Times New Roman" w:hAnsi="Times New Roman"/>
          <w:sz w:val="22"/>
          <w:szCs w:val="22"/>
          <w:color w:val="auto"/>
        </w:rPr>
        <w:t>” means any calendar year ending on December 31, or the applicable part thereof during the first or last year of the Term.</w:t>
      </w:r>
    </w:p>
    <w:p>
      <w:pPr>
        <w:spacing w:after="0" w:line="14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CDA</w:t>
      </w:r>
      <w:r>
        <w:rPr>
          <w:rFonts w:ascii="Times New Roman" w:cs="Times New Roman" w:eastAsia="Times New Roman" w:hAnsi="Times New Roman"/>
          <w:sz w:val="21"/>
          <w:szCs w:val="21"/>
          <w:color w:val="auto"/>
        </w:rPr>
        <w:t>” has the meaning set forth in Section 1.29.</w:t>
      </w:r>
    </w:p>
    <w:p>
      <w:pPr>
        <w:spacing w:after="0" w:line="17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1.16 “</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means, with respect to a Party, (a) a merger or consolidation of such Party with a Third Party that results in the voting securities of such Party outstanding immediately prior thereto, or any securities into which such voting securities have been converted or exchanged, ceasing to represent more than 50% of the combined voting power of the surviving entity or the parent of the surviving entity immediately after such merger or consolidation, (b) a transaction or series of related transactions in which a Third Party, together with its Affiliates, becomes the beneficial owner of more than 50% of the combined voting power of the outstanding securities of such Party, or (c) the sale or other transfer to a Third Party of all or substantially all of such Party’s business or assets to which the subject matter of this Agreement relates.</w:t>
      </w:r>
    </w:p>
    <w:p>
      <w:pPr>
        <w:spacing w:after="0" w:line="14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1.17 “</w:t>
      </w:r>
      <w:r>
        <w:rPr>
          <w:rFonts w:ascii="Times New Roman" w:cs="Times New Roman" w:eastAsia="Times New Roman" w:hAnsi="Times New Roman"/>
          <w:sz w:val="22"/>
          <w:szCs w:val="22"/>
          <w:b w:val="1"/>
          <w:bCs w:val="1"/>
          <w:color w:val="auto"/>
        </w:rPr>
        <w:t>Clinical Trial</w:t>
      </w:r>
      <w:r>
        <w:rPr>
          <w:rFonts w:ascii="Times New Roman" w:cs="Times New Roman" w:eastAsia="Times New Roman" w:hAnsi="Times New Roman"/>
          <w:sz w:val="22"/>
          <w:szCs w:val="22"/>
          <w:color w:val="auto"/>
        </w:rPr>
        <w:t>” means a study in humans that is required to be conducted in accordance with GCP and is designed to generate data in support of an Approval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1" w:right="339" w:bottom="1440" w:gutter="0" w:footer="0" w:header="0"/>
        </w:sectPr>
      </w:pPr>
    </w:p>
    <w:bookmarkStart w:id="340" w:name="page341"/>
    <w:bookmarkEnd w:id="340"/>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Collaboration Agreement</w:t>
      </w:r>
      <w:r>
        <w:rPr>
          <w:rFonts w:ascii="Times New Roman" w:cs="Times New Roman" w:eastAsia="Times New Roman" w:hAnsi="Times New Roman"/>
          <w:sz w:val="21"/>
          <w:szCs w:val="21"/>
          <w:color w:val="auto"/>
        </w:rPr>
        <w:t>” has the meaning set forth in the Recitals.</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Combination Product</w:t>
      </w:r>
      <w:r>
        <w:rPr>
          <w:rFonts w:ascii="Times New Roman" w:cs="Times New Roman" w:eastAsia="Times New Roman" w:hAnsi="Times New Roman"/>
          <w:sz w:val="21"/>
          <w:szCs w:val="21"/>
          <w:color w:val="auto"/>
        </w:rPr>
        <w:t>” has the meaning set forth in Section 1.78.</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1.20 “</w:t>
      </w:r>
      <w:r>
        <w:rPr>
          <w:rFonts w:ascii="Times New Roman" w:cs="Times New Roman" w:eastAsia="Times New Roman" w:hAnsi="Times New Roman"/>
          <w:sz w:val="22"/>
          <w:szCs w:val="22"/>
          <w:b w:val="1"/>
          <w:bCs w:val="1"/>
          <w:color w:val="auto"/>
        </w:rPr>
        <w:t>Commercialize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Commercializing</w:t>
      </w:r>
      <w:r>
        <w:rPr>
          <w:rFonts w:ascii="Times New Roman" w:cs="Times New Roman" w:eastAsia="Times New Roman" w:hAnsi="Times New Roman"/>
          <w:sz w:val="22"/>
          <w:szCs w:val="22"/>
          <w:color w:val="auto"/>
        </w:rPr>
        <w:t>” means to (a) market, promote, distribute, offer for sale, sell, have sold, import, export or otherwise commercialize a Product, (b) conduct activities, other than Research, Development and Manufacturing, in preparation for the foregoing activities, including obtaining Price Approval or (c) conduct post-Marketing Approval studies (including Clinical Trials). When used as a noun, “Commercialization” means any activities involved in Commercializing.</w:t>
      </w:r>
    </w:p>
    <w:p>
      <w:pPr>
        <w:spacing w:after="0" w:line="14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1.21 “</w:t>
      </w:r>
      <w:r>
        <w:rPr>
          <w:rFonts w:ascii="Times New Roman" w:cs="Times New Roman" w:eastAsia="Times New Roman" w:hAnsi="Times New Roman"/>
          <w:sz w:val="22"/>
          <w:szCs w:val="22"/>
          <w:b w:val="1"/>
          <w:bCs w:val="1"/>
          <w:color w:val="auto"/>
        </w:rPr>
        <w:t>Commercially Reasonable Efforts</w:t>
      </w:r>
      <w:r>
        <w:rPr>
          <w:rFonts w:ascii="Times New Roman" w:cs="Times New Roman" w:eastAsia="Times New Roman" w:hAnsi="Times New Roman"/>
          <w:sz w:val="22"/>
          <w:szCs w:val="22"/>
          <w:color w:val="auto"/>
        </w:rPr>
        <w:t xml:space="preserve">” means, with respect to the efforts to be expended by any Person with respect to any objective, reasonable, diligent and good faith efforts to accomplish such objective.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1.22 “</w:t>
      </w:r>
      <w:r>
        <w:rPr>
          <w:rFonts w:ascii="Times New Roman" w:cs="Times New Roman" w:eastAsia="Times New Roman" w:hAnsi="Times New Roman"/>
          <w:sz w:val="22"/>
          <w:szCs w:val="22"/>
          <w:b w:val="1"/>
          <w:bCs w:val="1"/>
          <w:color w:val="auto"/>
        </w:rPr>
        <w:t>Common Ownership Legislation</w:t>
      </w:r>
      <w:r>
        <w:rPr>
          <w:rFonts w:ascii="Times New Roman" w:cs="Times New Roman" w:eastAsia="Times New Roman" w:hAnsi="Times New Roman"/>
          <w:sz w:val="22"/>
          <w:szCs w:val="22"/>
          <w:color w:val="auto"/>
        </w:rPr>
        <w:t>” means the legislation on conditions for patentability and novelty, as codified at 35 U.S.C. § 102(c) (Common Ownership Under Joint Research Agreements).</w:t>
      </w:r>
    </w:p>
    <w:p>
      <w:pPr>
        <w:spacing w:after="0" w:line="14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has the meaning set forth in the Preamble.</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1.24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 Breach Event</w:t>
      </w:r>
      <w:r>
        <w:rPr>
          <w:rFonts w:ascii="Times New Roman" w:cs="Times New Roman" w:eastAsia="Times New Roman" w:hAnsi="Times New Roman"/>
          <w:sz w:val="21"/>
          <w:szCs w:val="21"/>
          <w:color w:val="auto"/>
        </w:rPr>
        <w:t>” has the meaning set forth in Section 10.2.3(a).</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1.25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 Indemnified Party</w:t>
      </w:r>
      <w:r>
        <w:rPr>
          <w:rFonts w:ascii="Times New Roman" w:cs="Times New Roman" w:eastAsia="Times New Roman" w:hAnsi="Times New Roman"/>
          <w:sz w:val="21"/>
          <w:szCs w:val="21"/>
          <w:color w:val="auto"/>
        </w:rPr>
        <w:t>” has the meaning set forth in Section 9.1.</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Competitive Infringement</w:t>
      </w:r>
      <w:r>
        <w:rPr>
          <w:rFonts w:ascii="Times New Roman" w:cs="Times New Roman" w:eastAsia="Times New Roman" w:hAnsi="Times New Roman"/>
          <w:sz w:val="21"/>
          <w:szCs w:val="21"/>
          <w:color w:val="auto"/>
        </w:rPr>
        <w:t>” has the meaning set forth in Section 7.3.1.</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1.27 “</w:t>
      </w:r>
      <w:r>
        <w:rPr>
          <w:rFonts w:ascii="Times New Roman" w:cs="Times New Roman" w:eastAsia="Times New Roman" w:hAnsi="Times New Roman"/>
          <w:sz w:val="22"/>
          <w:szCs w:val="22"/>
          <w:b w:val="1"/>
          <w:bCs w:val="1"/>
          <w:color w:val="auto"/>
        </w:rPr>
        <w:t>Competitive Product</w:t>
      </w:r>
      <w:r>
        <w:rPr>
          <w:rFonts w:ascii="Times New Roman" w:cs="Times New Roman" w:eastAsia="Times New Roman" w:hAnsi="Times New Roman"/>
          <w:sz w:val="22"/>
          <w:szCs w:val="22"/>
          <w:color w:val="auto"/>
        </w:rPr>
        <w:t xml:space="preserve">” means, with respect to a particular Product in a particular country, a product on the market in such country commercialized by any Third Party that is not a Sublicensee and that is not otherwise authorized to sell such product by, and did not purchase such product in a chain of distribution that included, any of Vertex or its Affiliates or Sublicensees, that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1.28 “</w:t>
      </w:r>
      <w:r>
        <w:rPr>
          <w:rFonts w:ascii="Times New Roman" w:cs="Times New Roman" w:eastAsia="Times New Roman" w:hAnsi="Times New Roman"/>
          <w:sz w:val="22"/>
          <w:szCs w:val="22"/>
          <w:b w:val="1"/>
          <w:bCs w:val="1"/>
          <w:color w:val="auto"/>
        </w:rPr>
        <w:t>Compliance</w:t>
      </w:r>
      <w:r>
        <w:rPr>
          <w:rFonts w:ascii="Times New Roman" w:cs="Times New Roman" w:eastAsia="Times New Roman" w:hAnsi="Times New Roman"/>
          <w:sz w:val="22"/>
          <w:szCs w:val="22"/>
          <w:color w:val="auto"/>
        </w:rPr>
        <w:t>” means, with respect to a Party, the adherence by such Party and its Affiliates to Applicable Law and such Party’s Party Specific Regulations, in each case with respect to the activities to be conducted under this Agreement.</w:t>
      </w:r>
    </w:p>
    <w:p>
      <w:pPr>
        <w:spacing w:after="0" w:line="146"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1.29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means, with respect to each Party, all Know-How or other information, including proprietary information (whether or not patentable) regarding or embodying such Party’s technology, agents, products, business information or objectives, that is communicated in any way or form by or on behalf of the Disclosing Party to the Receiving Party or its permitted recipients, pursuant to this Agreement or that certain Mutual Confidentiality Agreement between Vertex and Company dated [***], and that certain Confidentiality Agreement between Vertex and Company dated [***] (together, the “</w:t>
      </w:r>
      <w:r>
        <w:rPr>
          <w:rFonts w:ascii="Times New Roman" w:cs="Times New Roman" w:eastAsia="Times New Roman" w:hAnsi="Times New Roman"/>
          <w:sz w:val="22"/>
          <w:szCs w:val="22"/>
          <w:b w:val="1"/>
          <w:bCs w:val="1"/>
          <w:color w:val="auto"/>
        </w:rPr>
        <w:t>CDA</w:t>
      </w:r>
      <w:r>
        <w:rPr>
          <w:rFonts w:ascii="Times New Roman" w:cs="Times New Roman" w:eastAsia="Times New Roman" w:hAnsi="Times New Roman"/>
          <w:sz w:val="22"/>
          <w:szCs w:val="22"/>
          <w:color w:val="auto"/>
        </w:rPr>
        <w:t>”), whether or not such Know-How or other information is identified as confidential at the time of disclosure. The terms of this Agreement will be considered Confidential Information of both Parties, with both Parties deemed to be the Receiving Party of such Confidential Information. [***]. Notwithstanding any provision of this Section 1.29 to the contrary, Confidential Information does not include any Know-How or information that: (a) was already known by the Receiving Party (other than under an obligation of confidentiality) at the time of disclosure by or on behalf of the Disclosing Party; (b) was generally available to the public or part of the public domain at the time of its disclosure to the Receiving Party; (c) became generally available to the public or part of the public domain after its disclosure to the Receiving Party, other than through any act or omission of the Receiving Party in breach of its obligations under this Agreement; (d)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1" w:right="339" w:bottom="1440" w:gutter="0" w:footer="0" w:header="0"/>
        </w:sectPr>
      </w:pPr>
    </w:p>
    <w:bookmarkStart w:id="341" w:name="page342"/>
    <w:bookmarkEnd w:id="341"/>
    <w:p>
      <w:pPr>
        <w:jc w:val="both"/>
        <w:spacing w:after="0" w:line="213" w:lineRule="auto"/>
        <w:rPr>
          <w:sz w:val="20"/>
          <w:szCs w:val="20"/>
          <w:color w:val="auto"/>
        </w:rPr>
      </w:pPr>
      <w:r>
        <w:rPr>
          <w:rFonts w:ascii="Times New Roman" w:cs="Times New Roman" w:eastAsia="Times New Roman" w:hAnsi="Times New Roman"/>
          <w:sz w:val="22"/>
          <w:szCs w:val="22"/>
          <w:color w:val="auto"/>
        </w:rPr>
        <w:t>disclosed to the Receiving Party (other than under an obligation of confidentiality) by a Third Party who has no obligation to the Disclosing Party not to disclose such information to the Receiving Party; or (e) is independently discovered or developed by or on behalf of the Receiving Party without the use of any Confidential Information belonging to the Disclosing Party. Confidential Information disclosed to the Receiving Party hereunder will not be deemed to fall within the foregoing exceptions merely because broader or related information falls within such exceptions, nor will combinations of elements or principles be considered to fall within the foregoing exceptions merely because individual elements of such combinations fall within such exceptions.</w:t>
      </w:r>
    </w:p>
    <w:p>
      <w:pPr>
        <w:spacing w:after="0" w:line="152"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1.30 “</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Controlled</w:t>
      </w:r>
      <w:r>
        <w:rPr>
          <w:rFonts w:ascii="Times New Roman" w:cs="Times New Roman" w:eastAsia="Times New Roman" w:hAnsi="Times New Roman"/>
          <w:sz w:val="22"/>
          <w:szCs w:val="22"/>
          <w:color w:val="auto"/>
        </w:rPr>
        <w:t>” means, with respect to a Party and to any Know-How, Patent or Materials, possession on the Effective Date or at any time during the Term of the ability by such Party or its Affiliate (whether by sole or joint ownership, license or otherwise), other than pursuant to this Agreement, to grant, without violating the terms of any agreement with a Third Party, a license, access or other right in, to or under such Know-How, Patent or Materials. [***].</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1.31 “</w:t>
      </w:r>
      <w:r>
        <w:rPr>
          <w:rFonts w:ascii="Times New Roman" w:cs="Times New Roman" w:eastAsia="Times New Roman" w:hAnsi="Times New Roman"/>
          <w:sz w:val="22"/>
          <w:szCs w:val="22"/>
          <w:b w:val="1"/>
          <w:bCs w:val="1"/>
          <w:color w:val="auto"/>
        </w:rPr>
        <w:t>Cover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Covering</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Covers</w:t>
      </w:r>
      <w:r>
        <w:rPr>
          <w:rFonts w:ascii="Times New Roman" w:cs="Times New Roman" w:eastAsia="Times New Roman" w:hAnsi="Times New Roman"/>
          <w:sz w:val="22"/>
          <w:szCs w:val="22"/>
          <w:color w:val="auto"/>
        </w:rPr>
        <w:t>” means, with respect to a compound, product or other technology and a Patent, that, in the absence of a license granted under, or ownership of, such Patent, the making, using, keeping, selling, offering for sale or importation of such compound, product or other technology would infringe such Patent or, as to a pending claim included in such Patent, the making, using, keeping, selling, offering for sale or importation of such compound, product or other technology would infringe such Patent if such pending claim were to issue in an issued patent without modification.</w:t>
      </w:r>
    </w:p>
    <w:p>
      <w:pPr>
        <w:spacing w:after="0" w:line="147"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1.32 “</w:t>
      </w:r>
      <w:r>
        <w:rPr>
          <w:rFonts w:ascii="Times New Roman" w:cs="Times New Roman" w:eastAsia="Times New Roman" w:hAnsi="Times New Roman"/>
          <w:sz w:val="22"/>
          <w:szCs w:val="22"/>
          <w:b w:val="1"/>
          <w:bCs w:val="1"/>
          <w:color w:val="auto"/>
        </w:rPr>
        <w:t>Development</w:t>
      </w:r>
      <w:r>
        <w:rPr>
          <w:rFonts w:ascii="Times New Roman" w:cs="Times New Roman" w:eastAsia="Times New Roman" w:hAnsi="Times New Roman"/>
          <w:sz w:val="22"/>
          <w:szCs w:val="22"/>
          <w:color w:val="auto"/>
        </w:rPr>
        <w:t>” means, with respect to a Licensed Agent or Product, all clinical and non-clinical research and development activities conducted after filing of an IND for such Licensed Agent or Product, including toxicology, pharmacology test method development and stability testing, process development, formulation development, delivery system development, quality assurance and quality control development, statistical analysis, Clinical Trials (other than post-Marketing Approval Clinical Trials), regulatory affairs, pharmacovigilance, Clinical Trial regulatory activities and obtaining and maintaining Marketing Approval. When used as a verb, “Develop” or “Developing” means to engage in Development.</w:t>
      </w:r>
    </w:p>
    <w:p>
      <w:pPr>
        <w:spacing w:after="0" w:line="14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1.33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Disclosing Party</w:t>
      </w:r>
      <w:r>
        <w:rPr>
          <w:rFonts w:ascii="Times New Roman" w:cs="Times New Roman" w:eastAsia="Times New Roman" w:hAnsi="Times New Roman"/>
          <w:sz w:val="21"/>
          <w:szCs w:val="21"/>
          <w:color w:val="auto"/>
        </w:rPr>
        <w:t>” has the meaning set forth in Section 11.1.</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1.34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Dispute</w:t>
      </w:r>
      <w:r>
        <w:rPr>
          <w:rFonts w:ascii="Times New Roman" w:cs="Times New Roman" w:eastAsia="Times New Roman" w:hAnsi="Times New Roman"/>
          <w:sz w:val="21"/>
          <w:szCs w:val="21"/>
          <w:color w:val="auto"/>
        </w:rPr>
        <w:t>” has the meaning set forth in Section 12.12.</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1.35 “</w:t>
      </w:r>
      <w:r>
        <w:rPr>
          <w:rFonts w:ascii="Times New Roman" w:cs="Times New Roman" w:eastAsia="Times New Roman" w:hAnsi="Times New Roman"/>
          <w:sz w:val="22"/>
          <w:szCs w:val="22"/>
          <w:b w:val="1"/>
          <w:bCs w:val="1"/>
          <w:color w:val="auto"/>
        </w:rPr>
        <w:t>Distributor</w:t>
      </w:r>
      <w:r>
        <w:rPr>
          <w:rFonts w:ascii="Times New Roman" w:cs="Times New Roman" w:eastAsia="Times New Roman" w:hAnsi="Times New Roman"/>
          <w:sz w:val="22"/>
          <w:szCs w:val="22"/>
          <w:color w:val="auto"/>
        </w:rPr>
        <w:t>” means a Third Party to whom Vertex or its Affiliates or Sublicensees grant a right to sell or distribute a Product, that purchases its requirements for such Product from Vertex or its Affiliates or Sublicensees and does not otherwise make any royalty or other payments to Vertex or its Affiliates or Sublicensees with respect to Vertex’s, its Affiliates’ or its Sublicensees’ intellectual property rights or Products, including any payments that are calculated on the basis of a percentage of, or profit share on, such Third Party’s sale of Products.</w:t>
      </w:r>
    </w:p>
    <w:p>
      <w:pPr>
        <w:spacing w:after="0" w:line="147"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1.36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DM1</w:t>
      </w:r>
      <w:r>
        <w:rPr>
          <w:rFonts w:ascii="Times New Roman" w:cs="Times New Roman" w:eastAsia="Times New Roman" w:hAnsi="Times New Roman"/>
          <w:sz w:val="21"/>
          <w:szCs w:val="21"/>
          <w:color w:val="auto"/>
        </w:rPr>
        <w:t>” means myotonic dystrophy type 1.</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1.37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DMPK</w:t>
      </w:r>
      <w:r>
        <w:rPr>
          <w:rFonts w:ascii="Times New Roman" w:cs="Times New Roman" w:eastAsia="Times New Roman" w:hAnsi="Times New Roman"/>
          <w:sz w:val="21"/>
          <w:szCs w:val="21"/>
          <w:color w:val="auto"/>
        </w:rPr>
        <w:t>” means myotonic dystrophy protein kinase.</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1.38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EEV</w:t>
      </w:r>
      <w:r>
        <w:rPr>
          <w:rFonts w:ascii="Times New Roman" w:cs="Times New Roman" w:eastAsia="Times New Roman" w:hAnsi="Times New Roman"/>
          <w:sz w:val="21"/>
          <w:szCs w:val="21"/>
          <w:color w:val="auto"/>
        </w:rPr>
        <w:t>” means an endosomal escape vehicle.</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1.39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EEV-PMO</w:t>
      </w:r>
      <w:r>
        <w:rPr>
          <w:rFonts w:ascii="Times New Roman" w:cs="Times New Roman" w:eastAsia="Times New Roman" w:hAnsi="Times New Roman"/>
          <w:sz w:val="21"/>
          <w:szCs w:val="21"/>
          <w:color w:val="auto"/>
        </w:rPr>
        <w:t>” means an EEV-linked phosphorodiamidate morpholino oligomer.</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1.40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means the Effective Date of the Collaboration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342" w:name="page343"/>
    <w:bookmarkEnd w:id="342"/>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1.41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EMA</w:t>
      </w:r>
      <w:r>
        <w:rPr>
          <w:rFonts w:ascii="Times New Roman" w:cs="Times New Roman" w:eastAsia="Times New Roman" w:hAnsi="Times New Roman"/>
          <w:sz w:val="21"/>
          <w:szCs w:val="21"/>
          <w:color w:val="auto"/>
        </w:rPr>
        <w:t>” means the European Medicines Agency and any successor entity thereto.</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1.42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ENTR-701</w:t>
      </w:r>
      <w:r>
        <w:rPr>
          <w:rFonts w:ascii="Times New Roman" w:cs="Times New Roman" w:eastAsia="Times New Roman" w:hAnsi="Times New Roman"/>
          <w:sz w:val="21"/>
          <w:szCs w:val="21"/>
          <w:color w:val="auto"/>
        </w:rPr>
        <w:t>” has the meaning set forth in Section 1.71.</w:t>
      </w:r>
    </w:p>
    <w:p>
      <w:pPr>
        <w:spacing w:after="0" w:line="179"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1"/>
          <w:szCs w:val="21"/>
          <w:color w:val="auto"/>
        </w:rPr>
        <w:t>1.43 “</w:t>
      </w:r>
      <w:r>
        <w:rPr>
          <w:rFonts w:ascii="Times New Roman" w:cs="Times New Roman" w:eastAsia="Times New Roman" w:hAnsi="Times New Roman"/>
          <w:sz w:val="21"/>
          <w:szCs w:val="21"/>
          <w:b w:val="1"/>
          <w:bCs w:val="1"/>
          <w:color w:val="auto"/>
        </w:rPr>
        <w:t>Europe</w:t>
      </w:r>
      <w:r>
        <w:rPr>
          <w:rFonts w:ascii="Times New Roman" w:cs="Times New Roman" w:eastAsia="Times New Roman" w:hAnsi="Times New Roman"/>
          <w:sz w:val="21"/>
          <w:szCs w:val="21"/>
          <w:color w:val="auto"/>
        </w:rPr>
        <w:t>” means (a) the economic, scientific and political organization of member states of the European Union as it may be constituted from time to time, which as of the Effective Date consists of Austria, Belgium, Bulgaria, Croatia, Czech Republic, Denmark, Estonia, Finland, France, Germany, Greece, Hungary, Ireland, Italy, Latvia, Lithuania, Luxembourg, Malta, The Netherlands, Poland, Portugal, Romania, Slovakia, Slovenia, Spain, Sweden and that certain portion of Cyprus included in such organization (the “</w:t>
      </w:r>
      <w:r>
        <w:rPr>
          <w:rFonts w:ascii="Times New Roman" w:cs="Times New Roman" w:eastAsia="Times New Roman" w:hAnsi="Times New Roman"/>
          <w:sz w:val="21"/>
          <w:szCs w:val="21"/>
          <w:b w:val="1"/>
          <w:bCs w:val="1"/>
          <w:color w:val="auto"/>
        </w:rPr>
        <w:t>European Union</w:t>
      </w:r>
      <w:r>
        <w:rPr>
          <w:rFonts w:ascii="Times New Roman" w:cs="Times New Roman" w:eastAsia="Times New Roman" w:hAnsi="Times New Roman"/>
          <w:sz w:val="21"/>
          <w:szCs w:val="21"/>
          <w:color w:val="auto"/>
        </w:rPr>
        <w:t>”), (b) the United Kingdom of Great Britain and Northern Ireland, (c) any member country of the European Economic Area that is not otherwise a member of the European Union, and (d) any country not otherwise included in clauses (a), (b) or (c) that [***]. For clarity, “Europe” will at all times be deemed to include each of [***].</w:t>
      </w:r>
    </w:p>
    <w:p>
      <w:pPr>
        <w:spacing w:after="0" w:line="15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1.44 “</w:t>
      </w:r>
      <w:r>
        <w:rPr>
          <w:rFonts w:ascii="Times New Roman" w:cs="Times New Roman" w:eastAsia="Times New Roman" w:hAnsi="Times New Roman"/>
          <w:sz w:val="22"/>
          <w:szCs w:val="22"/>
          <w:b w:val="1"/>
          <w:bCs w:val="1"/>
          <w:color w:val="auto"/>
        </w:rPr>
        <w:t>European Commission</w:t>
      </w:r>
      <w:r>
        <w:rPr>
          <w:rFonts w:ascii="Times New Roman" w:cs="Times New Roman" w:eastAsia="Times New Roman" w:hAnsi="Times New Roman"/>
          <w:sz w:val="22"/>
          <w:szCs w:val="22"/>
          <w:color w:val="auto"/>
        </w:rPr>
        <w:t>” means the European Commission or any successor entity that is responsible for granting marketing approvals authorizing the sale of pharmaceuticals in Europe.</w:t>
      </w:r>
    </w:p>
    <w:p>
      <w:pPr>
        <w:spacing w:after="0" w:line="14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1.45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European Union</w:t>
      </w:r>
      <w:r>
        <w:rPr>
          <w:rFonts w:ascii="Times New Roman" w:cs="Times New Roman" w:eastAsia="Times New Roman" w:hAnsi="Times New Roman"/>
          <w:sz w:val="21"/>
          <w:szCs w:val="21"/>
          <w:color w:val="auto"/>
        </w:rPr>
        <w:t>” has the meaning set forth in Section 1.43.</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1.46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Execution Date</w:t>
      </w:r>
      <w:r>
        <w:rPr>
          <w:rFonts w:ascii="Times New Roman" w:cs="Times New Roman" w:eastAsia="Times New Roman" w:hAnsi="Times New Roman"/>
          <w:sz w:val="21"/>
          <w:szCs w:val="21"/>
          <w:color w:val="auto"/>
        </w:rPr>
        <w:t>” has the meaning set forth in the Preamble.</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1.47 “</w:t>
      </w:r>
      <w:r>
        <w:rPr>
          <w:rFonts w:ascii="Times New Roman" w:cs="Times New Roman" w:eastAsia="Times New Roman" w:hAnsi="Times New Roman"/>
          <w:sz w:val="22"/>
          <w:szCs w:val="22"/>
          <w:b w:val="1"/>
          <w:bCs w:val="1"/>
          <w:color w:val="auto"/>
        </w:rPr>
        <w:t>Executive Officers</w:t>
      </w:r>
      <w:r>
        <w:rPr>
          <w:rFonts w:ascii="Times New Roman" w:cs="Times New Roman" w:eastAsia="Times New Roman" w:hAnsi="Times New Roman"/>
          <w:sz w:val="22"/>
          <w:szCs w:val="22"/>
          <w:color w:val="auto"/>
        </w:rPr>
        <w:t>” means the [***] of Company, as of the Execution Date, [***], or such [***] designee, and the [***] of Vertex, as of the Execution Date, [***], or such [***] designee, or any other executive designated by a Party in writing who has the authority to resolve the applicable matter referred to the Executive Officers in accordance with this Agreement.</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1.48 “</w:t>
      </w:r>
      <w:r>
        <w:rPr>
          <w:rFonts w:ascii="Times New Roman" w:cs="Times New Roman" w:eastAsia="Times New Roman" w:hAnsi="Times New Roman"/>
          <w:sz w:val="22"/>
          <w:szCs w:val="22"/>
          <w:b w:val="1"/>
          <w:bCs w:val="1"/>
          <w:color w:val="auto"/>
        </w:rPr>
        <w:t>Exploit</w:t>
      </w:r>
      <w:r>
        <w:rPr>
          <w:rFonts w:ascii="Times New Roman" w:cs="Times New Roman" w:eastAsia="Times New Roman" w:hAnsi="Times New Roman"/>
          <w:sz w:val="22"/>
          <w:szCs w:val="22"/>
          <w:color w:val="auto"/>
        </w:rPr>
        <w:t>” means, with respect to a Licensed Agent or Product, to Research, Develop, Manufacture, have Manufactured, use, keep, sell, offer for sale, import, export, Commercialize and otherwise exploit such Licensed Agent or Product.</w:t>
      </w:r>
    </w:p>
    <w:p>
      <w:pPr>
        <w:spacing w:after="0" w:line="14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1.49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FDA</w:t>
      </w:r>
      <w:r>
        <w:rPr>
          <w:rFonts w:ascii="Times New Roman" w:cs="Times New Roman" w:eastAsia="Times New Roman" w:hAnsi="Times New Roman"/>
          <w:sz w:val="21"/>
          <w:szCs w:val="21"/>
          <w:color w:val="auto"/>
        </w:rPr>
        <w:t>” means the United States Food and Drug Administration and any successor entity thereto.</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1.50 “</w:t>
      </w:r>
      <w:r>
        <w:rPr>
          <w:rFonts w:ascii="Times New Roman" w:cs="Times New Roman" w:eastAsia="Times New Roman" w:hAnsi="Times New Roman"/>
          <w:sz w:val="22"/>
          <w:szCs w:val="22"/>
          <w:b w:val="1"/>
          <w:bCs w:val="1"/>
          <w:color w:val="auto"/>
        </w:rPr>
        <w:t>FD&amp;C Act</w:t>
      </w:r>
      <w:r>
        <w:rPr>
          <w:rFonts w:ascii="Times New Roman" w:cs="Times New Roman" w:eastAsia="Times New Roman" w:hAnsi="Times New Roman"/>
          <w:sz w:val="22"/>
          <w:szCs w:val="22"/>
          <w:color w:val="auto"/>
        </w:rPr>
        <w:t>” means the United States Federal Food, Drug, and Cosmetic Act, as amended, and the rules and regulations promulgated thereunder.</w:t>
      </w:r>
    </w:p>
    <w:p>
      <w:pPr>
        <w:spacing w:after="0" w:line="14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1.51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Field</w:t>
      </w:r>
      <w:r>
        <w:rPr>
          <w:rFonts w:ascii="Times New Roman" w:cs="Times New Roman" w:eastAsia="Times New Roman" w:hAnsi="Times New Roman"/>
          <w:sz w:val="21"/>
          <w:szCs w:val="21"/>
          <w:color w:val="auto"/>
        </w:rPr>
        <w:t>” means [***].</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1.52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First Commercial Sale</w:t>
      </w:r>
      <w:r>
        <w:rPr>
          <w:rFonts w:ascii="Times New Roman" w:cs="Times New Roman" w:eastAsia="Times New Roman" w:hAnsi="Times New Roman"/>
          <w:sz w:val="21"/>
          <w:szCs w:val="21"/>
          <w:color w:val="auto"/>
        </w:rPr>
        <w:t>” means, with respect to a Product in any country in the Territory, [***].</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1.53 “</w:t>
      </w:r>
      <w:r>
        <w:rPr>
          <w:rFonts w:ascii="Times New Roman" w:cs="Times New Roman" w:eastAsia="Times New Roman" w:hAnsi="Times New Roman"/>
          <w:sz w:val="22"/>
          <w:szCs w:val="22"/>
          <w:b w:val="1"/>
          <w:bCs w:val="1"/>
          <w:color w:val="auto"/>
        </w:rPr>
        <w:t>Force Majeure</w:t>
      </w:r>
      <w:r>
        <w:rPr>
          <w:rFonts w:ascii="Times New Roman" w:cs="Times New Roman" w:eastAsia="Times New Roman" w:hAnsi="Times New Roman"/>
          <w:sz w:val="22"/>
          <w:szCs w:val="22"/>
          <w:color w:val="auto"/>
        </w:rPr>
        <w:t>” means a condition, the occurrence and continuation of which is beyond the reasonable control of a Party, including an act of God, governmental acts or restrictions, war, civil commotion, labor strike or lock-out, epidemic or pandemic, flood, failure or default of public utilities or common carriers, and destruction of production facilities or materials by fire, earthquake, storm or like catastrophe.</w:t>
      </w:r>
    </w:p>
    <w:p>
      <w:pPr>
        <w:spacing w:after="0" w:line="14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1.54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GAAP</w:t>
      </w:r>
      <w:r>
        <w:rPr>
          <w:rFonts w:ascii="Times New Roman" w:cs="Times New Roman" w:eastAsia="Times New Roman" w:hAnsi="Times New Roman"/>
          <w:sz w:val="21"/>
          <w:szCs w:val="21"/>
          <w:color w:val="auto"/>
        </w:rPr>
        <w:t>” means United States generally accepted accounting principles, consistently applied.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1" w:right="339" w:bottom="1440" w:gutter="0" w:footer="0" w:header="0"/>
        </w:sectPr>
      </w:pPr>
    </w:p>
    <w:bookmarkStart w:id="343" w:name="page344"/>
    <w:bookmarkEnd w:id="343"/>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1.55 “</w:t>
      </w:r>
      <w:r>
        <w:rPr>
          <w:rFonts w:ascii="Times New Roman" w:cs="Times New Roman" w:eastAsia="Times New Roman" w:hAnsi="Times New Roman"/>
          <w:sz w:val="22"/>
          <w:szCs w:val="22"/>
          <w:b w:val="1"/>
          <w:bCs w:val="1"/>
          <w:color w:val="auto"/>
        </w:rPr>
        <w:t>GCP</w:t>
      </w:r>
      <w:r>
        <w:rPr>
          <w:rFonts w:ascii="Times New Roman" w:cs="Times New Roman" w:eastAsia="Times New Roman" w:hAnsi="Times New Roman"/>
          <w:sz w:val="22"/>
          <w:szCs w:val="22"/>
          <w:color w:val="auto"/>
        </w:rPr>
        <w:t>” means good clinical practices, which are the then-current standards for Clinical Trials for pharmaceuticals, as set forth in the FD&amp;C Act or other Applicable Law, and such standards of good clinical practice as are required by the Regulatory Authorities of Europe and other organizations and governmental authorities in countries for which the applicable Licensed Agent or Product is intended to be Developed, to the extent such standards are not less stringent than United States standards.</w:t>
      </w:r>
    </w:p>
    <w:p>
      <w:pPr>
        <w:spacing w:after="0" w:line="14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1.56 “</w:t>
      </w:r>
      <w:r>
        <w:rPr>
          <w:rFonts w:ascii="Times New Roman" w:cs="Times New Roman" w:eastAsia="Times New Roman" w:hAnsi="Times New Roman"/>
          <w:sz w:val="22"/>
          <w:szCs w:val="22"/>
          <w:b w:val="1"/>
          <w:bCs w:val="1"/>
          <w:color w:val="auto"/>
        </w:rPr>
        <w:t>GLP</w:t>
      </w:r>
      <w:r>
        <w:rPr>
          <w:rFonts w:ascii="Times New Roman" w:cs="Times New Roman" w:eastAsia="Times New Roman" w:hAnsi="Times New Roman"/>
          <w:sz w:val="22"/>
          <w:szCs w:val="22"/>
          <w:color w:val="auto"/>
        </w:rPr>
        <w:t>” means the then-current good laboratory practice standards promulgated or endorsed by the FDA as defined in 21 C.F.R. Part 58, or comparable regulatory standards in jurisdictions outside of the United States, to the extent such standards are not less stringent than United States standards.</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1.57 “</w:t>
      </w:r>
      <w:r>
        <w:rPr>
          <w:rFonts w:ascii="Times New Roman" w:cs="Times New Roman" w:eastAsia="Times New Roman" w:hAnsi="Times New Roman"/>
          <w:sz w:val="22"/>
          <w:szCs w:val="22"/>
          <w:b w:val="1"/>
          <w:bCs w:val="1"/>
          <w:color w:val="auto"/>
        </w:rPr>
        <w:t>GMP</w:t>
      </w:r>
      <w:r>
        <w:rPr>
          <w:rFonts w:ascii="Times New Roman" w:cs="Times New Roman" w:eastAsia="Times New Roman" w:hAnsi="Times New Roman"/>
          <w:sz w:val="22"/>
          <w:szCs w:val="22"/>
          <w:color w:val="auto"/>
        </w:rPr>
        <w:t>” means the then-current Good Manufacturing Practices as specified in the United States Code of Federal Regulations, ICH Guideline Q7A, or equivalent laws, rules or regulations of an applicable Regulatory Authority at the time of manufacture, to the extent such standards are not less stringent than United States standards.</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1.58 “</w:t>
      </w:r>
      <w:r>
        <w:rPr>
          <w:rFonts w:ascii="Times New Roman" w:cs="Times New Roman" w:eastAsia="Times New Roman" w:hAnsi="Times New Roman"/>
          <w:sz w:val="22"/>
          <w:szCs w:val="22"/>
          <w:b w:val="1"/>
          <w:bCs w:val="1"/>
          <w:color w:val="auto"/>
        </w:rPr>
        <w:t>Government Official</w:t>
      </w:r>
      <w:r>
        <w:rPr>
          <w:rFonts w:ascii="Times New Roman" w:cs="Times New Roman" w:eastAsia="Times New Roman" w:hAnsi="Times New Roman"/>
          <w:sz w:val="22"/>
          <w:szCs w:val="22"/>
          <w:color w:val="auto"/>
        </w:rPr>
        <w:t>” means (a) any elected or appointed government official (e.g., a member of a ministry of health), (b) any employee or person acting for or on behalf of a government official, Governmental Authority, or other enterprise performing a governmental function, (c) any political party, candidate for public office, officer, employee, or person acting for or on behalf of a political party or candidate for public office, and (d) any employee or person acting for or on behalf of a public international organization (e.g., the United Nations). For clarity, healthcare professionals or healthcare providers employed by government-owned hospitals will be considered Government Officials.</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1.59 “</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any court, agency, department, authority or other instrumentality of any national, state, county, city or other political subdivision.</w:t>
      </w:r>
    </w:p>
    <w:p>
      <w:pPr>
        <w:spacing w:after="0" w:line="15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1.60</w:t>
      </w:r>
      <w:r>
        <w:rPr>
          <w:sz w:val="20"/>
          <w:szCs w:val="20"/>
          <w:color w:val="auto"/>
        </w:rPr>
        <w:tab/>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1.61 “</w:t>
      </w:r>
      <w:r>
        <w:rPr>
          <w:rFonts w:ascii="Times New Roman" w:cs="Times New Roman" w:eastAsia="Times New Roman" w:hAnsi="Times New Roman"/>
          <w:sz w:val="22"/>
          <w:szCs w:val="22"/>
          <w:b w:val="1"/>
          <w:bCs w:val="1"/>
          <w:color w:val="auto"/>
        </w:rPr>
        <w:t>IND</w:t>
      </w:r>
      <w:r>
        <w:rPr>
          <w:rFonts w:ascii="Times New Roman" w:cs="Times New Roman" w:eastAsia="Times New Roman" w:hAnsi="Times New Roman"/>
          <w:sz w:val="22"/>
          <w:szCs w:val="22"/>
          <w:color w:val="auto"/>
        </w:rPr>
        <w:t>” means any Investigational New Drug application filed with the FDA pursuant to Part 312 of Title 21 of the U.S. Code of Federal Regulations or a similar application or submission for a Product filed with a Regulatory Authority in a country or group of countries.</w:t>
      </w:r>
    </w:p>
    <w:p>
      <w:pPr>
        <w:spacing w:after="0" w:line="14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1.62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Indemnified Party</w:t>
      </w:r>
      <w:r>
        <w:rPr>
          <w:rFonts w:ascii="Times New Roman" w:cs="Times New Roman" w:eastAsia="Times New Roman" w:hAnsi="Times New Roman"/>
          <w:sz w:val="21"/>
          <w:szCs w:val="21"/>
          <w:color w:val="auto"/>
        </w:rPr>
        <w:t>” has the meaning set forth in Section 9.1.3.</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1.63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Indemnifying Party</w:t>
      </w:r>
      <w:r>
        <w:rPr>
          <w:rFonts w:ascii="Times New Roman" w:cs="Times New Roman" w:eastAsia="Times New Roman" w:hAnsi="Times New Roman"/>
          <w:sz w:val="21"/>
          <w:szCs w:val="21"/>
          <w:color w:val="auto"/>
        </w:rPr>
        <w:t>” has the meaning set forth in Section 9.1.3.</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1.64 “</w:t>
      </w:r>
      <w:r>
        <w:rPr>
          <w:rFonts w:ascii="Times New Roman" w:cs="Times New Roman" w:eastAsia="Times New Roman" w:hAnsi="Times New Roman"/>
          <w:sz w:val="22"/>
          <w:szCs w:val="22"/>
          <w:b w:val="1"/>
          <w:bCs w:val="1"/>
          <w:color w:val="auto"/>
        </w:rPr>
        <w:t>Initiation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Initiate</w:t>
      </w:r>
      <w:r>
        <w:rPr>
          <w:rFonts w:ascii="Times New Roman" w:cs="Times New Roman" w:eastAsia="Times New Roman" w:hAnsi="Times New Roman"/>
          <w:sz w:val="22"/>
          <w:szCs w:val="22"/>
          <w:color w:val="auto"/>
        </w:rPr>
        <w:t>” means, with respect to any Clinical Trial, first dosing in such Clinical Trial of the first human subject with the disease or condition for which the Product in such Clinical Trial is intended.</w:t>
      </w:r>
    </w:p>
    <w:p>
      <w:pPr>
        <w:spacing w:after="0" w:line="14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1.65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Insolvency Event</w:t>
      </w:r>
      <w:r>
        <w:rPr>
          <w:rFonts w:ascii="Times New Roman" w:cs="Times New Roman" w:eastAsia="Times New Roman" w:hAnsi="Times New Roman"/>
          <w:sz w:val="21"/>
          <w:szCs w:val="21"/>
          <w:color w:val="auto"/>
        </w:rPr>
        <w:t>” has the meaning set forth in Section 10.2.5.</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1.66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IP Committee</w:t>
      </w:r>
      <w:r>
        <w:rPr>
          <w:rFonts w:ascii="Times New Roman" w:cs="Times New Roman" w:eastAsia="Times New Roman" w:hAnsi="Times New Roman"/>
          <w:sz w:val="21"/>
          <w:szCs w:val="21"/>
          <w:color w:val="auto"/>
        </w:rPr>
        <w:t>” has the meaning set forth in ARTICLE 4.</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1.67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JAMS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Schedule 1.8</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1.68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JRC</w:t>
      </w:r>
      <w:r>
        <w:rPr>
          <w:rFonts w:ascii="Times New Roman" w:cs="Times New Roman" w:eastAsia="Times New Roman" w:hAnsi="Times New Roman"/>
          <w:sz w:val="21"/>
          <w:szCs w:val="21"/>
          <w:color w:val="auto"/>
        </w:rPr>
        <w:t>” means the joint research committee formed by the Parties pursuant to the Collaboration Agreement.</w:t>
      </w:r>
    </w:p>
    <w:p>
      <w:pPr>
        <w:spacing w:after="0" w:line="179"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1.69 “</w:t>
      </w:r>
      <w:r>
        <w:rPr>
          <w:rFonts w:ascii="Times New Roman" w:cs="Times New Roman" w:eastAsia="Times New Roman" w:hAnsi="Times New Roman"/>
          <w:sz w:val="22"/>
          <w:szCs w:val="22"/>
          <w:b w:val="1"/>
          <w:bCs w:val="1"/>
          <w:color w:val="auto"/>
        </w:rPr>
        <w:t>Know-How</w:t>
      </w:r>
      <w:r>
        <w:rPr>
          <w:rFonts w:ascii="Times New Roman" w:cs="Times New Roman" w:eastAsia="Times New Roman" w:hAnsi="Times New Roman"/>
          <w:sz w:val="22"/>
          <w:szCs w:val="22"/>
          <w:color w:val="auto"/>
        </w:rPr>
        <w:t>” means data, results, protocols, chemical structures, chemical sequences, materials, inventions, know-how, formulas, trade secrets, techniques, methods,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1" w:right="339" w:bottom="1440" w:gutter="0" w:footer="0" w:header="0"/>
        </w:sectPr>
      </w:pPr>
    </w:p>
    <w:bookmarkStart w:id="344" w:name="page345"/>
    <w:bookmarkEnd w:id="344"/>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processes, procedures and developments, and other scientific, technical or manufacturing information, whether or not patentable;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Know-How does not include Patents.</w:t>
      </w:r>
    </w:p>
    <w:p>
      <w:pPr>
        <w:spacing w:after="0" w:line="14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1.70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Liability</w:t>
      </w:r>
      <w:r>
        <w:rPr>
          <w:rFonts w:ascii="Times New Roman" w:cs="Times New Roman" w:eastAsia="Times New Roman" w:hAnsi="Times New Roman"/>
          <w:sz w:val="21"/>
          <w:szCs w:val="21"/>
          <w:color w:val="auto"/>
        </w:rPr>
        <w:t>” has the meaning set forth in Section 9.1.1.</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1.71 “</w:t>
      </w:r>
      <w:r>
        <w:rPr>
          <w:rFonts w:ascii="Times New Roman" w:cs="Times New Roman" w:eastAsia="Times New Roman" w:hAnsi="Times New Roman"/>
          <w:sz w:val="22"/>
          <w:szCs w:val="22"/>
          <w:b w:val="1"/>
          <w:bCs w:val="1"/>
          <w:color w:val="auto"/>
        </w:rPr>
        <w:t>Licensed Agents</w:t>
      </w:r>
      <w:r>
        <w:rPr>
          <w:rFonts w:ascii="Times New Roman" w:cs="Times New Roman" w:eastAsia="Times New Roman" w:hAnsi="Times New Roman"/>
          <w:sz w:val="22"/>
          <w:szCs w:val="22"/>
          <w:color w:val="auto"/>
        </w:rPr>
        <w:t xml:space="preserve">” means: (a) that compound known as ENTR-701 with the chemical structure set forth on </w:t>
      </w:r>
      <w:r>
        <w:rPr>
          <w:rFonts w:ascii="Times New Roman" w:cs="Times New Roman" w:eastAsia="Times New Roman" w:hAnsi="Times New Roman"/>
          <w:sz w:val="22"/>
          <w:szCs w:val="22"/>
          <w:u w:val="single" w:color="auto"/>
          <w:color w:val="auto"/>
        </w:rPr>
        <w:t>Schedule 1.71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ENTR-701</w:t>
      </w:r>
      <w:r>
        <w:rPr>
          <w:rFonts w:ascii="Times New Roman" w:cs="Times New Roman" w:eastAsia="Times New Roman" w:hAnsi="Times New Roman"/>
          <w:sz w:val="22"/>
          <w:szCs w:val="22"/>
          <w:color w:val="auto"/>
        </w:rPr>
        <w:t>”), [***].</w:t>
      </w:r>
    </w:p>
    <w:p>
      <w:pPr>
        <w:spacing w:after="0" w:line="15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1.72</w:t>
      </w:r>
      <w:r>
        <w:rPr>
          <w:sz w:val="20"/>
          <w:szCs w:val="20"/>
          <w:color w:val="auto"/>
        </w:rPr>
        <w:tab/>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1.73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Major Market Country</w:t>
      </w:r>
      <w:r>
        <w:rPr>
          <w:rFonts w:ascii="Times New Roman" w:cs="Times New Roman" w:eastAsia="Times New Roman" w:hAnsi="Times New Roman"/>
          <w:sz w:val="21"/>
          <w:szCs w:val="21"/>
          <w:color w:val="auto"/>
        </w:rPr>
        <w:t>” means any one of the following countries: [***].</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1.74 “</w:t>
      </w:r>
      <w:r>
        <w:rPr>
          <w:rFonts w:ascii="Times New Roman" w:cs="Times New Roman" w:eastAsia="Times New Roman" w:hAnsi="Times New Roman"/>
          <w:sz w:val="22"/>
          <w:szCs w:val="22"/>
          <w:b w:val="1"/>
          <w:bCs w:val="1"/>
          <w:color w:val="auto"/>
        </w:rPr>
        <w:t>Manufacture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Manufactured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Manufacturing</w:t>
      </w:r>
      <w:r>
        <w:rPr>
          <w:rFonts w:ascii="Times New Roman" w:cs="Times New Roman" w:eastAsia="Times New Roman" w:hAnsi="Times New Roman"/>
          <w:sz w:val="22"/>
          <w:szCs w:val="22"/>
          <w:color w:val="auto"/>
        </w:rPr>
        <w:t>” means activities directed to making, having made, producing, manufacturing, processing, filling, finishing, packaging, labeling, quality control testing and quality assurance release, shipping or storage of a Licensed Agent or Product.</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1.75 “</w:t>
      </w:r>
      <w:r>
        <w:rPr>
          <w:rFonts w:ascii="Times New Roman" w:cs="Times New Roman" w:eastAsia="Times New Roman" w:hAnsi="Times New Roman"/>
          <w:sz w:val="22"/>
          <w:szCs w:val="22"/>
          <w:b w:val="1"/>
          <w:bCs w:val="1"/>
          <w:color w:val="auto"/>
        </w:rPr>
        <w:t>Marketing Approval</w:t>
      </w:r>
      <w:r>
        <w:rPr>
          <w:rFonts w:ascii="Times New Roman" w:cs="Times New Roman" w:eastAsia="Times New Roman" w:hAnsi="Times New Roman"/>
          <w:sz w:val="22"/>
          <w:szCs w:val="22"/>
          <w:color w:val="auto"/>
        </w:rPr>
        <w:t>” means, with respect to a Product in a particular jurisdiction, all approvals (including regular or accelerated approval of a BLA or NDA), licenses, registrations or authorizations necessary for the Commercialization of such Product in such jurisdiction, including, with respect to the United States, approval of an Approval Application for such Product by the FDA and with respect to Europe, approval of an Approval Application for such Product by the European Commission or the applicable Regulatory Authority in any particular country in Europe.</w:t>
      </w:r>
    </w:p>
    <w:p>
      <w:pPr>
        <w:spacing w:after="0" w:line="14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1.76 “</w:t>
      </w:r>
      <w:r>
        <w:rPr>
          <w:rFonts w:ascii="Times New Roman" w:cs="Times New Roman" w:eastAsia="Times New Roman" w:hAnsi="Times New Roman"/>
          <w:sz w:val="22"/>
          <w:szCs w:val="22"/>
          <w:b w:val="1"/>
          <w:bCs w:val="1"/>
          <w:color w:val="auto"/>
        </w:rPr>
        <w:t>Materials</w:t>
      </w:r>
      <w:r>
        <w:rPr>
          <w:rFonts w:ascii="Times New Roman" w:cs="Times New Roman" w:eastAsia="Times New Roman" w:hAnsi="Times New Roman"/>
          <w:sz w:val="22"/>
          <w:szCs w:val="22"/>
          <w:color w:val="auto"/>
        </w:rPr>
        <w:t>” means chemical compounds, biological materials, including Clinical Trial samples, cell lines, EEVs, lipids, assays, viruses and vectors, and other materials.</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1.77 “</w:t>
      </w:r>
      <w:r>
        <w:rPr>
          <w:rFonts w:ascii="Times New Roman" w:cs="Times New Roman" w:eastAsia="Times New Roman" w:hAnsi="Times New Roman"/>
          <w:sz w:val="22"/>
          <w:szCs w:val="22"/>
          <w:b w:val="1"/>
          <w:bCs w:val="1"/>
          <w:color w:val="auto"/>
        </w:rPr>
        <w:t>NDA</w:t>
      </w:r>
      <w:r>
        <w:rPr>
          <w:rFonts w:ascii="Times New Roman" w:cs="Times New Roman" w:eastAsia="Times New Roman" w:hAnsi="Times New Roman"/>
          <w:sz w:val="22"/>
          <w:szCs w:val="22"/>
          <w:color w:val="auto"/>
        </w:rPr>
        <w:t>” means a new drug application that is submitted to the FDA for marketing approval for a Product, pursuant to 21 C.F.R. § 314.3.</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1.78 “</w:t>
      </w:r>
      <w:r>
        <w:rPr>
          <w:rFonts w:ascii="Times New Roman" w:cs="Times New Roman" w:eastAsia="Times New Roman" w:hAnsi="Times New Roman"/>
          <w:sz w:val="22"/>
          <w:szCs w:val="22"/>
          <w:b w:val="1"/>
          <w:bCs w:val="1"/>
          <w:color w:val="auto"/>
        </w:rPr>
        <w:t>Net Sales</w:t>
      </w:r>
      <w:r>
        <w:rPr>
          <w:rFonts w:ascii="Times New Roman" w:cs="Times New Roman" w:eastAsia="Times New Roman" w:hAnsi="Times New Roman"/>
          <w:sz w:val="22"/>
          <w:szCs w:val="22"/>
          <w:color w:val="auto"/>
        </w:rPr>
        <w:t>” means the [***] for Products sold by Vertex (including sales generated from named patient programs and excluding sales deferred for GAAP accounting purposes until such sales are recognized), its Affiliates or Sublicensees (the “</w:t>
      </w:r>
      <w:r>
        <w:rPr>
          <w:rFonts w:ascii="Times New Roman" w:cs="Times New Roman" w:eastAsia="Times New Roman" w:hAnsi="Times New Roman"/>
          <w:sz w:val="22"/>
          <w:szCs w:val="22"/>
          <w:b w:val="1"/>
          <w:bCs w:val="1"/>
          <w:color w:val="auto"/>
        </w:rPr>
        <w:t>Selling Party</w:t>
      </w:r>
      <w:r>
        <w:rPr>
          <w:rFonts w:ascii="Times New Roman" w:cs="Times New Roman" w:eastAsia="Times New Roman" w:hAnsi="Times New Roman"/>
          <w:sz w:val="22"/>
          <w:szCs w:val="22"/>
          <w:color w:val="auto"/>
        </w:rPr>
        <w:t>”) to Third Parties (including Distributors), less the following deductions from such [***] amounts:</w:t>
      </w:r>
    </w:p>
    <w:p>
      <w:pPr>
        <w:spacing w:after="0" w:line="150" w:lineRule="exact"/>
        <w:rPr>
          <w:sz w:val="20"/>
          <w:szCs w:val="20"/>
          <w:color w:val="auto"/>
        </w:rPr>
      </w:pPr>
    </w:p>
    <w:p>
      <w:pPr>
        <w:ind w:left="2400" w:hanging="448"/>
        <w:spacing w:after="0"/>
        <w:tabs>
          <w:tab w:leader="none" w:pos="240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Only items that are deducted from the Selling Party’s [***] of Product(s), as included in the Selling Party’s published financial statements and that are in accordance with GAAP, applied on a consistent basis, will be deducted from such [***] for purposes of the calculation of Net Sales;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amounts written off by the Selling Party by reason of uncollectible debt pursuant to clause (a) or amounts of compulsory payments deducted pursuant to clause (f) above, respectively, may be deducted from Net Sales in accordance with clause (a) or clause (f) above,</w:t>
      </w: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type w:val="continuous"/>
        </w:sectPr>
      </w:pPr>
    </w:p>
    <w:bookmarkStart w:id="345" w:name="page346"/>
    <w:bookmarkEnd w:id="345"/>
    <w:p>
      <w:pPr>
        <w:jc w:val="both"/>
        <w:spacing w:after="0" w:line="236" w:lineRule="auto"/>
        <w:rPr>
          <w:sz w:val="20"/>
          <w:szCs w:val="20"/>
          <w:color w:val="auto"/>
        </w:rPr>
      </w:pPr>
      <w:r>
        <w:rPr>
          <w:rFonts w:ascii="Times New Roman" w:cs="Times New Roman" w:eastAsia="Times New Roman" w:hAnsi="Times New Roman"/>
          <w:sz w:val="22"/>
          <w:szCs w:val="22"/>
          <w:color w:val="auto"/>
        </w:rPr>
        <w:t>respectively, regardless of whether such amounts are classified as deduction from gross sales in the Selling Party’s published financial statements.</w:t>
      </w:r>
    </w:p>
    <w:p>
      <w:pPr>
        <w:spacing w:after="0" w:line="150"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A qualifying amount may be deducted only once regardless of the number of the preceding categories that describes such amount. If a Selling Party makes any adjustment to such deductions after the associated Net Sales have been reported pursuant to this Agreement, the adjustments and payment of any royalties due will be reported with a subsequent quarterly report. Sales between or among Vertex, its Affiliates and Sublicensees will be excluded from the computation of Net Sales if such sales are not intended for end use, but Net Sales will include the subsequent final sales to Third Parties by Vertex or any such Affiliates or Sublicensees. A Product will not be deemed to be sold if the Product is provided free of charge to a Third Party in reasonable quantities as a sample consistent with industry standard promotional and sample practices. For clarity, Net Sales include sales such as so-called “treatment IND sales,” “named patient sales,” and “compassionate use sales,” even if such sales occur prior to receipt of Marketing Approval.</w:t>
      </w:r>
    </w:p>
    <w:p>
      <w:pPr>
        <w:spacing w:after="0" w:line="15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If a sale, transfer or other disposition with respect to a Product involves consideration other than cash or is not at arm’s length, the Net Sales from such sale, transfer or other disposition will be calculated based on the average Net Sales price of the Product in arm’s length sales for cash in the relevant country during the same Calendar Quarter as such sale, transfer or other disposition or, in the absence of such sales, based on the fair market value of the Product as mutually determined by the Parties.</w:t>
      </w:r>
    </w:p>
    <w:p>
      <w:pPr>
        <w:spacing w:after="0" w:line="14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Solely for purposes of calculating Net Sales, [***] (“</w:t>
      </w:r>
      <w:r>
        <w:rPr>
          <w:rFonts w:ascii="Times New Roman" w:cs="Times New Roman" w:eastAsia="Times New Roman" w:hAnsi="Times New Roman"/>
          <w:sz w:val="21"/>
          <w:szCs w:val="21"/>
          <w:b w:val="1"/>
          <w:bCs w:val="1"/>
          <w:color w:val="auto"/>
        </w:rPr>
        <w:t>Other Product</w:t>
      </w:r>
      <w:r>
        <w:rPr>
          <w:rFonts w:ascii="Times New Roman" w:cs="Times New Roman" w:eastAsia="Times New Roman" w:hAnsi="Times New Roman"/>
          <w:sz w:val="21"/>
          <w:szCs w:val="21"/>
          <w:color w:val="auto"/>
        </w:rPr>
        <w:t>”) (whether combined in a single formulation or package, as applicable, or formulated separately but packaged under a single label approved by a Regulatory Authority and sold together for a single price) (such combination product, a “</w:t>
      </w:r>
      <w:r>
        <w:rPr>
          <w:rFonts w:ascii="Times New Roman" w:cs="Times New Roman" w:eastAsia="Times New Roman" w:hAnsi="Times New Roman"/>
          <w:sz w:val="21"/>
          <w:szCs w:val="21"/>
          <w:b w:val="1"/>
          <w:bCs w:val="1"/>
          <w:color w:val="auto"/>
        </w:rPr>
        <w:t>Combination Product</w:t>
      </w:r>
      <w:r>
        <w:rPr>
          <w:rFonts w:ascii="Times New Roman" w:cs="Times New Roman" w:eastAsia="Times New Roman" w:hAnsi="Times New Roman"/>
          <w:sz w:val="21"/>
          <w:szCs w:val="21"/>
          <w:color w:val="auto"/>
        </w:rPr>
        <w:t>”), Net Sales of such Combination Product for the purpose of determining the payments due to Company pursuant to this Agreement will be calculated by [***]. If the [***] selling price of a</w:t>
      </w:r>
    </w:p>
    <w:p>
      <w:pPr>
        <w:spacing w:after="0" w:line="3" w:lineRule="exact"/>
        <w:rPr>
          <w:sz w:val="20"/>
          <w:szCs w:val="20"/>
          <w:color w:val="auto"/>
        </w:rPr>
      </w:pPr>
    </w:p>
    <w:p>
      <w:pPr>
        <w:jc w:val="both"/>
        <w:ind w:right="20" w:firstLine="8"/>
        <w:spacing w:after="0" w:line="218" w:lineRule="auto"/>
        <w:tabs>
          <w:tab w:leader="none" w:pos="562"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such country [***] can be determined but the gross selling price of the Other Product in such country cannot be determined, Net Sales in such country for purposes of determining royalty payments will be calculated by [***]. If such separate sales are not made in a country, Net Sales will be calculated by [***].</w:t>
      </w:r>
    </w:p>
    <w:p>
      <w:pPr>
        <w:spacing w:after="0" w:line="147"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1.79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Non-Breaching Party</w:t>
      </w:r>
      <w:r>
        <w:rPr>
          <w:rFonts w:ascii="Times New Roman" w:cs="Times New Roman" w:eastAsia="Times New Roman" w:hAnsi="Times New Roman"/>
          <w:sz w:val="21"/>
          <w:szCs w:val="21"/>
          <w:color w:val="auto"/>
        </w:rPr>
        <w:t>” means the Party that believes the other Party is in material breach of this Agreement.</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1.80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Ongoing Study</w:t>
      </w:r>
      <w:r>
        <w:rPr>
          <w:rFonts w:ascii="Times New Roman" w:cs="Times New Roman" w:eastAsia="Times New Roman" w:hAnsi="Times New Roman"/>
          <w:sz w:val="21"/>
          <w:szCs w:val="21"/>
          <w:color w:val="auto"/>
        </w:rPr>
        <w:t>” means [***].</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1.81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OSIF</w:t>
      </w:r>
      <w:r>
        <w:rPr>
          <w:rFonts w:ascii="Times New Roman" w:cs="Times New Roman" w:eastAsia="Times New Roman" w:hAnsi="Times New Roman"/>
          <w:sz w:val="21"/>
          <w:szCs w:val="21"/>
          <w:color w:val="auto"/>
        </w:rPr>
        <w:t>” has the meaning set forth in the Recitals.</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1.82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OSIF Agreement</w:t>
      </w:r>
      <w:r>
        <w:rPr>
          <w:rFonts w:ascii="Times New Roman" w:cs="Times New Roman" w:eastAsia="Times New Roman" w:hAnsi="Times New Roman"/>
          <w:sz w:val="21"/>
          <w:szCs w:val="21"/>
          <w:color w:val="auto"/>
        </w:rPr>
        <w:t>” has the meaning set forth in the Recitals.</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1.83 “</w:t>
      </w:r>
      <w:r>
        <w:rPr>
          <w:rFonts w:ascii="Times New Roman" w:cs="Times New Roman" w:eastAsia="Times New Roman" w:hAnsi="Times New Roman"/>
          <w:sz w:val="22"/>
          <w:szCs w:val="22"/>
          <w:b w:val="1"/>
          <w:bCs w:val="1"/>
          <w:color w:val="auto"/>
        </w:rPr>
        <w:t>OSIF Know-How</w:t>
      </w:r>
      <w:r>
        <w:rPr>
          <w:rFonts w:ascii="Times New Roman" w:cs="Times New Roman" w:eastAsia="Times New Roman" w:hAnsi="Times New Roman"/>
          <w:sz w:val="22"/>
          <w:szCs w:val="22"/>
          <w:color w:val="auto"/>
        </w:rPr>
        <w:t>” means any Know-How licensed to Company pursuant to the OSIF Agreement, in each case that is necessary or useful to Research, Develop, Manufacture or Commercialize Licensed Agents or Products in the Field.</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1.84 “</w:t>
      </w:r>
      <w:r>
        <w:rPr>
          <w:rFonts w:ascii="Times New Roman" w:cs="Times New Roman" w:eastAsia="Times New Roman" w:hAnsi="Times New Roman"/>
          <w:sz w:val="22"/>
          <w:szCs w:val="22"/>
          <w:b w:val="1"/>
          <w:bCs w:val="1"/>
          <w:color w:val="auto"/>
        </w:rPr>
        <w:t>OSIF Patents</w:t>
      </w:r>
      <w:r>
        <w:rPr>
          <w:rFonts w:ascii="Times New Roman" w:cs="Times New Roman" w:eastAsia="Times New Roman" w:hAnsi="Times New Roman"/>
          <w:sz w:val="22"/>
          <w:szCs w:val="22"/>
          <w:color w:val="auto"/>
        </w:rPr>
        <w:t xml:space="preserve">” means any Patents licensed to Company pursuant to the OSIF Agreement as set forth on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1.84</w:t>
      </w:r>
      <w:r>
        <w:rPr>
          <w:rFonts w:ascii="Times New Roman" w:cs="Times New Roman" w:eastAsia="Times New Roman" w:hAnsi="Times New Roman"/>
          <w:sz w:val="22"/>
          <w:szCs w:val="22"/>
          <w:color w:val="auto"/>
        </w:rPr>
        <w:t>, in each case that that claim or disclose any OSIF Know-How or otherwise Cover the Licensed Agents or Products in the Field.</w:t>
      </w:r>
    </w:p>
    <w:p>
      <w:pPr>
        <w:spacing w:after="0" w:line="15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1.85</w:t>
      </w:r>
      <w:r>
        <w:rPr>
          <w:sz w:val="20"/>
          <w:szCs w:val="20"/>
          <w:color w:val="auto"/>
        </w:rPr>
        <w:tab/>
      </w:r>
      <w:r>
        <w:rPr>
          <w:rFonts w:ascii="Times New Roman" w:cs="Times New Roman" w:eastAsia="Times New Roman" w:hAnsi="Times New Roman"/>
          <w:sz w:val="21"/>
          <w:szCs w:val="21"/>
          <w:color w:val="auto"/>
        </w:rPr>
        <w:t>“OSIF Platform Patent” means [***].</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1.86</w:t>
      </w:r>
      <w:r>
        <w:rPr>
          <w:sz w:val="20"/>
          <w:szCs w:val="20"/>
          <w:color w:val="auto"/>
        </w:rPr>
        <w:tab/>
      </w:r>
      <w:r>
        <w:rPr>
          <w:rFonts w:ascii="Times New Roman" w:cs="Times New Roman" w:eastAsia="Times New Roman" w:hAnsi="Times New Roman"/>
          <w:sz w:val="21"/>
          <w:szCs w:val="21"/>
          <w:color w:val="auto"/>
        </w:rPr>
        <w:t>“OSIF Product-Specific Patent” means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346" w:name="page347"/>
    <w:bookmarkEnd w:id="346"/>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1.87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OSIF Technology</w:t>
      </w:r>
      <w:r>
        <w:rPr>
          <w:rFonts w:ascii="Times New Roman" w:cs="Times New Roman" w:eastAsia="Times New Roman" w:hAnsi="Times New Roman"/>
          <w:sz w:val="21"/>
          <w:szCs w:val="21"/>
          <w:color w:val="auto"/>
        </w:rPr>
        <w:t>” means the OSIF Patents and OSIF Know-How.</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1.88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Product</w:t>
      </w:r>
      <w:r>
        <w:rPr>
          <w:rFonts w:ascii="Times New Roman" w:cs="Times New Roman" w:eastAsia="Times New Roman" w:hAnsi="Times New Roman"/>
          <w:sz w:val="21"/>
          <w:szCs w:val="21"/>
          <w:color w:val="auto"/>
        </w:rPr>
        <w:t>” has the meaning set forth in Section 1.78.</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1.89 “</w:t>
      </w:r>
      <w:r>
        <w:rPr>
          <w:rFonts w:ascii="Times New Roman" w:cs="Times New Roman" w:eastAsia="Times New Roman" w:hAnsi="Times New Roman"/>
          <w:sz w:val="22"/>
          <w:szCs w:val="22"/>
          <w:b w:val="1"/>
          <w:bCs w:val="1"/>
          <w:color w:val="auto"/>
        </w:rPr>
        <w:t>Out-of-Pocket Costs</w:t>
      </w:r>
      <w:r>
        <w:rPr>
          <w:rFonts w:ascii="Times New Roman" w:cs="Times New Roman" w:eastAsia="Times New Roman" w:hAnsi="Times New Roman"/>
          <w:sz w:val="22"/>
          <w:szCs w:val="22"/>
          <w:color w:val="auto"/>
        </w:rPr>
        <w:t>” means, with respect to a Party, costs and expenses paid by such Party or its Affiliates to Third Parties (or payable to Third Parties and accrued in accordance with GAAP), other than employees of such Party or its Affiliates.</w:t>
      </w:r>
    </w:p>
    <w:p>
      <w:pPr>
        <w:spacing w:after="0" w:line="14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1.90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 has the meaning set forth in the Preamble.</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1.91 “</w:t>
      </w:r>
      <w:r>
        <w:rPr>
          <w:rFonts w:ascii="Times New Roman" w:cs="Times New Roman" w:eastAsia="Times New Roman" w:hAnsi="Times New Roman"/>
          <w:sz w:val="22"/>
          <w:szCs w:val="22"/>
          <w:b w:val="1"/>
          <w:bCs w:val="1"/>
          <w:color w:val="auto"/>
        </w:rPr>
        <w:t>Party Specific Regulations</w:t>
      </w:r>
      <w:r>
        <w:rPr>
          <w:rFonts w:ascii="Times New Roman" w:cs="Times New Roman" w:eastAsia="Times New Roman" w:hAnsi="Times New Roman"/>
          <w:sz w:val="22"/>
          <w:szCs w:val="22"/>
          <w:color w:val="auto"/>
        </w:rPr>
        <w:t>” means all non-monetary judgments, decrees, orders or similar decisions issued by any Governmental Authority specific to a Party, and all consent decrees, corporate integrity agreements, or other agreements or undertakings of any kind by a Party with any Governmental Authority, in each case as the same may be in effect from time to time and applicable to a Party’s activities contemplated by this Agreement.</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1.92 “</w:t>
      </w:r>
      <w:r>
        <w:rPr>
          <w:rFonts w:ascii="Times New Roman" w:cs="Times New Roman" w:eastAsia="Times New Roman" w:hAnsi="Times New Roman"/>
          <w:sz w:val="22"/>
          <w:szCs w:val="22"/>
          <w:b w:val="1"/>
          <w:bCs w:val="1"/>
          <w:color w:val="auto"/>
        </w:rPr>
        <w:t>Patents</w:t>
      </w:r>
      <w:r>
        <w:rPr>
          <w:rFonts w:ascii="Times New Roman" w:cs="Times New Roman" w:eastAsia="Times New Roman" w:hAnsi="Times New Roman"/>
          <w:sz w:val="22"/>
          <w:szCs w:val="22"/>
          <w:color w:val="auto"/>
        </w:rPr>
        <w:t>” means the rights and interests in and to issued patents and pending patent applications in any country, jurisdiction or region (including inventor’s certificates and utility models), including all provisionals, non-provisionals, substitutions, continuations, continuations-in-part, divisionals, renewals and all patents granted thereon, and all reissues, reexaminations, extensions, confirmations, revalidations, registrations and patents of addition thereof, including patent term extensions and supplementary protection certificates, international patent applications filed under the Patent Cooperation Treaty (PCT) and any foreign equivalents to any of the foregoing.</w:t>
      </w:r>
    </w:p>
    <w:p>
      <w:pPr>
        <w:spacing w:after="0" w:line="14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1.93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Patent Challenge</w:t>
      </w:r>
      <w:r>
        <w:rPr>
          <w:rFonts w:ascii="Times New Roman" w:cs="Times New Roman" w:eastAsia="Times New Roman" w:hAnsi="Times New Roman"/>
          <w:sz w:val="21"/>
          <w:szCs w:val="21"/>
          <w:color w:val="auto"/>
        </w:rPr>
        <w:t>” has the meaning set forth in Section 10.4.</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1.94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sole proprietorship, partnership, limited partnership, limited liability partnership, corporation, limited liability company, business trust, joint stock company, trust, incorporated association, joint venture or similar entity or organization, including a government or political subdivision or department or agency of a government.</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1.95 “</w:t>
      </w:r>
      <w:r>
        <w:rPr>
          <w:rFonts w:ascii="Times New Roman" w:cs="Times New Roman" w:eastAsia="Times New Roman" w:hAnsi="Times New Roman"/>
          <w:sz w:val="22"/>
          <w:szCs w:val="22"/>
          <w:b w:val="1"/>
          <w:bCs w:val="1"/>
          <w:color w:val="auto"/>
        </w:rPr>
        <w:t>Pivotal Clinical Trial</w:t>
      </w:r>
      <w:r>
        <w:rPr>
          <w:rFonts w:ascii="Times New Roman" w:cs="Times New Roman" w:eastAsia="Times New Roman" w:hAnsi="Times New Roman"/>
          <w:sz w:val="22"/>
          <w:szCs w:val="22"/>
          <w:color w:val="auto"/>
        </w:rPr>
        <w:t>” means, with respect to a Product, a Clinical Trial in humans performed to gain evidence with statistical significance of the efficacy of such Product in a target population, and to obtain expanded evidence of safety for such Product that is needed to evaluate the overall benefit-risk relationship of such Product, to form the basis for filing an Approval Application and obtaining Marketing Approval from a Regulatory Authority for such Product. [***].</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1.96 “</w:t>
      </w:r>
      <w:r>
        <w:rPr>
          <w:rFonts w:ascii="Times New Roman" w:cs="Times New Roman" w:eastAsia="Times New Roman" w:hAnsi="Times New Roman"/>
          <w:sz w:val="22"/>
          <w:szCs w:val="22"/>
          <w:b w:val="1"/>
          <w:bCs w:val="1"/>
          <w:color w:val="auto"/>
        </w:rPr>
        <w:t>Price Approval</w:t>
      </w:r>
      <w:r>
        <w:rPr>
          <w:rFonts w:ascii="Times New Roman" w:cs="Times New Roman" w:eastAsia="Times New Roman" w:hAnsi="Times New Roman"/>
          <w:sz w:val="22"/>
          <w:szCs w:val="22"/>
          <w:color w:val="auto"/>
        </w:rPr>
        <w:t>” means, in any country where a Governmental Authority authorizes reimbursement for, or approves or determines pricing for, pharmaceutical products, receipt (or, if required to make such authorization, approval or determination effective, publication) of such reimbursement authorization or pricing approval or determination.</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1.97 “</w:t>
      </w:r>
      <w:r>
        <w:rPr>
          <w:rFonts w:ascii="Times New Roman" w:cs="Times New Roman" w:eastAsia="Times New Roman" w:hAnsi="Times New Roman"/>
          <w:sz w:val="22"/>
          <w:szCs w:val="22"/>
          <w:b w:val="1"/>
          <w:bCs w:val="1"/>
          <w:color w:val="auto"/>
        </w:rPr>
        <w:t>Proceeding</w:t>
      </w:r>
      <w:r>
        <w:rPr>
          <w:rFonts w:ascii="Times New Roman" w:cs="Times New Roman" w:eastAsia="Times New Roman" w:hAnsi="Times New Roman"/>
          <w:sz w:val="22"/>
          <w:szCs w:val="22"/>
          <w:color w:val="auto"/>
        </w:rPr>
        <w:t>” means any action, suit, litigation, arbitration, proceeding (including any civil, criminal, administrative, investigative or appellate proceeding), prosecution, contest, hearing, inquiry, inquest, audit, examination or investigation that is, has been or may in the future be commenced, brought, conducted or heard at law or in equity or before any Governmental Authority.</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1.98 “</w:t>
      </w:r>
      <w:r>
        <w:rPr>
          <w:rFonts w:ascii="Times New Roman" w:cs="Times New Roman" w:eastAsia="Times New Roman" w:hAnsi="Times New Roman"/>
          <w:sz w:val="22"/>
          <w:szCs w:val="22"/>
          <w:b w:val="1"/>
          <w:bCs w:val="1"/>
          <w:color w:val="auto"/>
        </w:rPr>
        <w:t>Product</w:t>
      </w:r>
      <w:r>
        <w:rPr>
          <w:rFonts w:ascii="Times New Roman" w:cs="Times New Roman" w:eastAsia="Times New Roman" w:hAnsi="Times New Roman"/>
          <w:sz w:val="22"/>
          <w:szCs w:val="22"/>
          <w:color w:val="auto"/>
        </w:rPr>
        <w:t>” means any product, medical therapy, preparation or substance, comprising or employing a Licensed Agent, in any form or formulation, and whether alone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1" w:right="33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22"/>
          <w:szCs w:val="22"/>
          <w:color w:val="auto"/>
        </w:rPr>
        <w:t>together with one or more other therapeutically active ingredients, delivery devices or other components. [***].</w:t>
      </w:r>
    </w:p>
    <w:p>
      <w:pPr>
        <w:spacing w:after="0" w:line="175"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1.99 “</w:t>
      </w:r>
      <w:r>
        <w:rPr>
          <w:rFonts w:ascii="Times New Roman" w:cs="Times New Roman" w:eastAsia="Times New Roman" w:hAnsi="Times New Roman"/>
          <w:sz w:val="22"/>
          <w:szCs w:val="22"/>
          <w:b w:val="1"/>
          <w:bCs w:val="1"/>
          <w:color w:val="auto"/>
        </w:rPr>
        <w:t>Prosecution and Maintenance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Prosecute and Maintain</w:t>
      </w:r>
      <w:r>
        <w:rPr>
          <w:rFonts w:ascii="Times New Roman" w:cs="Times New Roman" w:eastAsia="Times New Roman" w:hAnsi="Times New Roman"/>
          <w:sz w:val="22"/>
          <w:szCs w:val="22"/>
          <w:color w:val="auto"/>
        </w:rPr>
        <w:t xml:space="preserve">” means, with regard to a Patent, the preparing, filing, prosecuting and maintenance of such Patent, as well as handling re-examinations and reissues with respect to such Patent, together with the conduct of interferences, derivation proceedings, the defense of oppositions, post-grant patent proceedings (such as </w:t>
      </w:r>
      <w:r>
        <w:rPr>
          <w:rFonts w:ascii="Times New Roman" w:cs="Times New Roman" w:eastAsia="Times New Roman" w:hAnsi="Times New Roman"/>
          <w:sz w:val="22"/>
          <w:szCs w:val="22"/>
          <w:i w:val="1"/>
          <w:iCs w:val="1"/>
          <w:color w:val="auto"/>
        </w:rPr>
        <w:t>inter partes</w:t>
      </w:r>
      <w:r>
        <w:rPr>
          <w:rFonts w:ascii="Times New Roman" w:cs="Times New Roman" w:eastAsia="Times New Roman" w:hAnsi="Times New Roman"/>
          <w:sz w:val="22"/>
          <w:szCs w:val="22"/>
          <w:color w:val="auto"/>
        </w:rPr>
        <w:t xml:space="preserve"> review and post grant review) and other similar proceedings with respect to the particular Patent. For clarification, “</w:t>
      </w:r>
      <w:r>
        <w:rPr>
          <w:rFonts w:ascii="Times New Roman" w:cs="Times New Roman" w:eastAsia="Times New Roman" w:hAnsi="Times New Roman"/>
          <w:sz w:val="22"/>
          <w:szCs w:val="22"/>
          <w:b w:val="1"/>
          <w:bCs w:val="1"/>
          <w:color w:val="auto"/>
        </w:rPr>
        <w:t>Prosecution and Maintenance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Prosecute and Maintain</w:t>
      </w:r>
      <w:r>
        <w:rPr>
          <w:rFonts w:ascii="Times New Roman" w:cs="Times New Roman" w:eastAsia="Times New Roman" w:hAnsi="Times New Roman"/>
          <w:sz w:val="22"/>
          <w:szCs w:val="22"/>
          <w:color w:val="auto"/>
        </w:rPr>
        <w:t>” will not include any other enforcement actions taken with respect to a Patent.</w:t>
      </w:r>
    </w:p>
    <w:p>
      <w:pPr>
        <w:spacing w:after="0" w:line="146"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1.100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Receiving Party</w:t>
      </w:r>
      <w:r>
        <w:rPr>
          <w:rFonts w:ascii="Times New Roman" w:cs="Times New Roman" w:eastAsia="Times New Roman" w:hAnsi="Times New Roman"/>
          <w:sz w:val="21"/>
          <w:szCs w:val="21"/>
          <w:color w:val="auto"/>
        </w:rPr>
        <w:t>” has the meaning set forth in Section 11.1.</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1.101 “</w:t>
      </w:r>
      <w:r>
        <w:rPr>
          <w:rFonts w:ascii="Times New Roman" w:cs="Times New Roman" w:eastAsia="Times New Roman" w:hAnsi="Times New Roman"/>
          <w:sz w:val="22"/>
          <w:szCs w:val="22"/>
          <w:b w:val="1"/>
          <w:bCs w:val="1"/>
          <w:color w:val="auto"/>
        </w:rPr>
        <w:t>Regulatory Approval</w:t>
      </w:r>
      <w:r>
        <w:rPr>
          <w:rFonts w:ascii="Times New Roman" w:cs="Times New Roman" w:eastAsia="Times New Roman" w:hAnsi="Times New Roman"/>
          <w:sz w:val="22"/>
          <w:szCs w:val="22"/>
          <w:color w:val="auto"/>
        </w:rPr>
        <w:t>” means the technical, medical and scientific licenses, registrations, authorizations, clearances, accreditations and approvals (including approvals of Approval Applications, supplements and amendments, pre- and post- approvals, and labeling approvals) of any Regulatory Authority, necessary for the research, development, clinical testing, commercial manufacture, distribution, marketing, promotion, offer for sale, use, import, export or sale of a pharmaceutical product in a regulatory jurisdiction, including Marketing Approval but excluding Price Approval.</w:t>
      </w:r>
    </w:p>
    <w:p>
      <w:pPr>
        <w:spacing w:after="0" w:line="147"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1.102 “</w:t>
      </w:r>
      <w:r>
        <w:rPr>
          <w:rFonts w:ascii="Times New Roman" w:cs="Times New Roman" w:eastAsia="Times New Roman" w:hAnsi="Times New Roman"/>
          <w:sz w:val="22"/>
          <w:szCs w:val="22"/>
          <w:b w:val="1"/>
          <w:bCs w:val="1"/>
          <w:color w:val="auto"/>
        </w:rPr>
        <w:t>Regulatory Authority</w:t>
      </w:r>
      <w:r>
        <w:rPr>
          <w:rFonts w:ascii="Times New Roman" w:cs="Times New Roman" w:eastAsia="Times New Roman" w:hAnsi="Times New Roman"/>
          <w:sz w:val="22"/>
          <w:szCs w:val="22"/>
          <w:color w:val="auto"/>
        </w:rPr>
        <w:t>” means, with respect to a country in the Territory, any national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FDA), supra-national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European Commission, the Council of the European Union, or the EMA), regional, state or local regulatory agency, department, bureau, commission, council or other Governmental Authority involved in the granting of Regulatory Approvals or Price Approvals for pharmaceutical products in such country or countries.</w:t>
      </w:r>
    </w:p>
    <w:p>
      <w:pPr>
        <w:spacing w:after="0" w:line="148"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1.103 “</w:t>
      </w:r>
      <w:r>
        <w:rPr>
          <w:rFonts w:ascii="Times New Roman" w:cs="Times New Roman" w:eastAsia="Times New Roman" w:hAnsi="Times New Roman"/>
          <w:sz w:val="22"/>
          <w:szCs w:val="22"/>
          <w:b w:val="1"/>
          <w:bCs w:val="1"/>
          <w:color w:val="auto"/>
        </w:rPr>
        <w:t>Regulatory Filings</w:t>
      </w:r>
      <w:r>
        <w:rPr>
          <w:rFonts w:ascii="Times New Roman" w:cs="Times New Roman" w:eastAsia="Times New Roman" w:hAnsi="Times New Roman"/>
          <w:sz w:val="22"/>
          <w:szCs w:val="22"/>
          <w:color w:val="auto"/>
        </w:rPr>
        <w:t>” means, collectively: (a) all (i) INDs or other filings needed to initiate clinical testing of any pharmaceutical product, (ii) Approval Applications, establishment license applications and drug master files, (iii) applications for designation as an “Orphan Product(s)” under the Orphan Drug Act, (iv) applications for “Fast Track” status, “Breakthrough Therapy” status or “Regenerative Medicine Advances Therapy Designation” under Section 506 of the FD&amp;C Act (21 U.S.C. §</w:t>
      </w:r>
    </w:p>
    <w:p>
      <w:pPr>
        <w:spacing w:after="0" w:line="2" w:lineRule="exact"/>
        <w:rPr>
          <w:sz w:val="20"/>
          <w:szCs w:val="20"/>
          <w:color w:val="auto"/>
        </w:rPr>
      </w:pPr>
    </w:p>
    <w:p>
      <w:pPr>
        <w:jc w:val="both"/>
        <w:ind w:firstLine="8"/>
        <w:spacing w:after="0" w:line="211" w:lineRule="auto"/>
        <w:tabs>
          <w:tab w:leader="none" w:pos="461"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(y) for a Special Protocol Assessment under Section 505(b)(4)(B) and (C) of the FD&amp;C Act (21 U.S.C. § 355(b)(4)(B)) and all other similar filings (including counterparts of any of the foregoing in any country or region in the Territory); (b) any applications for Regulatory Approval or Price Approval and other applications, filings, dossiers or similar documents submitted to a Regulatory Authority in any country for the purpose of obtaining Regulatory Approval or Price Approval from that Regulatory Authority; (c) any supplements and amendments to any of the foregoing; and (d) any correspondence with any Regulatory Authority relating to any of the foregoing.</w:t>
      </w:r>
    </w:p>
    <w:p>
      <w:pPr>
        <w:spacing w:after="0" w:line="150"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1.104 “</w:t>
      </w:r>
      <w:r>
        <w:rPr>
          <w:rFonts w:ascii="Times New Roman" w:cs="Times New Roman" w:eastAsia="Times New Roman" w:hAnsi="Times New Roman"/>
          <w:sz w:val="22"/>
          <w:szCs w:val="22"/>
          <w:b w:val="1"/>
          <w:bCs w:val="1"/>
          <w:color w:val="auto"/>
        </w:rPr>
        <w:t>Research</w:t>
      </w:r>
      <w:r>
        <w:rPr>
          <w:rFonts w:ascii="Times New Roman" w:cs="Times New Roman" w:eastAsia="Times New Roman" w:hAnsi="Times New Roman"/>
          <w:sz w:val="22"/>
          <w:szCs w:val="22"/>
          <w:color w:val="auto"/>
        </w:rPr>
        <w:t>” means conducting research activities to discover, design, optimize, deliver and advance Licensed Agents and Products, including pre-clinical studies and optimization up to the filing of an IND for such Licensed Agent or Product, but excluding Development, Manufacture and Commercialization. When used as a verb, “Researching” means to engage in Research. [***].</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1.105 “</w:t>
      </w:r>
      <w:r>
        <w:rPr>
          <w:rFonts w:ascii="Times New Roman" w:cs="Times New Roman" w:eastAsia="Times New Roman" w:hAnsi="Times New Roman"/>
          <w:sz w:val="22"/>
          <w:szCs w:val="22"/>
          <w:b w:val="1"/>
          <w:bCs w:val="1"/>
          <w:color w:val="auto"/>
        </w:rPr>
        <w:t>Research Activities</w:t>
      </w:r>
      <w:r>
        <w:rPr>
          <w:rFonts w:ascii="Times New Roman" w:cs="Times New Roman" w:eastAsia="Times New Roman" w:hAnsi="Times New Roman"/>
          <w:sz w:val="22"/>
          <w:szCs w:val="22"/>
          <w:color w:val="auto"/>
        </w:rPr>
        <w:t>” means the activities with respect to the Research of Licensed Agents and Product to be conducted by the Parties under the Collaboration Agreement as set forth in the Research Plan.</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1.106 “</w:t>
      </w:r>
      <w:r>
        <w:rPr>
          <w:rFonts w:ascii="Times New Roman" w:cs="Times New Roman" w:eastAsia="Times New Roman" w:hAnsi="Times New Roman"/>
          <w:sz w:val="22"/>
          <w:szCs w:val="22"/>
          <w:b w:val="1"/>
          <w:bCs w:val="1"/>
          <w:color w:val="auto"/>
        </w:rPr>
        <w:t>Research Plan</w:t>
      </w:r>
      <w:r>
        <w:rPr>
          <w:rFonts w:ascii="Times New Roman" w:cs="Times New Roman" w:eastAsia="Times New Roman" w:hAnsi="Times New Roman"/>
          <w:sz w:val="22"/>
          <w:szCs w:val="22"/>
          <w:color w:val="auto"/>
        </w:rPr>
        <w:t>” means the research plan for the Research Program, as adopted or amended by the Parties pursuant to the Collaboration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5" w:right="339" w:bottom="1440" w:gutter="0" w:footer="0" w:header="0"/>
        </w:sectPr>
      </w:pPr>
    </w:p>
    <w:bookmarkStart w:id="348" w:name="page349"/>
    <w:bookmarkEnd w:id="348"/>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1.107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Research Program</w:t>
      </w:r>
      <w:r>
        <w:rPr>
          <w:rFonts w:ascii="Times New Roman" w:cs="Times New Roman" w:eastAsia="Times New Roman" w:hAnsi="Times New Roman"/>
          <w:sz w:val="21"/>
          <w:szCs w:val="21"/>
          <w:color w:val="auto"/>
        </w:rPr>
        <w:t>” means the research program under the Collaboration Agreement to [***].</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1.108 “</w:t>
      </w:r>
      <w:r>
        <w:rPr>
          <w:rFonts w:ascii="Times New Roman" w:cs="Times New Roman" w:eastAsia="Times New Roman" w:hAnsi="Times New Roman"/>
          <w:sz w:val="22"/>
          <w:szCs w:val="22"/>
          <w:b w:val="1"/>
          <w:bCs w:val="1"/>
          <w:color w:val="auto"/>
        </w:rPr>
        <w:t>Residual Knowledge</w:t>
      </w:r>
      <w:r>
        <w:rPr>
          <w:rFonts w:ascii="Times New Roman" w:cs="Times New Roman" w:eastAsia="Times New Roman" w:hAnsi="Times New Roman"/>
          <w:sz w:val="22"/>
          <w:szCs w:val="22"/>
          <w:color w:val="auto"/>
        </w:rPr>
        <w:t>” means knowledge, techniques, experience and Know-How that are (a) reflected in any Confidential Information owned or Controlled by the Disclosing Party and (b) retained in the unaided memory of any authorized representative of the Receiving Party after having access to such Confidential Information. A Person’s memory will be considered to be unaided if the Person has not intentionally memorized the Confidential Information for the purpose of retaining and subsequently using or disclosing it.</w:t>
      </w:r>
    </w:p>
    <w:p>
      <w:pPr>
        <w:spacing w:after="0" w:line="147"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1.109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Rights</w:t>
      </w:r>
      <w:r>
        <w:rPr>
          <w:rFonts w:ascii="Times New Roman" w:cs="Times New Roman" w:eastAsia="Times New Roman" w:hAnsi="Times New Roman"/>
          <w:sz w:val="21"/>
          <w:szCs w:val="21"/>
          <w:color w:val="auto"/>
        </w:rPr>
        <w:t>” has the meaning set forth in Section 12.1.</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1.110 “</w:t>
      </w:r>
      <w:r>
        <w:rPr>
          <w:rFonts w:ascii="Times New Roman" w:cs="Times New Roman" w:eastAsia="Times New Roman" w:hAnsi="Times New Roman"/>
          <w:sz w:val="22"/>
          <w:szCs w:val="22"/>
          <w:b w:val="1"/>
          <w:bCs w:val="1"/>
          <w:color w:val="auto"/>
        </w:rPr>
        <w:t>Royalty Term</w:t>
      </w:r>
      <w:r>
        <w:rPr>
          <w:rFonts w:ascii="Times New Roman" w:cs="Times New Roman" w:eastAsia="Times New Roman" w:hAnsi="Times New Roman"/>
          <w:sz w:val="22"/>
          <w:szCs w:val="22"/>
          <w:color w:val="auto"/>
        </w:rPr>
        <w:t>” means, with respect to a Product in a country, the period commencing on the first sale of such Product giving rise to Net Sales in such country and ending upon the latest of: (a) the expiration of the last Valid Claim of an OSIF Patent that Covers such Product in such country; (b) [***] after the First Commercial Sale of such Product in such country; and (c) expiration of all applicable regulatory exclusivity periods, including data exclusivity, in such country with respect to such Product.</w:t>
      </w:r>
    </w:p>
    <w:p>
      <w:pPr>
        <w:spacing w:after="0" w:line="147"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2"/>
          <w:szCs w:val="22"/>
          <w:color w:val="auto"/>
        </w:rPr>
        <w:t>1.111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Rules</w:t>
      </w:r>
      <w:r>
        <w:rPr>
          <w:rFonts w:ascii="Times New Roman" w:cs="Times New Roman" w:eastAsia="Times New Roman" w:hAnsi="Times New Roman"/>
          <w:sz w:val="21"/>
          <w:szCs w:val="21"/>
          <w:color w:val="auto"/>
        </w:rPr>
        <w:t>” has the meaning set forth in Section 12.12.3(a).</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1.112 “</w:t>
      </w:r>
      <w:r>
        <w:rPr>
          <w:rFonts w:ascii="Times New Roman" w:cs="Times New Roman" w:eastAsia="Times New Roman" w:hAnsi="Times New Roman"/>
          <w:sz w:val="22"/>
          <w:szCs w:val="22"/>
          <w:b w:val="1"/>
          <w:bCs w:val="1"/>
          <w:color w:val="auto"/>
        </w:rPr>
        <w:t>Selected Third Party Intellectual Property</w:t>
      </w:r>
      <w:r>
        <w:rPr>
          <w:rFonts w:ascii="Times New Roman" w:cs="Times New Roman" w:eastAsia="Times New Roman" w:hAnsi="Times New Roman"/>
          <w:sz w:val="22"/>
          <w:szCs w:val="22"/>
          <w:color w:val="auto"/>
        </w:rPr>
        <w:t>” means, with respect to a Licensed Agent or Product, Patents or Know-How owned or controlled by a Third Party (but not then included in OSIF Technology) that [***].</w:t>
      </w:r>
    </w:p>
    <w:p>
      <w:pPr>
        <w:spacing w:after="0" w:line="146"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1"/>
          <w:szCs w:val="21"/>
          <w:color w:val="auto"/>
        </w:rPr>
        <w:t>1.113 “</w:t>
      </w:r>
      <w:r>
        <w:rPr>
          <w:rFonts w:ascii="Times New Roman" w:cs="Times New Roman" w:eastAsia="Times New Roman" w:hAnsi="Times New Roman"/>
          <w:sz w:val="21"/>
          <w:szCs w:val="21"/>
          <w:b w:val="1"/>
          <w:bCs w:val="1"/>
          <w:color w:val="auto"/>
        </w:rPr>
        <w:t>Selected Third Party Intellectual Property Costs</w:t>
      </w:r>
      <w:r>
        <w:rPr>
          <w:rFonts w:ascii="Times New Roman" w:cs="Times New Roman" w:eastAsia="Times New Roman" w:hAnsi="Times New Roman"/>
          <w:sz w:val="21"/>
          <w:szCs w:val="21"/>
          <w:color w:val="auto"/>
        </w:rPr>
        <w:t xml:space="preserve">” means Out-of-Pocket Costs, including upfront payments, purchase price, milestones, royalties, license fees, option fees, option exercise fees and other payments paid or payable by Vertex or its Affiliates or Sublicensees to a Third Party that owns or controls Selected Third Party Intellectual Property (or that, prior to the applicable transaction with Vertex or its Affiliates or Sublicensees, owned or controlled Selected Third Party Intellectual Property) to license or acquire such Selected Third Party Intellectual Property;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applicable Selected Third Party Intellectual Property relates to both a Licensed Agent or Product and one or more other programs of Vertex or its Affiliates or Sublicensees, then any such Out-of-Pocket Costs that are not specific to the Research, Development, Manufacturing or Commercialization of a Licensed Agent or Product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upfront payments, purchase price, etc.) will be [***].</w:t>
      </w:r>
    </w:p>
    <w:p>
      <w:pPr>
        <w:spacing w:after="0" w:line="149"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1.114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Selling Party</w:t>
      </w:r>
      <w:r>
        <w:rPr>
          <w:rFonts w:ascii="Times New Roman" w:cs="Times New Roman" w:eastAsia="Times New Roman" w:hAnsi="Times New Roman"/>
          <w:sz w:val="21"/>
          <w:szCs w:val="21"/>
          <w:color w:val="auto"/>
        </w:rPr>
        <w:t>” has the meaning set forth in Section 1.78.</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1.115 “</w:t>
      </w:r>
      <w:r>
        <w:rPr>
          <w:rFonts w:ascii="Times New Roman" w:cs="Times New Roman" w:eastAsia="Times New Roman" w:hAnsi="Times New Roman"/>
          <w:sz w:val="22"/>
          <w:szCs w:val="22"/>
          <w:b w:val="1"/>
          <w:bCs w:val="1"/>
          <w:color w:val="auto"/>
        </w:rPr>
        <w:t>Sublicense</w:t>
      </w:r>
      <w:r>
        <w:rPr>
          <w:rFonts w:ascii="Times New Roman" w:cs="Times New Roman" w:eastAsia="Times New Roman" w:hAnsi="Times New Roman"/>
          <w:sz w:val="22"/>
          <w:szCs w:val="22"/>
          <w:color w:val="auto"/>
        </w:rPr>
        <w:t>” means, when used as a verb, directly or indirectly, to sublicense, grant any other right with respect to, or agree not to assert, the rights granted to Vertex hereunder. When used as a noun, “Sublicense” means any agreement to Sublicense.</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1.116 “</w:t>
      </w:r>
      <w:r>
        <w:rPr>
          <w:rFonts w:ascii="Times New Roman" w:cs="Times New Roman" w:eastAsia="Times New Roman" w:hAnsi="Times New Roman"/>
          <w:sz w:val="22"/>
          <w:szCs w:val="22"/>
          <w:b w:val="1"/>
          <w:bCs w:val="1"/>
          <w:color w:val="auto"/>
        </w:rPr>
        <w:t>Sublicensee</w:t>
      </w:r>
      <w:r>
        <w:rPr>
          <w:rFonts w:ascii="Times New Roman" w:cs="Times New Roman" w:eastAsia="Times New Roman" w:hAnsi="Times New Roman"/>
          <w:sz w:val="22"/>
          <w:szCs w:val="22"/>
          <w:color w:val="auto"/>
        </w:rPr>
        <w:t>” means a Third Party, other than a Distributor or service provider, to whom Vertex (or a Sublicensee or Affiliate) sublicenses any of the rights granted to Vertex hereunder during the Term.</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1.117 “</w:t>
      </w:r>
      <w:r>
        <w:rPr>
          <w:rFonts w:ascii="Times New Roman" w:cs="Times New Roman" w:eastAsia="Times New Roman" w:hAnsi="Times New Roman"/>
          <w:sz w:val="22"/>
          <w:szCs w:val="22"/>
          <w:b w:val="1"/>
          <w:bCs w:val="1"/>
          <w:color w:val="auto"/>
        </w:rPr>
        <w:t>Successful Completion of Ongoing Study</w:t>
      </w:r>
      <w:r>
        <w:rPr>
          <w:rFonts w:ascii="Times New Roman" w:cs="Times New Roman" w:eastAsia="Times New Roman" w:hAnsi="Times New Roman"/>
          <w:sz w:val="22"/>
          <w:szCs w:val="22"/>
          <w:color w:val="auto"/>
        </w:rPr>
        <w:t>” means Company’s completion of its Ongoing Study with final reports [***].</w:t>
      </w:r>
    </w:p>
    <w:p>
      <w:pPr>
        <w:spacing w:after="0" w:line="146"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1.118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 has the meaning set forth in Section 10.1.</w:t>
      </w:r>
    </w:p>
    <w:p>
      <w:pPr>
        <w:spacing w:after="0" w:line="179"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1.119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Territory</w:t>
      </w:r>
      <w:r>
        <w:rPr>
          <w:rFonts w:ascii="Times New Roman" w:cs="Times New Roman" w:eastAsia="Times New Roman" w:hAnsi="Times New Roman"/>
          <w:sz w:val="21"/>
          <w:szCs w:val="21"/>
          <w:color w:val="auto"/>
        </w:rPr>
        <w:t>” means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1" w:right="339" w:bottom="1440" w:gutter="0" w:footer="0" w:header="0"/>
        </w:sectPr>
      </w:pPr>
    </w:p>
    <w:bookmarkStart w:id="349" w:name="page350"/>
    <w:bookmarkEnd w:id="349"/>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1.120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 Party</w:t>
      </w:r>
      <w:r>
        <w:rPr>
          <w:rFonts w:ascii="Times New Roman" w:cs="Times New Roman" w:eastAsia="Times New Roman" w:hAnsi="Times New Roman"/>
          <w:sz w:val="21"/>
          <w:szCs w:val="21"/>
          <w:color w:val="auto"/>
        </w:rPr>
        <w:t>” means any Person other than Vertex, Company or their respective Affiliates.</w:t>
      </w:r>
    </w:p>
    <w:p>
      <w:pPr>
        <w:spacing w:after="0" w:line="179"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1.121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 Party Infringement Claim</w:t>
      </w:r>
      <w:r>
        <w:rPr>
          <w:rFonts w:ascii="Times New Roman" w:cs="Times New Roman" w:eastAsia="Times New Roman" w:hAnsi="Times New Roman"/>
          <w:sz w:val="21"/>
          <w:szCs w:val="21"/>
          <w:color w:val="auto"/>
        </w:rPr>
        <w:t>” has the meaning set forth in Section 7.2.</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1.122 “</w:t>
      </w:r>
      <w:r>
        <w:rPr>
          <w:rFonts w:ascii="Times New Roman" w:cs="Times New Roman" w:eastAsia="Times New Roman" w:hAnsi="Times New Roman"/>
          <w:sz w:val="22"/>
          <w:szCs w:val="22"/>
          <w:b w:val="1"/>
          <w:bCs w:val="1"/>
          <w:color w:val="auto"/>
        </w:rPr>
        <w:t>Transparency Laws</w:t>
      </w:r>
      <w:r>
        <w:rPr>
          <w:rFonts w:ascii="Times New Roman" w:cs="Times New Roman" w:eastAsia="Times New Roman" w:hAnsi="Times New Roman"/>
          <w:sz w:val="22"/>
          <w:szCs w:val="22"/>
          <w:color w:val="auto"/>
        </w:rPr>
        <w:t>” means any Applicable Law that requires certain companies in the pharmaceutical or healthcare industry to disclose and report information regarding payments made and agreements entered into with healthcare professionals or other individuals and entities carrying out activities in certain countries.</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1.123 “</w:t>
      </w:r>
      <w:r>
        <w:rPr>
          <w:rFonts w:ascii="Times New Roman" w:cs="Times New Roman" w:eastAsia="Times New Roman" w:hAnsi="Times New Roman"/>
          <w:sz w:val="22"/>
          <w:szCs w:val="22"/>
          <w:b w:val="1"/>
          <w:bCs w:val="1"/>
          <w:color w:val="auto"/>
        </w:rPr>
        <w:t>U.S. Bankruptcy Code</w:t>
      </w:r>
      <w:r>
        <w:rPr>
          <w:rFonts w:ascii="Times New Roman" w:cs="Times New Roman" w:eastAsia="Times New Roman" w:hAnsi="Times New Roman"/>
          <w:sz w:val="22"/>
          <w:szCs w:val="22"/>
          <w:color w:val="auto"/>
        </w:rPr>
        <w:t>” means 11 U.S.C. §§ 101-1532, as amended, and the rules and regulations promulgated thereunder.</w:t>
      </w:r>
    </w:p>
    <w:p>
      <w:pPr>
        <w:spacing w:after="0" w:line="144"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1.124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United States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U.S</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21"/>
          <w:szCs w:val="21"/>
          <w:color w:val="auto"/>
        </w:rPr>
        <w:t>” means the United States of America and all of its districts, territories and possessions.</w:t>
      </w:r>
    </w:p>
    <w:p>
      <w:pPr>
        <w:spacing w:after="0" w:line="181"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1.125 “</w:t>
      </w:r>
      <w:r>
        <w:rPr>
          <w:rFonts w:ascii="Times New Roman" w:cs="Times New Roman" w:eastAsia="Times New Roman" w:hAnsi="Times New Roman"/>
          <w:sz w:val="22"/>
          <w:szCs w:val="22"/>
          <w:b w:val="1"/>
          <w:bCs w:val="1"/>
          <w:color w:val="auto"/>
        </w:rPr>
        <w:t>Valid Claim</w:t>
      </w:r>
      <w:r>
        <w:rPr>
          <w:rFonts w:ascii="Times New Roman" w:cs="Times New Roman" w:eastAsia="Times New Roman" w:hAnsi="Times New Roman"/>
          <w:sz w:val="22"/>
          <w:szCs w:val="22"/>
          <w:color w:val="auto"/>
        </w:rPr>
        <w:t>” means a claim (a) of any issued, unexpired United States or foreign Patent, which has not, in the country of issuance, been donated to the public, disclaimed, or held invalid or unenforceable by a court of competent jurisdiction in an unappealed or unappealable decision, or (b) of any United States or foreign patent application, which has not, in the country in question, been cancelled, withdrawn, or abandoned. Notwithstanding the foregoing, on a country-by-country basis, a patent application pending for more than [***] from the [***] with respect thereto will not be considered to have any Valid Claim for purposes of this Agreement unless and until a patent that meets the criteria set forth in clause (a) above with respect to such application issues.</w:t>
      </w:r>
    </w:p>
    <w:p>
      <w:pPr>
        <w:spacing w:after="0" w:line="149"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1.126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Vertex</w:t>
      </w:r>
      <w:r>
        <w:rPr>
          <w:rFonts w:ascii="Times New Roman" w:cs="Times New Roman" w:eastAsia="Times New Roman" w:hAnsi="Times New Roman"/>
          <w:sz w:val="21"/>
          <w:szCs w:val="21"/>
          <w:color w:val="auto"/>
        </w:rPr>
        <w:t>” has the meaning set forth in the Preamble.</w:t>
      </w:r>
    </w:p>
    <w:p>
      <w:pPr>
        <w:spacing w:after="0" w:line="179"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1.127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Vertex Indemnified Party</w:t>
      </w:r>
      <w:r>
        <w:rPr>
          <w:rFonts w:ascii="Times New Roman" w:cs="Times New Roman" w:eastAsia="Times New Roman" w:hAnsi="Times New Roman"/>
          <w:sz w:val="21"/>
          <w:szCs w:val="21"/>
          <w:color w:val="auto"/>
        </w:rPr>
        <w:t>” has the meaning set forth in Section 9.1.2.</w:t>
      </w:r>
    </w:p>
    <w:p>
      <w:pPr>
        <w:spacing w:after="0" w:line="17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2</w:t>
      </w:r>
    </w:p>
    <w:p>
      <w:pPr>
        <w:jc w:val="center"/>
        <w:spacing w:after="0"/>
        <w:rPr>
          <w:sz w:val="20"/>
          <w:szCs w:val="20"/>
          <w:color w:val="auto"/>
        </w:rPr>
      </w:pPr>
      <w:r>
        <w:rPr>
          <w:rFonts w:ascii="Times New Roman" w:cs="Times New Roman" w:eastAsia="Times New Roman" w:hAnsi="Times New Roman"/>
          <w:sz w:val="22"/>
          <w:szCs w:val="22"/>
          <w:b w:val="1"/>
          <w:bCs w:val="1"/>
          <w:color w:val="auto"/>
        </w:rPr>
        <w:t>EFFECT OF AGREEMENT</w:t>
      </w:r>
    </w:p>
    <w:p>
      <w:pPr>
        <w:spacing w:after="0" w:line="155"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Notwithstanding anything to the contrary in this Agreement, except for the provisions of Section 8.1, Section 8.2, Section 8.3, Section 10.2.1, ARTICLE 11, Section 12.5, and Section 12.11, and all definitions necessary to give effect to the foregoing provisions, each of which will become effective on the Execution Date, the rights and obligations of the Parties under this Agreement will not become effective until the Effective Date.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jc w:val="center"/>
        <w:spacing w:after="0"/>
        <w:rPr>
          <w:sz w:val="20"/>
          <w:szCs w:val="20"/>
          <w:color w:val="auto"/>
        </w:rPr>
      </w:pPr>
      <w:r>
        <w:rPr>
          <w:rFonts w:ascii="Times New Roman" w:cs="Times New Roman" w:eastAsia="Times New Roman" w:hAnsi="Times New Roman"/>
          <w:sz w:val="22"/>
          <w:szCs w:val="22"/>
          <w:b w:val="1"/>
          <w:bCs w:val="1"/>
          <w:color w:val="auto"/>
        </w:rPr>
        <w:t>RESEARCH, DEVELOPMENT, MANUFACTURING AND COMMERCIALIZATION</w:t>
      </w:r>
    </w:p>
    <w:p>
      <w:pPr>
        <w:spacing w:after="0" w:line="15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3.1 </w:t>
      </w:r>
      <w:r>
        <w:rPr>
          <w:rFonts w:ascii="Times New Roman" w:cs="Times New Roman" w:eastAsia="Times New Roman" w:hAnsi="Times New Roman"/>
          <w:sz w:val="22"/>
          <w:szCs w:val="22"/>
          <w:b w:val="1"/>
          <w:bCs w:val="1"/>
          <w:u w:val="single" w:color="auto"/>
          <w:color w:val="auto"/>
        </w:rPr>
        <w:t>Research Program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acknowledge and agree that the Collaboration Agreement describes the Research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Program and the terms and conditions applicable thereto.</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3.2 </w:t>
      </w:r>
      <w:r>
        <w:rPr>
          <w:rFonts w:ascii="Times New Roman" w:cs="Times New Roman" w:eastAsia="Times New Roman" w:hAnsi="Times New Roman"/>
          <w:sz w:val="22"/>
          <w:szCs w:val="22"/>
          <w:b w:val="1"/>
          <w:bCs w:val="1"/>
          <w:u w:val="single" w:color="auto"/>
          <w:color w:val="auto"/>
        </w:rPr>
        <w:t>Development</w:t>
      </w:r>
      <w:r>
        <w:rPr>
          <w:rFonts w:ascii="Times New Roman" w:cs="Times New Roman" w:eastAsia="Times New Roman" w:hAnsi="Times New Roman"/>
          <w:sz w:val="22"/>
          <w:szCs w:val="22"/>
          <w:color w:val="auto"/>
        </w:rPr>
        <w:t>. Subject to Section 3.4, Vertex will have sole and exclusive control over all matters relating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of Licensed Agents and Products.</w:t>
      </w:r>
    </w:p>
    <w:p>
      <w:pPr>
        <w:spacing w:after="0" w:line="14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u w:val="single" w:color="auto"/>
          <w:color w:val="auto"/>
        </w:rPr>
        <w:t>Commercialization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3.3.1 </w:t>
      </w: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Subject to Section 3.4, Vertex will have sole and exclusive control over all matters relating to the Commercialization of Products in the Field in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1" w:right="339" w:bottom="1440" w:gutter="0" w:footer="0" w:header="0"/>
        </w:sectPr>
      </w:pPr>
    </w:p>
    <w:bookmarkStart w:id="350" w:name="page351"/>
    <w:bookmarkEnd w:id="350"/>
    <w:p>
      <w:pPr>
        <w:jc w:val="both"/>
        <w:ind w:firstLine="1296"/>
        <w:spacing w:after="0" w:line="218" w:lineRule="auto"/>
        <w:rPr>
          <w:sz w:val="20"/>
          <w:szCs w:val="20"/>
          <w:color w:val="auto"/>
        </w:rPr>
      </w:pPr>
      <w:r>
        <w:rPr>
          <w:rFonts w:ascii="Times New Roman" w:cs="Times New Roman" w:eastAsia="Times New Roman" w:hAnsi="Times New Roman"/>
          <w:sz w:val="22"/>
          <w:szCs w:val="22"/>
          <w:color w:val="auto"/>
        </w:rPr>
        <w:t xml:space="preserve">3.3.2 </w:t>
      </w:r>
      <w:r>
        <w:rPr>
          <w:rFonts w:ascii="Times New Roman" w:cs="Times New Roman" w:eastAsia="Times New Roman" w:hAnsi="Times New Roman"/>
          <w:sz w:val="22"/>
          <w:szCs w:val="22"/>
          <w:b w:val="1"/>
          <w:bCs w:val="1"/>
          <w:color w:val="auto"/>
        </w:rPr>
        <w:t>Branding</w:t>
      </w:r>
      <w:r>
        <w:rPr>
          <w:rFonts w:ascii="Times New Roman" w:cs="Times New Roman" w:eastAsia="Times New Roman" w:hAnsi="Times New Roman"/>
          <w:sz w:val="22"/>
          <w:szCs w:val="22"/>
          <w:color w:val="auto"/>
        </w:rPr>
        <w:t>. Vertex will have sole and exclusive control over all matters relating to the selection of all trademarks used in connection with the Commercialization of any Product in the Field in the Territory and Vertex or its designee(s) will own all of such trademarks. Company will not use nor seek to register, anywhere in the Territory, any trademark that is confusingly similar to any trademark used by or on behalf of Vertex, its Affiliates or Sublicensees in connection with any Product.</w:t>
      </w:r>
    </w:p>
    <w:p>
      <w:pPr>
        <w:spacing w:after="0" w:line="14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3.4 </w:t>
      </w:r>
      <w:r>
        <w:rPr>
          <w:rFonts w:ascii="Times New Roman" w:cs="Times New Roman" w:eastAsia="Times New Roman" w:hAnsi="Times New Roman"/>
          <w:sz w:val="22"/>
          <w:szCs w:val="22"/>
          <w:b w:val="1"/>
          <w:bCs w:val="1"/>
          <w:u w:val="single" w:color="auto"/>
          <w:color w:val="auto"/>
        </w:rPr>
        <w:t>Vertex Diligence</w:t>
      </w:r>
      <w:r>
        <w:rPr>
          <w:rFonts w:ascii="Times New Roman" w:cs="Times New Roman" w:eastAsia="Times New Roman" w:hAnsi="Times New Roman"/>
          <w:sz w:val="22"/>
          <w:szCs w:val="22"/>
          <w:color w:val="auto"/>
        </w:rPr>
        <w:t>. Vertex (acting directly or through one or more Affiliates or Sublicensees) will use Commercially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Reasonable Efforts to [***].</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3.5 </w:t>
      </w:r>
      <w:r>
        <w:rPr>
          <w:rFonts w:ascii="Times New Roman" w:cs="Times New Roman" w:eastAsia="Times New Roman" w:hAnsi="Times New Roman"/>
          <w:sz w:val="22"/>
          <w:szCs w:val="22"/>
          <w:b w:val="1"/>
          <w:bCs w:val="1"/>
          <w:u w:val="single" w:color="auto"/>
          <w:color w:val="auto"/>
        </w:rPr>
        <w:t>Applicable Laws</w:t>
      </w:r>
      <w:r>
        <w:rPr>
          <w:rFonts w:ascii="Times New Roman" w:cs="Times New Roman" w:eastAsia="Times New Roman" w:hAnsi="Times New Roman"/>
          <w:sz w:val="22"/>
          <w:szCs w:val="22"/>
          <w:color w:val="auto"/>
        </w:rPr>
        <w:t>. Vertex will, and will require its Affiliates and Sublicensees to, comply in all material respects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Applicable Law in its and their Research, Development, Manufacture and Commercialization of Licensed Agents and Products, including, where required, GMP, GCP and GLP.</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jc w:val="center"/>
        <w:spacing w:after="0"/>
        <w:rPr>
          <w:sz w:val="20"/>
          <w:szCs w:val="20"/>
          <w:color w:val="auto"/>
        </w:rPr>
      </w:pPr>
      <w:r>
        <w:rPr>
          <w:rFonts w:ascii="Times New Roman" w:cs="Times New Roman" w:eastAsia="Times New Roman" w:hAnsi="Times New Roman"/>
          <w:sz w:val="22"/>
          <w:szCs w:val="22"/>
          <w:b w:val="1"/>
          <w:bCs w:val="1"/>
          <w:color w:val="auto"/>
        </w:rPr>
        <w:t>GOVERNANCE</w:t>
      </w:r>
    </w:p>
    <w:p>
      <w:pPr>
        <w:spacing w:after="0" w:line="15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Within [***] days after the Effective Date, the Parties will form an intellectual property committee (the “</w:t>
      </w:r>
      <w:r>
        <w:rPr>
          <w:rFonts w:ascii="Times New Roman" w:cs="Times New Roman" w:eastAsia="Times New Roman" w:hAnsi="Times New Roman"/>
          <w:sz w:val="22"/>
          <w:szCs w:val="22"/>
          <w:b w:val="1"/>
          <w:bCs w:val="1"/>
          <w:color w:val="auto"/>
        </w:rPr>
        <w:t>IP Committee</w:t>
      </w:r>
      <w:r>
        <w:rPr>
          <w:rFonts w:ascii="Times New Roman" w:cs="Times New Roman" w:eastAsia="Times New Roman" w:hAnsi="Times New Roman"/>
          <w:sz w:val="22"/>
          <w:szCs w:val="22"/>
          <w:color w:val="auto"/>
        </w:rPr>
        <w:t xml:space="preserve">”), composed of [***] representatives from each Party that are employees of such Party or its Affiliates having relevant expertise, to coordinate the Prosecution and Maintenance and enforcement of OSIF Patents. The IP Committee will meet in person or by means of telephone or video conference at least [***] each [***] during the Term or as the IP Committee may otherwise agree. Each Party may replace its representatives on the IP Committee at any time by providing notice in writing to the other Party. The IP Committee will have no decision-making authority but will act as a forum for discussion between the Parties with respect to matters relating to the ownership, prosecution and enforcement of Patents pursuant to this Agreement. In addition, each Party may invite a reasonable number of additional subject matter experts or relevant personnel of such Party to participate in discussions and meetings of the IP Committee;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any such additional subject matter experts or relevant personnel that are not employees of such Party will be subject to prior written consent of the other Party, such consent not to be unreasonably withheld, conditioned, or delayed. Each Party’s representatives on the IP Committee and all other individuals attending or participating in discussions and meetings of the IP Committee on behalf of a Party will be bound under written confidentiality and non-use obligations with respect to information disclosed at such meeting that are no less restrictive than the provisions of ARTICLE 11 except with respect to the duration of such obligations which will be commercially reasonable. For clarity, the IP Committee under this Agreement will be the same as the “IP Committee” formed under the Collaboration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Agreement has not been assigned to OSIF or its successor.</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jc w:val="center"/>
        <w:spacing w:after="0"/>
        <w:rPr>
          <w:sz w:val="20"/>
          <w:szCs w:val="20"/>
          <w:color w:val="auto"/>
        </w:rPr>
      </w:pPr>
      <w:r>
        <w:rPr>
          <w:rFonts w:ascii="Times New Roman" w:cs="Times New Roman" w:eastAsia="Times New Roman" w:hAnsi="Times New Roman"/>
          <w:sz w:val="22"/>
          <w:szCs w:val="22"/>
          <w:b w:val="1"/>
          <w:bCs w:val="1"/>
          <w:color w:val="auto"/>
        </w:rPr>
        <w:t>LICENSE GRANTS; EXCLUSIVITY</w:t>
      </w:r>
    </w:p>
    <w:p>
      <w:pPr>
        <w:spacing w:after="0" w:line="151"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5.1</w:t>
      </w:r>
      <w:r>
        <w:rPr>
          <w:sz w:val="20"/>
          <w:szCs w:val="20"/>
          <w:color w:val="auto"/>
        </w:rPr>
        <w:tab/>
      </w:r>
      <w:r>
        <w:rPr>
          <w:rFonts w:ascii="Times New Roman" w:cs="Times New Roman" w:eastAsia="Times New Roman" w:hAnsi="Times New Roman"/>
          <w:sz w:val="21"/>
          <w:szCs w:val="21"/>
          <w:b w:val="1"/>
          <w:bCs w:val="1"/>
          <w:u w:val="single" w:color="auto"/>
          <w:color w:val="auto"/>
        </w:rPr>
        <w:t>License Grant to Vertex</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color w:val="auto"/>
        </w:rPr>
        <w:t xml:space="preserve">5.1.1 </w:t>
      </w:r>
      <w:r>
        <w:rPr>
          <w:rFonts w:ascii="Times New Roman" w:cs="Times New Roman" w:eastAsia="Times New Roman" w:hAnsi="Times New Roman"/>
          <w:sz w:val="22"/>
          <w:szCs w:val="22"/>
          <w:b w:val="1"/>
          <w:bCs w:val="1"/>
          <w:color w:val="auto"/>
        </w:rPr>
        <w:t>License</w:t>
      </w:r>
      <w:r>
        <w:rPr>
          <w:rFonts w:ascii="Times New Roman" w:cs="Times New Roman" w:eastAsia="Times New Roman" w:hAnsi="Times New Roman"/>
          <w:sz w:val="22"/>
          <w:szCs w:val="22"/>
          <w:color w:val="auto"/>
        </w:rPr>
        <w:t>. Subject to the terms of this Agreement, effective upon the Effective Date, Company will grant and hereby grants to Vertex and its Affiliates an exclusive, royalty-bearing sublicense, including the right to grant Sublicenses through [***] tiers in accordance with Section 5.1.2, under Company’s and its Affiliates’ interest in the OSIF Technology to Exploit the Licensed Agents and Products in the Field in the Territory.</w:t>
      </w:r>
    </w:p>
    <w:p>
      <w:pPr>
        <w:spacing w:after="0" w:line="148"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color w:val="auto"/>
        </w:rPr>
        <w:t xml:space="preserve">5.1.2 </w:t>
      </w:r>
      <w:r>
        <w:rPr>
          <w:rFonts w:ascii="Times New Roman" w:cs="Times New Roman" w:eastAsia="Times New Roman" w:hAnsi="Times New Roman"/>
          <w:sz w:val="22"/>
          <w:szCs w:val="22"/>
          <w:b w:val="1"/>
          <w:bCs w:val="1"/>
          <w:color w:val="auto"/>
        </w:rPr>
        <w:t>Sublicensing</w:t>
      </w:r>
      <w:r>
        <w:rPr>
          <w:rFonts w:ascii="Times New Roman" w:cs="Times New Roman" w:eastAsia="Times New Roman" w:hAnsi="Times New Roman"/>
          <w:sz w:val="22"/>
          <w:szCs w:val="22"/>
          <w:color w:val="auto"/>
        </w:rPr>
        <w:t>. Vertex and its Affiliates may grant Sublicenses of any rights granted to Vertex and its Affiliates by Company under this Agreement through [***] tiers of Sublicenses to one or more Third Parties. Each such Sublicense will be subject to a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1" w:right="339" w:bottom="1440" w:gutter="0" w:footer="0" w:header="0"/>
        </w:sectPr>
      </w:pPr>
    </w:p>
    <w:bookmarkStart w:id="351" w:name="page352"/>
    <w:bookmarkEnd w:id="351"/>
    <w:p>
      <w:pPr>
        <w:jc w:val="both"/>
        <w:spacing w:after="0" w:line="220" w:lineRule="auto"/>
        <w:rPr>
          <w:sz w:val="20"/>
          <w:szCs w:val="20"/>
          <w:color w:val="auto"/>
        </w:rPr>
      </w:pPr>
      <w:r>
        <w:rPr>
          <w:rFonts w:ascii="Times New Roman" w:cs="Times New Roman" w:eastAsia="Times New Roman" w:hAnsi="Times New Roman"/>
          <w:sz w:val="22"/>
          <w:szCs w:val="22"/>
          <w:color w:val="auto"/>
        </w:rPr>
        <w:t>agreement that is consistent with the terms of this Agreement. Vertex will remain responsible for each such Third Party’s compliance with the applicable terms of this Agreement. No later than 30 days following the date upon which each Sublicense becomes effective, Vertex will provide Company with a true and complete copy of each Sublicense (including the identity of the Sublicensee and, if applicable, the region or field in which such rights have been sublicensed), subject to [***].</w:t>
      </w:r>
    </w:p>
    <w:p>
      <w:pPr>
        <w:spacing w:after="0" w:line="148"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color w:val="auto"/>
        </w:rPr>
        <w:t xml:space="preserve">5.1.3 </w:t>
      </w:r>
      <w:r>
        <w:rPr>
          <w:rFonts w:ascii="Times New Roman" w:cs="Times New Roman" w:eastAsia="Times New Roman" w:hAnsi="Times New Roman"/>
          <w:sz w:val="22"/>
          <w:szCs w:val="22"/>
          <w:b w:val="1"/>
          <w:bCs w:val="1"/>
          <w:color w:val="auto"/>
        </w:rPr>
        <w:t>Limitations</w:t>
      </w:r>
      <w:r>
        <w:rPr>
          <w:rFonts w:ascii="Times New Roman" w:cs="Times New Roman" w:eastAsia="Times New Roman" w:hAnsi="Times New Roman"/>
          <w:sz w:val="22"/>
          <w:szCs w:val="22"/>
          <w:color w:val="auto"/>
        </w:rPr>
        <w:t>. Notwithstanding the license granted to Vertex pursuant to Section 5.1.1, Company will retain rights under the OSIF Technology for the purpose of [***]. Notwithstanding anything to the contrary in this Agreement, Company does not and will not be obligated to grant any licenses or other rights to Vertex with respect to Other Products contained in any Product that is a Combination Product.</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5.2 </w:t>
      </w:r>
      <w:r>
        <w:rPr>
          <w:rFonts w:ascii="Times New Roman" w:cs="Times New Roman" w:eastAsia="Times New Roman" w:hAnsi="Times New Roman"/>
          <w:sz w:val="22"/>
          <w:szCs w:val="22"/>
          <w:b w:val="1"/>
          <w:bCs w:val="1"/>
          <w:u w:val="single" w:color="auto"/>
          <w:color w:val="auto"/>
        </w:rPr>
        <w:t>Technology Transfer</w:t>
      </w:r>
      <w:r>
        <w:rPr>
          <w:rFonts w:ascii="Times New Roman" w:cs="Times New Roman" w:eastAsia="Times New Roman" w:hAnsi="Times New Roman"/>
          <w:sz w:val="22"/>
          <w:szCs w:val="22"/>
          <w:color w:val="auto"/>
        </w:rPr>
        <w:t>. Promptly following the Effective Date, Company will transfer to Vertex a copy of all OSIF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Know-How [***] for Vertex to perform its Research Activities under the Research Plan, including any documentation (whether held in paper or electronic format and including copies of standard operating procedures or technical specifications), materials and other embodiments of OSIF Know- How. To assist with the transfer of OSIF Know-How under this Section 5.2 and Vertex’s exploitation thereof in accordance with the terms of this Agreement, Company will make its personnel reasonably available to Vertex in accordance with Section 4.3.4 of the Collaboration Agreement.</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5.3 </w:t>
      </w:r>
      <w:r>
        <w:rPr>
          <w:rFonts w:ascii="Times New Roman" w:cs="Times New Roman" w:eastAsia="Times New Roman" w:hAnsi="Times New Roman"/>
          <w:sz w:val="22"/>
          <w:szCs w:val="22"/>
          <w:b w:val="1"/>
          <w:bCs w:val="1"/>
          <w:u w:val="single" w:color="auto"/>
          <w:color w:val="auto"/>
        </w:rPr>
        <w:t>No Implied Licenses</w:t>
      </w:r>
      <w:r>
        <w:rPr>
          <w:rFonts w:ascii="Times New Roman" w:cs="Times New Roman" w:eastAsia="Times New Roman" w:hAnsi="Times New Roman"/>
          <w:sz w:val="22"/>
          <w:szCs w:val="22"/>
          <w:color w:val="auto"/>
        </w:rPr>
        <w:t>. Except as expressly provided in this Agreement, neither Party will be deemed by estoppel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implication to have granted the other Party any licenses or other right with respect to any intellectual property.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jc w:val="center"/>
        <w:spacing w:after="0"/>
        <w:rPr>
          <w:sz w:val="20"/>
          <w:szCs w:val="20"/>
          <w:color w:val="auto"/>
        </w:rPr>
      </w:pPr>
      <w:r>
        <w:rPr>
          <w:rFonts w:ascii="Times New Roman" w:cs="Times New Roman" w:eastAsia="Times New Roman" w:hAnsi="Times New Roman"/>
          <w:sz w:val="22"/>
          <w:szCs w:val="22"/>
          <w:b w:val="1"/>
          <w:bCs w:val="1"/>
          <w:color w:val="auto"/>
        </w:rPr>
        <w:t>FINANCIAL PROVISIONS</w:t>
      </w:r>
    </w:p>
    <w:p>
      <w:pPr>
        <w:spacing w:after="0" w:line="15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6.1 </w:t>
      </w:r>
      <w:r>
        <w:rPr>
          <w:rFonts w:ascii="Times New Roman" w:cs="Times New Roman" w:eastAsia="Times New Roman" w:hAnsi="Times New Roman"/>
          <w:sz w:val="22"/>
          <w:szCs w:val="22"/>
          <w:b w:val="1"/>
          <w:bCs w:val="1"/>
          <w:u w:val="single" w:color="auto"/>
          <w:color w:val="auto"/>
        </w:rPr>
        <w:t>Up-Front Fee</w:t>
      </w:r>
      <w:r>
        <w:rPr>
          <w:rFonts w:ascii="Times New Roman" w:cs="Times New Roman" w:eastAsia="Times New Roman" w:hAnsi="Times New Roman"/>
          <w:sz w:val="22"/>
          <w:szCs w:val="22"/>
          <w:color w:val="auto"/>
        </w:rPr>
        <w:t>. Within [***] following the Effective Date, Vertex will pay Company a one-time up-front fee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which fee will be non-refundable, non-creditable and not subject to set-off. The Parties hereby acknowledge that part of such up-front fee is reimbursement of past expenses of Company.</w:t>
      </w:r>
    </w:p>
    <w:p>
      <w:pPr>
        <w:spacing w:after="0" w:line="14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6.2</w:t>
      </w:r>
      <w:r>
        <w:rPr>
          <w:sz w:val="20"/>
          <w:szCs w:val="20"/>
          <w:color w:val="auto"/>
        </w:rPr>
        <w:tab/>
      </w:r>
      <w:r>
        <w:rPr>
          <w:rFonts w:ascii="Times New Roman" w:cs="Times New Roman" w:eastAsia="Times New Roman" w:hAnsi="Times New Roman"/>
          <w:sz w:val="21"/>
          <w:szCs w:val="21"/>
          <w:b w:val="1"/>
          <w:bCs w:val="1"/>
          <w:u w:val="single" w:color="auto"/>
          <w:color w:val="auto"/>
        </w:rPr>
        <w:t>Milestone Payments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6.2.1 </w:t>
      </w:r>
      <w:r>
        <w:rPr>
          <w:rFonts w:ascii="Times New Roman" w:cs="Times New Roman" w:eastAsia="Times New Roman" w:hAnsi="Times New Roman"/>
          <w:sz w:val="22"/>
          <w:szCs w:val="22"/>
          <w:b w:val="1"/>
          <w:bCs w:val="1"/>
          <w:color w:val="auto"/>
        </w:rPr>
        <w:t>Development &amp; Regulatory Milestones</w:t>
      </w:r>
      <w:r>
        <w:rPr>
          <w:rFonts w:ascii="Times New Roman" w:cs="Times New Roman" w:eastAsia="Times New Roman" w:hAnsi="Times New Roman"/>
          <w:sz w:val="22"/>
          <w:szCs w:val="22"/>
          <w:color w:val="auto"/>
        </w:rPr>
        <w:t>. Vertex will pay Company the milestone payments set forth in this Section 6.2.1 in accordance with the procedure set forth in Section 6.2.3 upon the first achievement of the relevant milestone event by Vertex or any of its Affiliates or Sublicensees, which payments will be non-refundable, non-creditable and not subject to set-off. Each milestone payment set forth below is payable only once, regardless of the number of Products that achieve the relevant milestone event or the number of times a Product achieves the relevant milestone event. Unless this Agreement has been assigned to OSIF, Vertex will make a single payment to Company of a milestone payment specified in Section 5.3.1 of the Collaboration Agreement, which will satisfy Vertex’s obligations with respect to the applicable milestone under this Section 6.2.1 and with respect to the corresponding milestone under Section 5.3.1 of the Collaboration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395" w:right="339" w:bottom="1440" w:gutter="0" w:footer="0" w:header="0"/>
        </w:sectPr>
      </w:pPr>
    </w:p>
    <w:bookmarkStart w:id="352" w:name="page353"/>
    <w:bookmarkEnd w:id="352"/>
    <w:p>
      <w:pPr>
        <w:spacing w:after="0" w:line="3" w:lineRule="exact"/>
        <w:rPr>
          <w:sz w:val="20"/>
          <w:szCs w:val="20"/>
          <w:color w:val="auto"/>
        </w:rPr>
      </w:pPr>
    </w:p>
    <w:tbl>
      <w:tblPr>
        <w:tblLayout w:type="fixed"/>
        <w:tblInd w:w="1710" w:type="dxa"/>
        <w:tblCellMar>
          <w:top w:w="0" w:type="dxa"/>
          <w:left w:w="0" w:type="dxa"/>
          <w:bottom w:w="0" w:type="dxa"/>
          <w:right w:w="0" w:type="dxa"/>
        </w:tblCellMar>
      </w:tblPr>
      <w:tr>
        <w:trPr>
          <w:trHeight w:val="283"/>
        </w:trPr>
        <w:tc>
          <w:tcPr>
            <w:tcW w:w="300" w:type="dxa"/>
            <w:vAlign w:val="bottom"/>
            <w:tcBorders>
              <w:top w:val="single" w:sz="8" w:color="auto"/>
              <w:left w:val="single" w:sz="8" w:color="auto"/>
              <w:bottom w:val="single" w:sz="8" w:color="auto"/>
              <w:right w:val="single" w:sz="8" w:color="auto"/>
            </w:tcBorders>
            <w:shd w:val="clear" w:color="auto" w:fill="D9D9D9"/>
          </w:tcPr>
          <w:p>
            <w:pPr>
              <w:spacing w:after="0"/>
              <w:rPr>
                <w:sz w:val="24"/>
                <w:szCs w:val="24"/>
                <w:color w:val="auto"/>
              </w:rPr>
            </w:pPr>
          </w:p>
        </w:tc>
        <w:tc>
          <w:tcPr>
            <w:tcW w:w="2500" w:type="dxa"/>
            <w:vAlign w:val="bottom"/>
            <w:tcBorders>
              <w:top w:val="single" w:sz="8" w:color="auto"/>
              <w:bottom w:val="single" w:sz="8" w:color="auto"/>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22"/>
                <w:szCs w:val="22"/>
                <w:b w:val="1"/>
                <w:bCs w:val="1"/>
                <w:color w:val="auto"/>
              </w:rPr>
              <w:t>Milestone Event</w:t>
            </w:r>
          </w:p>
        </w:tc>
        <w:tc>
          <w:tcPr>
            <w:tcW w:w="2940" w:type="dxa"/>
            <w:vAlign w:val="bottom"/>
            <w:tcBorders>
              <w:top w:val="single" w:sz="8" w:color="auto"/>
              <w:bottom w:val="single" w:sz="8" w:color="auto"/>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22"/>
                <w:szCs w:val="22"/>
                <w:b w:val="1"/>
                <w:bCs w:val="1"/>
                <w:color w:val="auto"/>
              </w:rPr>
              <w:t>Milestone Payment</w:t>
            </w:r>
          </w:p>
        </w:tc>
      </w:tr>
      <w:tr>
        <w:trPr>
          <w:trHeight w:val="264"/>
        </w:trPr>
        <w:tc>
          <w:tcPr>
            <w:tcW w:w="300" w:type="dxa"/>
            <w:vAlign w:val="bottom"/>
            <w:tcBorders>
              <w:left w:val="single" w:sz="8" w:color="auto"/>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w:t>
            </w:r>
          </w:p>
        </w:tc>
        <w:tc>
          <w:tcPr>
            <w:tcW w:w="25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263"/>
        </w:trPr>
        <w:tc>
          <w:tcPr>
            <w:tcW w:w="30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25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r>
      <w:tr>
        <w:trPr>
          <w:trHeight w:val="263"/>
        </w:trPr>
        <w:tc>
          <w:tcPr>
            <w:tcW w:w="30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25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r>
      <w:tr>
        <w:trPr>
          <w:trHeight w:val="263"/>
        </w:trPr>
        <w:tc>
          <w:tcPr>
            <w:tcW w:w="30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25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r>
      <w:tr>
        <w:trPr>
          <w:trHeight w:val="263"/>
        </w:trPr>
        <w:tc>
          <w:tcPr>
            <w:tcW w:w="30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5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r>
    </w:tbl>
    <w:p>
      <w:pPr>
        <w:spacing w:after="0" w:line="293" w:lineRule="exact"/>
        <w:rPr>
          <w:sz w:val="20"/>
          <w:szCs w:val="20"/>
          <w:color w:val="auto"/>
        </w:rPr>
      </w:pPr>
    </w:p>
    <w:p>
      <w:pPr>
        <w:jc w:val="both"/>
        <w:ind w:right="20" w:firstLine="1296"/>
        <w:spacing w:after="0" w:line="213" w:lineRule="auto"/>
        <w:rPr>
          <w:sz w:val="20"/>
          <w:szCs w:val="20"/>
          <w:color w:val="auto"/>
        </w:rPr>
      </w:pPr>
      <w:r>
        <w:rPr>
          <w:rFonts w:ascii="Times New Roman" w:cs="Times New Roman" w:eastAsia="Times New Roman" w:hAnsi="Times New Roman"/>
          <w:sz w:val="22"/>
          <w:szCs w:val="22"/>
          <w:color w:val="auto"/>
        </w:rPr>
        <w:t xml:space="preserve">6.2.2 </w:t>
      </w:r>
      <w:r>
        <w:rPr>
          <w:rFonts w:ascii="Times New Roman" w:cs="Times New Roman" w:eastAsia="Times New Roman" w:hAnsi="Times New Roman"/>
          <w:sz w:val="22"/>
          <w:szCs w:val="22"/>
          <w:b w:val="1"/>
          <w:bCs w:val="1"/>
          <w:color w:val="auto"/>
        </w:rPr>
        <w:t>Commercial Milestones</w:t>
      </w:r>
      <w:r>
        <w:rPr>
          <w:rFonts w:ascii="Times New Roman" w:cs="Times New Roman" w:eastAsia="Times New Roman" w:hAnsi="Times New Roman"/>
          <w:sz w:val="22"/>
          <w:szCs w:val="22"/>
          <w:color w:val="auto"/>
        </w:rPr>
        <w:t>. Vertex will pay Company the milestone payments set forth in this Section 6.2.2 in accordance with the procedure set forth in Section 6.2.3 upon the first achievement of the relevant milestone event by Vertex or its Affiliates or any Sublicensees, which payments will be non-refundable, non-creditable and not subject to set-off. Each milestone payment set forth below, is payable only once regardless of the number of Products that achieve the relevant milestone event or the number of times Product(s) achieve such milestone event. Unless this Agreement has been assigned to OSIF, Vertex will make a single payment to Company of a milestone payment specified in Section 5.3.2 of the Collaboration Agreement, which will satisfy Vertex’s obligations with respect to the applicable milestone under this Section 6.2.2 and with respect to the corresponding milestone under Section 5.3.2 of the Collaboration Agreement.</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440" w:type="dxa"/>
            <w:vAlign w:val="bottom"/>
            <w:tcBorders>
              <w:top w:val="single" w:sz="8" w:color="auto"/>
              <w:left w:val="single" w:sz="8" w:color="auto"/>
              <w:bottom w:val="single" w:sz="8" w:color="auto"/>
              <w:right w:val="single" w:sz="8" w:color="auto"/>
            </w:tcBorders>
            <w:shd w:val="clear" w:color="auto" w:fill="D9D9D9"/>
          </w:tcPr>
          <w:p>
            <w:pPr>
              <w:spacing w:after="0"/>
              <w:rPr>
                <w:sz w:val="24"/>
                <w:szCs w:val="24"/>
                <w:color w:val="auto"/>
              </w:rPr>
            </w:pPr>
          </w:p>
        </w:tc>
        <w:tc>
          <w:tcPr>
            <w:tcW w:w="7920" w:type="dxa"/>
            <w:vAlign w:val="bottom"/>
            <w:tcBorders>
              <w:top w:val="single" w:sz="8" w:color="auto"/>
              <w:bottom w:val="single" w:sz="8" w:color="auto"/>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22"/>
                <w:szCs w:val="22"/>
                <w:b w:val="1"/>
                <w:bCs w:val="1"/>
                <w:color w:val="auto"/>
              </w:rPr>
              <w:t>Milestone Event</w:t>
            </w:r>
          </w:p>
        </w:tc>
        <w:tc>
          <w:tcPr>
            <w:tcW w:w="2900" w:type="dxa"/>
            <w:vAlign w:val="bottom"/>
            <w:tcBorders>
              <w:top w:val="single" w:sz="8" w:color="auto"/>
              <w:bottom w:val="single" w:sz="8" w:color="auto"/>
              <w:right w:val="single" w:sz="8" w:color="auto"/>
            </w:tcBorders>
            <w:shd w:val="clear" w:color="auto" w:fill="D9D9D9"/>
          </w:tcPr>
          <w:p>
            <w:pPr>
              <w:jc w:val="right"/>
              <w:ind w:right="1012"/>
              <w:spacing w:after="0"/>
              <w:rPr>
                <w:sz w:val="20"/>
                <w:szCs w:val="20"/>
                <w:color w:val="auto"/>
              </w:rPr>
            </w:pPr>
            <w:r>
              <w:rPr>
                <w:rFonts w:ascii="Times New Roman" w:cs="Times New Roman" w:eastAsia="Times New Roman" w:hAnsi="Times New Roman"/>
                <w:sz w:val="22"/>
                <w:szCs w:val="22"/>
                <w:b w:val="1"/>
                <w:bCs w:val="1"/>
                <w:color w:val="auto"/>
                <w:w w:val="97"/>
              </w:rPr>
              <w:t>Milestone Payment</w:t>
            </w:r>
          </w:p>
        </w:tc>
      </w:tr>
      <w:tr>
        <w:trPr>
          <w:trHeight w:val="263"/>
        </w:trPr>
        <w:tc>
          <w:tcPr>
            <w:tcW w:w="440" w:type="dxa"/>
            <w:vAlign w:val="bottom"/>
            <w:tcBorders>
              <w:left w:val="single" w:sz="8" w:color="auto"/>
              <w:bottom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6</w:t>
            </w:r>
          </w:p>
        </w:tc>
        <w:tc>
          <w:tcPr>
            <w:tcW w:w="79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First time Annual Net Sales of all Products exceed $[***]</w:t>
            </w:r>
          </w:p>
        </w:tc>
        <w:tc>
          <w:tcPr>
            <w:tcW w:w="2900" w:type="dxa"/>
            <w:vAlign w:val="bottom"/>
            <w:tcBorders>
              <w:bottom w:val="single" w:sz="8" w:color="auto"/>
              <w:right w:val="single" w:sz="8" w:color="auto"/>
            </w:tcBorders>
          </w:tcPr>
          <w:p>
            <w:pPr>
              <w:jc w:val="right"/>
              <w:ind w:right="1072"/>
              <w:spacing w:after="0"/>
              <w:rPr>
                <w:sz w:val="20"/>
                <w:szCs w:val="20"/>
                <w:color w:val="auto"/>
              </w:rPr>
            </w:pPr>
            <w:r>
              <w:rPr>
                <w:rFonts w:ascii="Times New Roman" w:cs="Times New Roman" w:eastAsia="Times New Roman" w:hAnsi="Times New Roman"/>
                <w:sz w:val="22"/>
                <w:szCs w:val="22"/>
                <w:color w:val="auto"/>
              </w:rPr>
              <w:t>$[***]</w:t>
            </w:r>
          </w:p>
        </w:tc>
      </w:tr>
      <w:tr>
        <w:trPr>
          <w:trHeight w:val="263"/>
        </w:trPr>
        <w:tc>
          <w:tcPr>
            <w:tcW w:w="440" w:type="dxa"/>
            <w:vAlign w:val="bottom"/>
            <w:tcBorders>
              <w:left w:val="single" w:sz="8" w:color="auto"/>
              <w:bottom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7</w:t>
            </w:r>
          </w:p>
        </w:tc>
        <w:tc>
          <w:tcPr>
            <w:tcW w:w="79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First time Annual Net Sales of all Products exceed $[***]</w:t>
            </w:r>
          </w:p>
        </w:tc>
        <w:tc>
          <w:tcPr>
            <w:tcW w:w="2900" w:type="dxa"/>
            <w:vAlign w:val="bottom"/>
            <w:tcBorders>
              <w:bottom w:val="single" w:sz="8" w:color="auto"/>
              <w:right w:val="single" w:sz="8" w:color="auto"/>
            </w:tcBorders>
          </w:tcPr>
          <w:p>
            <w:pPr>
              <w:jc w:val="right"/>
              <w:ind w:right="1072"/>
              <w:spacing w:after="0"/>
              <w:rPr>
                <w:sz w:val="20"/>
                <w:szCs w:val="20"/>
                <w:color w:val="auto"/>
              </w:rPr>
            </w:pPr>
            <w:r>
              <w:rPr>
                <w:rFonts w:ascii="Times New Roman" w:cs="Times New Roman" w:eastAsia="Times New Roman" w:hAnsi="Times New Roman"/>
                <w:sz w:val="22"/>
                <w:szCs w:val="22"/>
                <w:color w:val="auto"/>
              </w:rPr>
              <w:t>$[***]</w:t>
            </w:r>
          </w:p>
        </w:tc>
      </w:tr>
    </w:tbl>
    <w:p>
      <w:pPr>
        <w:spacing w:after="0" w:line="279" w:lineRule="exact"/>
        <w:rPr>
          <w:sz w:val="20"/>
          <w:szCs w:val="20"/>
          <w:color w:val="auto"/>
        </w:rPr>
      </w:pPr>
    </w:p>
    <w:p>
      <w:pPr>
        <w:jc w:val="both"/>
        <w:ind w:right="20" w:firstLine="1296"/>
        <w:spacing w:after="0" w:line="208" w:lineRule="auto"/>
        <w:rPr>
          <w:sz w:val="20"/>
          <w:szCs w:val="20"/>
          <w:color w:val="auto"/>
        </w:rPr>
      </w:pPr>
      <w:r>
        <w:rPr>
          <w:rFonts w:ascii="Times New Roman" w:cs="Times New Roman" w:eastAsia="Times New Roman" w:hAnsi="Times New Roman"/>
          <w:sz w:val="22"/>
          <w:szCs w:val="22"/>
          <w:color w:val="auto"/>
        </w:rPr>
        <w:t xml:space="preserve">6.2.3 </w:t>
      </w:r>
      <w:r>
        <w:rPr>
          <w:rFonts w:ascii="Times New Roman" w:cs="Times New Roman" w:eastAsia="Times New Roman" w:hAnsi="Times New Roman"/>
          <w:sz w:val="22"/>
          <w:szCs w:val="22"/>
          <w:b w:val="1"/>
          <w:bCs w:val="1"/>
          <w:color w:val="auto"/>
        </w:rPr>
        <w:t>Notice; Payment; Skipped Milestones</w:t>
      </w:r>
      <w:r>
        <w:rPr>
          <w:rFonts w:ascii="Times New Roman" w:cs="Times New Roman" w:eastAsia="Times New Roman" w:hAnsi="Times New Roman"/>
          <w:sz w:val="22"/>
          <w:szCs w:val="22"/>
          <w:color w:val="auto"/>
        </w:rPr>
        <w:t>. Vertex will provide Company with written notice upon the achievement of each of the milestone events set forth in Section 6.2.1 and Section 6.2.2, such written notice to be provided (a) with respect to any milestone event under Section 6.2.1, within [***] after such achievement and (b) with respect to any milestone event under Section 6.2.2, on or prior to the date of delivery of the royalty report under Section 6.3.7 for the [***] in which such milestone event is first achieved. Following receipt of such written notice, Company will promptly invoice Vertex for the applicable milestone and Vertex will make the appropriate milestone payment within [***] after receipt of such invoice. Each milestone payment corresponding with the milestones numbered [***] as set forth in Section 6.2.1 are intended to be successive; if a Product is not required to undergo the event associated with any such milestone event, such skipped milestone will be deemed to have been achieved upon the achievement by such Product of the next successive milestone event. Payment for any such skipped milestone that is owed in accordance with the provisions of the foregoing sentence with respect to a given Product will be due concurrently with the payment for the next successive milestone event by such Product, it being agreed that if a Product is not required to undergo the milestone numbered [***] the corresponding payment will be made upon the first to occur of the milestones numbered [***]. For the avoidance of doubt, the occurrence of milestone number [***] will not trigger payment of milestone number [***]. For clarity, each milestone payment corresponding with the milestones numbered [***] as set forth in Section 6.2.2 are intended to be additive such that if both milestones numbered [***] are achieved in the same Calendar Year, Vertex will pay to Company a payment of $[***] (which, unless this Agreement is assigned to OSIF, will be included in the amounts payable by Vertex to Company under the Collaboration Agreement).</w:t>
      </w:r>
    </w:p>
    <w:p>
      <w:pPr>
        <w:spacing w:after="0" w:line="161"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6.3</w:t>
      </w:r>
      <w:r>
        <w:rPr>
          <w:sz w:val="20"/>
          <w:szCs w:val="20"/>
          <w:color w:val="auto"/>
        </w:rPr>
        <w:tab/>
      </w:r>
      <w:r>
        <w:rPr>
          <w:rFonts w:ascii="Times New Roman" w:cs="Times New Roman" w:eastAsia="Times New Roman" w:hAnsi="Times New Roman"/>
          <w:sz w:val="21"/>
          <w:szCs w:val="21"/>
          <w:b w:val="1"/>
          <w:bCs w:val="1"/>
          <w:u w:val="single" w:color="auto"/>
          <w:color w:val="auto"/>
        </w:rPr>
        <w:t>Royalties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60"/>
          </w:cols>
          <w:pgMar w:left="320" w:top="1440" w:right="319" w:bottom="1440" w:gutter="0" w:footer="0" w:header="0"/>
        </w:sectPr>
      </w:pPr>
    </w:p>
    <w:bookmarkStart w:id="353" w:name="page354"/>
    <w:bookmarkEnd w:id="353"/>
    <w:p>
      <w:pPr>
        <w:jc w:val="both"/>
        <w:ind w:firstLine="1296"/>
        <w:spacing w:after="0" w:line="221" w:lineRule="auto"/>
        <w:rPr>
          <w:sz w:val="20"/>
          <w:szCs w:val="20"/>
          <w:color w:val="auto"/>
        </w:rPr>
      </w:pPr>
      <w:r>
        <w:rPr>
          <w:rFonts w:ascii="Times New Roman" w:cs="Times New Roman" w:eastAsia="Times New Roman" w:hAnsi="Times New Roman"/>
          <w:sz w:val="22"/>
          <w:szCs w:val="22"/>
          <w:color w:val="auto"/>
        </w:rPr>
        <w:t xml:space="preserve">6.3.1 </w:t>
      </w:r>
      <w:r>
        <w:rPr>
          <w:rFonts w:ascii="Times New Roman" w:cs="Times New Roman" w:eastAsia="Times New Roman" w:hAnsi="Times New Roman"/>
          <w:sz w:val="22"/>
          <w:szCs w:val="22"/>
          <w:b w:val="1"/>
          <w:bCs w:val="1"/>
          <w:color w:val="auto"/>
        </w:rPr>
        <w:t>Royalty Rates</w:t>
      </w:r>
      <w:r>
        <w:rPr>
          <w:rFonts w:ascii="Times New Roman" w:cs="Times New Roman" w:eastAsia="Times New Roman" w:hAnsi="Times New Roman"/>
          <w:sz w:val="22"/>
          <w:szCs w:val="22"/>
          <w:color w:val="auto"/>
        </w:rPr>
        <w:t>. Subject to Sections 6.3.2, 6.3.3, 6.3.4 and 6.3.5, on a Product-by-Product basis, Vertex will pay Company non-refundable, non-creditable royalties based on the aggregate Net Sales of Products sold by Vertex, its Affiliates or Sublicensees in the Field in the Territory during a Calendar Year at the rates set forth in the table below. The obligation to pay royalties will be imposed only once with respect to the same unit of a Product.</w:t>
      </w:r>
    </w:p>
    <w:p>
      <w:pPr>
        <w:spacing w:after="0" w:line="200" w:lineRule="exact"/>
        <w:rPr>
          <w:sz w:val="20"/>
          <w:szCs w:val="20"/>
          <w:color w:val="auto"/>
        </w:rPr>
      </w:pPr>
    </w:p>
    <w:tbl>
      <w:tblPr>
        <w:tblLayout w:type="fixed"/>
        <w:tblInd w:w="710" w:type="dxa"/>
        <w:tblCellMar>
          <w:top w:w="0" w:type="dxa"/>
          <w:left w:w="0" w:type="dxa"/>
          <w:bottom w:w="0" w:type="dxa"/>
          <w:right w:w="0" w:type="dxa"/>
        </w:tblCellMar>
      </w:tblPr>
      <w:tr>
        <w:trPr>
          <w:trHeight w:val="216"/>
        </w:trPr>
        <w:tc>
          <w:tcPr>
            <w:tcW w:w="5440" w:type="dxa"/>
            <w:vAlign w:val="bottom"/>
            <w:tcBorders>
              <w:top w:val="single" w:sz="8" w:color="auto"/>
              <w:left w:val="single" w:sz="8" w:color="auto"/>
              <w:right w:val="single" w:sz="8" w:color="auto"/>
            </w:tcBorders>
            <w:shd w:val="clear" w:color="auto" w:fill="D9D9D9"/>
          </w:tcPr>
          <w:p>
            <w:pPr>
              <w:ind w:left="60"/>
              <w:spacing w:after="0" w:line="216" w:lineRule="exact"/>
              <w:rPr>
                <w:sz w:val="20"/>
                <w:szCs w:val="20"/>
                <w:color w:val="auto"/>
              </w:rPr>
            </w:pPr>
            <w:r>
              <w:rPr>
                <w:rFonts w:ascii="Times New Roman" w:cs="Times New Roman" w:eastAsia="Times New Roman" w:hAnsi="Times New Roman"/>
                <w:sz w:val="22"/>
                <w:szCs w:val="22"/>
                <w:b w:val="1"/>
                <w:bCs w:val="1"/>
                <w:color w:val="auto"/>
                <w:w w:val="97"/>
              </w:rPr>
              <w:t>Annual Net Sales (in Dollars) for the Products Covered by</w:t>
            </w:r>
          </w:p>
        </w:tc>
        <w:tc>
          <w:tcPr>
            <w:tcW w:w="3380" w:type="dxa"/>
            <w:vAlign w:val="bottom"/>
            <w:tcBorders>
              <w:top w:val="single" w:sz="8" w:color="auto"/>
              <w:right w:val="single" w:sz="8" w:color="auto"/>
            </w:tcBorders>
            <w:shd w:val="clear" w:color="auto" w:fill="D9D9D9"/>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Royalty Rates as a Percentage (%)</w:t>
            </w:r>
          </w:p>
        </w:tc>
      </w:tr>
      <w:tr>
        <w:trPr>
          <w:trHeight w:val="284"/>
        </w:trPr>
        <w:tc>
          <w:tcPr>
            <w:tcW w:w="5440" w:type="dxa"/>
            <w:vAlign w:val="bottom"/>
            <w:tcBorders>
              <w:left w:val="single" w:sz="8" w:color="auto"/>
              <w:bottom w:val="single" w:sz="8" w:color="auto"/>
              <w:right w:val="single" w:sz="8" w:color="auto"/>
            </w:tcBorders>
            <w:shd w:val="clear" w:color="auto" w:fill="D9D9D9"/>
          </w:tcPr>
          <w:p>
            <w:pPr>
              <w:ind w:left="1180"/>
              <w:spacing w:after="0"/>
              <w:rPr>
                <w:sz w:val="20"/>
                <w:szCs w:val="20"/>
                <w:color w:val="auto"/>
              </w:rPr>
            </w:pPr>
            <w:r>
              <w:rPr>
                <w:rFonts w:ascii="Times New Roman" w:cs="Times New Roman" w:eastAsia="Times New Roman" w:hAnsi="Times New Roman"/>
                <w:sz w:val="22"/>
                <w:szCs w:val="22"/>
                <w:b w:val="1"/>
                <w:bCs w:val="1"/>
                <w:color w:val="auto"/>
              </w:rPr>
              <w:t>OSIF Technology in the Territory</w:t>
            </w:r>
          </w:p>
        </w:tc>
        <w:tc>
          <w:tcPr>
            <w:tcW w:w="33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of Net Sales</w:t>
            </w:r>
          </w:p>
        </w:tc>
      </w:tr>
      <w:tr>
        <w:trPr>
          <w:trHeight w:val="263"/>
        </w:trPr>
        <w:tc>
          <w:tcPr>
            <w:tcW w:w="54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Portion of Annual Net Sales up to and including $[***]</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263"/>
        </w:trPr>
        <w:tc>
          <w:tcPr>
            <w:tcW w:w="54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Portion of Annual Net Sales that exceeds $[***]</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bl>
    <w:p>
      <w:pPr>
        <w:spacing w:after="0" w:line="293"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color w:val="auto"/>
        </w:rPr>
        <w:t xml:space="preserve">6.3.2 </w:t>
      </w:r>
      <w:r>
        <w:rPr>
          <w:rFonts w:ascii="Times New Roman" w:cs="Times New Roman" w:eastAsia="Times New Roman" w:hAnsi="Times New Roman"/>
          <w:sz w:val="22"/>
          <w:szCs w:val="22"/>
          <w:b w:val="1"/>
          <w:bCs w:val="1"/>
          <w:color w:val="auto"/>
        </w:rPr>
        <w:t>Royalty Term</w:t>
      </w:r>
      <w:r>
        <w:rPr>
          <w:rFonts w:ascii="Times New Roman" w:cs="Times New Roman" w:eastAsia="Times New Roman" w:hAnsi="Times New Roman"/>
          <w:sz w:val="22"/>
          <w:szCs w:val="22"/>
          <w:color w:val="auto"/>
        </w:rPr>
        <w:t>. Vertex will pay royalties to Company under this Section 6.3 on a Product-by-Product and a country-by-country basis during the Royalty Term for the applicable Product in the applicable country. Upon the expiration of the Royalty Term for a given Product in a given country, the license granted to Vertex under Section 5.1.1 will become fully-paid, perpetual and irrevocable with respect to such Product in such country.</w:t>
      </w:r>
    </w:p>
    <w:p>
      <w:pPr>
        <w:spacing w:after="0" w:line="148"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color w:val="auto"/>
        </w:rPr>
        <w:t xml:space="preserve">6.3.3 </w:t>
      </w:r>
      <w:r>
        <w:rPr>
          <w:rFonts w:ascii="Times New Roman" w:cs="Times New Roman" w:eastAsia="Times New Roman" w:hAnsi="Times New Roman"/>
          <w:sz w:val="22"/>
          <w:szCs w:val="22"/>
          <w:b w:val="1"/>
          <w:bCs w:val="1"/>
          <w:color w:val="auto"/>
        </w:rPr>
        <w:t>Reduction for Lack of Patent Coverage and Regulatory Exclusivity</w:t>
      </w:r>
      <w:r>
        <w:rPr>
          <w:rFonts w:ascii="Times New Roman" w:cs="Times New Roman" w:eastAsia="Times New Roman" w:hAnsi="Times New Roman"/>
          <w:sz w:val="22"/>
          <w:szCs w:val="22"/>
          <w:color w:val="auto"/>
        </w:rPr>
        <w:t>. Subject to Section 6.3.6, if during any period within the applicable Royalty Term for a country, (a) no Valid Claim of an OSIF Patent exists that Covers such Product in such country, and (b) all applicable regulatory exclusivity periods, including data exclusivity periods, have expired in such country with respect to such Product, Net Sales of such Product in such country will be reduced by [***]% for purposes of calculating the royalty owed under Section 6.3.1 for the remainder of the Royalty Term.</w:t>
      </w:r>
    </w:p>
    <w:p>
      <w:pPr>
        <w:spacing w:after="0" w:line="147" w:lineRule="exact"/>
        <w:rPr>
          <w:sz w:val="20"/>
          <w:szCs w:val="20"/>
          <w:color w:val="auto"/>
        </w:rPr>
      </w:pPr>
    </w:p>
    <w:p>
      <w:pPr>
        <w:jc w:val="both"/>
        <w:ind w:firstLine="1296"/>
        <w:spacing w:after="0" w:line="228" w:lineRule="auto"/>
        <w:rPr>
          <w:sz w:val="20"/>
          <w:szCs w:val="20"/>
          <w:color w:val="auto"/>
        </w:rPr>
      </w:pPr>
      <w:r>
        <w:rPr>
          <w:rFonts w:ascii="Times New Roman" w:cs="Times New Roman" w:eastAsia="Times New Roman" w:hAnsi="Times New Roman"/>
          <w:sz w:val="21"/>
          <w:szCs w:val="21"/>
          <w:color w:val="auto"/>
        </w:rPr>
        <w:t xml:space="preserve">6.3.4 </w:t>
      </w:r>
      <w:r>
        <w:rPr>
          <w:rFonts w:ascii="Times New Roman" w:cs="Times New Roman" w:eastAsia="Times New Roman" w:hAnsi="Times New Roman"/>
          <w:sz w:val="21"/>
          <w:szCs w:val="21"/>
          <w:b w:val="1"/>
          <w:bCs w:val="1"/>
          <w:color w:val="auto"/>
        </w:rPr>
        <w:t>Reduction for Competition</w:t>
      </w:r>
      <w:r>
        <w:rPr>
          <w:rFonts w:ascii="Times New Roman" w:cs="Times New Roman" w:eastAsia="Times New Roman" w:hAnsi="Times New Roman"/>
          <w:sz w:val="21"/>
          <w:szCs w:val="21"/>
          <w:color w:val="auto"/>
        </w:rPr>
        <w:t>. Subject to Section 6.3.6, if during any [***] during the Royalty Term for a Product in a given country, (a) a Competitive Product with respect to such Product is sold during such [***] in such country and</w:t>
      </w:r>
    </w:p>
    <w:p>
      <w:pPr>
        <w:spacing w:after="0" w:line="1" w:lineRule="exact"/>
        <w:rPr>
          <w:sz w:val="20"/>
          <w:szCs w:val="20"/>
          <w:color w:val="auto"/>
        </w:rPr>
      </w:pPr>
    </w:p>
    <w:p>
      <w:pPr>
        <w:jc w:val="both"/>
        <w:ind w:firstLine="8"/>
        <w:spacing w:after="0" w:line="209" w:lineRule="auto"/>
        <w:tabs>
          <w:tab w:leader="none" w:pos="328"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Net Sales for such Product in such country is less than [***]% of the average Net Sales for such Product in such country during the [***] consecutive [***] immediately preceding the [***] during which any such Competitive Product is first sold in such country, then Net Sales of such Product in such country (after any applicable reduction pursuant to Section 6.3.3) will be reduced by [***]% for purposes of calculating the royalty owed under Section 6.3.1 for the remainder of the Royalty Term;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the royalty reduction in this Section 6.3.4 will no longer apply in any country, or in any [***] in a country,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where there are no Competitive Products for such Product marketed or sold in such country and the Net Sales of such Product sold by Vertex or its Affiliates or Sublicensees in such country during such [***] is greater than [***]% of the average Net Sales of such Product during the [***] consecutive [***] immediately prior to the [***] during which any such Competitive Product is first sold in such country.</w:t>
      </w:r>
    </w:p>
    <w:p>
      <w:pPr>
        <w:spacing w:after="0" w:line="149"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1"/>
          <w:szCs w:val="21"/>
          <w:color w:val="auto"/>
        </w:rPr>
        <w:t xml:space="preserve">6.3.5 </w:t>
      </w:r>
      <w:r>
        <w:rPr>
          <w:rFonts w:ascii="Times New Roman" w:cs="Times New Roman" w:eastAsia="Times New Roman" w:hAnsi="Times New Roman"/>
          <w:sz w:val="21"/>
          <w:szCs w:val="21"/>
          <w:b w:val="1"/>
          <w:bCs w:val="1"/>
          <w:color w:val="auto"/>
        </w:rPr>
        <w:t>Third Party Licenses</w:t>
      </w:r>
      <w:r>
        <w:rPr>
          <w:rFonts w:ascii="Times New Roman" w:cs="Times New Roman" w:eastAsia="Times New Roman" w:hAnsi="Times New Roman"/>
          <w:sz w:val="21"/>
          <w:szCs w:val="21"/>
          <w:color w:val="auto"/>
        </w:rPr>
        <w:t>. Subject to Section 6.3.6, following the JRC’s (or the Parties’ if the JRC has disbanded) discussion of Vertex’s intent to enter into an agreement to license or acquire rights to Selected Third Party Intellectual Property, and if Vertex enters into such agreement, Vertex may deduct from the royalties payable to Company under this Section 6.3 [***]% of any Selected Third Party Intellectual Property Costs paid by Vertex, its Affiliates or Sublicensees.</w:t>
      </w:r>
    </w:p>
    <w:p>
      <w:pPr>
        <w:spacing w:after="0" w:line="146" w:lineRule="exact"/>
        <w:rPr>
          <w:sz w:val="20"/>
          <w:szCs w:val="20"/>
          <w:color w:val="auto"/>
        </w:rPr>
      </w:pPr>
    </w:p>
    <w:p>
      <w:pPr>
        <w:jc w:val="both"/>
        <w:ind w:right="20" w:firstLine="1296"/>
        <w:spacing w:after="0" w:line="238" w:lineRule="auto"/>
        <w:rPr>
          <w:sz w:val="20"/>
          <w:szCs w:val="20"/>
          <w:color w:val="auto"/>
        </w:rPr>
      </w:pPr>
      <w:r>
        <w:rPr>
          <w:rFonts w:ascii="Times New Roman" w:cs="Times New Roman" w:eastAsia="Times New Roman" w:hAnsi="Times New Roman"/>
          <w:sz w:val="22"/>
          <w:szCs w:val="22"/>
          <w:color w:val="auto"/>
        </w:rPr>
        <w:t xml:space="preserve">6.3.6 </w:t>
      </w:r>
      <w:r>
        <w:rPr>
          <w:rFonts w:ascii="Times New Roman" w:cs="Times New Roman" w:eastAsia="Times New Roman" w:hAnsi="Times New Roman"/>
          <w:sz w:val="22"/>
          <w:szCs w:val="22"/>
          <w:b w:val="1"/>
          <w:bCs w:val="1"/>
          <w:color w:val="auto"/>
        </w:rPr>
        <w:t>Aggregate Limitation on Deduction</w:t>
      </w:r>
      <w:r>
        <w:rPr>
          <w:rFonts w:ascii="Times New Roman" w:cs="Times New Roman" w:eastAsia="Times New Roman" w:hAnsi="Times New Roman"/>
          <w:sz w:val="22"/>
          <w:szCs w:val="22"/>
          <w:color w:val="auto"/>
        </w:rPr>
        <w:t>. Notwithstanding the foregoing, in no event will the deductions set forth in Section 6.3.3 through Section 6.3.5 reduce the royalties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91" w:right="339" w:bottom="1440" w:gutter="0" w:footer="0" w:header="0"/>
        </w:sectPr>
      </w:pPr>
    </w:p>
    <w:bookmarkStart w:id="354" w:name="page355"/>
    <w:bookmarkEnd w:id="354"/>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payable to Company with respect to a particular [***] in a given country to less than [***]% of the royalties that would otherwise be due pursuant to Section 6.3.1;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w:t>
      </w:r>
    </w:p>
    <w:p>
      <w:pPr>
        <w:spacing w:after="0" w:line="146"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6.3.7 </w:t>
      </w:r>
      <w:r>
        <w:rPr>
          <w:rFonts w:ascii="Times New Roman" w:cs="Times New Roman" w:eastAsia="Times New Roman" w:hAnsi="Times New Roman"/>
          <w:sz w:val="22"/>
          <w:szCs w:val="22"/>
          <w:b w:val="1"/>
          <w:bCs w:val="1"/>
          <w:color w:val="auto"/>
        </w:rPr>
        <w:t>Royalty Reports</w:t>
      </w:r>
      <w:r>
        <w:rPr>
          <w:rFonts w:ascii="Times New Roman" w:cs="Times New Roman" w:eastAsia="Times New Roman" w:hAnsi="Times New Roman"/>
          <w:sz w:val="22"/>
          <w:szCs w:val="22"/>
          <w:color w:val="auto"/>
        </w:rPr>
        <w:t xml:space="preserve">. Following the first sale of a Product giving rise to Net Sales and continuing for the remainder of the Royalty Term for such Product, within [***] after the end of each [***], Vertex will deliver a report to Company specifying on a Product-by-Product and country-by-country basis: (a) Net Sales in the relevant [***]; (b) to the extent such Net Sales include sales not denoted in US Dollars, a summary of the then-current exchange rate methodology(ies) used for the calculation of Net Sales in accordance with Section 6.5.2, and (c) royalties payable on such Net Sales,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Vertex will provide a good faith written estimate of such report under this Section 6.3.7 to Company within [***] after the end of each [***]. Unless this Agreement has been assigned to OSIF, then the royalty report submitted by Vertex under Section 5.4.7 of the Collaboration Agreement will satisfy Vertex’s obligations under both this Section 6.3.7 and Section 5.4.7 of the Collaboration Agreement. All royalty payments due under this Section 6.3 for each [***] will be due and payable within [***] after the end of each [***].</w:t>
      </w:r>
    </w:p>
    <w:p>
      <w:pPr>
        <w:spacing w:after="0" w:line="152"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6.4 </w:t>
      </w:r>
      <w:r>
        <w:rPr>
          <w:rFonts w:ascii="Times New Roman" w:cs="Times New Roman" w:eastAsia="Times New Roman" w:hAnsi="Times New Roman"/>
          <w:sz w:val="22"/>
          <w:szCs w:val="22"/>
          <w:b w:val="1"/>
          <w:bCs w:val="1"/>
          <w:u w:val="single" w:color="auto"/>
          <w:color w:val="auto"/>
        </w:rPr>
        <w:t>OSIF Agreement</w:t>
      </w:r>
      <w:r>
        <w:rPr>
          <w:rFonts w:ascii="Times New Roman" w:cs="Times New Roman" w:eastAsia="Times New Roman" w:hAnsi="Times New Roman"/>
          <w:sz w:val="22"/>
          <w:szCs w:val="22"/>
          <w:color w:val="auto"/>
        </w:rPr>
        <w:t>. Vertex acknowledges that the OSIF Technology has been in-licensed by Company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OSIF Agreement. All licenses and other rights granted to Vertex under this Agreement (including any sublicense rights) are subject to the rights and obligations of Company under the OSIF Agreement. Vertex acknowledges and agrees that it will comply with all the obligations under the OSIF Agreement to the extent applicable to Vertex as a sublicensee thereunder;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 Subject to Section 7.1.1, any payment obligations arising under the OSIF Agreement as a result of the Research, Development, Manufacture and Commercialization of a Product by or on behalf of Vertex under this Agreement will be paid solely by Company unless such payment obligations are resulted from the breach of the OSIF Agreement by Vertex.</w:t>
      </w:r>
    </w:p>
    <w:p>
      <w:pPr>
        <w:spacing w:after="0" w:line="14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6.5</w:t>
      </w:r>
      <w:r>
        <w:rPr>
          <w:sz w:val="20"/>
          <w:szCs w:val="20"/>
          <w:color w:val="auto"/>
        </w:rPr>
        <w:tab/>
      </w:r>
      <w:r>
        <w:rPr>
          <w:rFonts w:ascii="Times New Roman" w:cs="Times New Roman" w:eastAsia="Times New Roman" w:hAnsi="Times New Roman"/>
          <w:sz w:val="21"/>
          <w:szCs w:val="21"/>
          <w:b w:val="1"/>
          <w:bCs w:val="1"/>
          <w:u w:val="single" w:color="auto"/>
          <w:color w:val="auto"/>
        </w:rPr>
        <w:t>Payment Terms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color w:val="auto"/>
        </w:rPr>
        <w:t xml:space="preserve">6.5.1 </w:t>
      </w:r>
      <w:r>
        <w:rPr>
          <w:rFonts w:ascii="Times New Roman" w:cs="Times New Roman" w:eastAsia="Times New Roman" w:hAnsi="Times New Roman"/>
          <w:sz w:val="22"/>
          <w:szCs w:val="22"/>
          <w:b w:val="1"/>
          <w:bCs w:val="1"/>
          <w:color w:val="auto"/>
        </w:rPr>
        <w:t>Currency; Payment Method</w:t>
      </w:r>
      <w:r>
        <w:rPr>
          <w:rFonts w:ascii="Times New Roman" w:cs="Times New Roman" w:eastAsia="Times New Roman" w:hAnsi="Times New Roman"/>
          <w:sz w:val="22"/>
          <w:szCs w:val="22"/>
          <w:color w:val="auto"/>
        </w:rPr>
        <w:t>. All payments under this Agreement are expressed in U.S. Dollars and will be paid in U.S. Dollars, in immediately available funds by wire transfer or Automated Clearing House (ACH) payment to an account designated by Company (which account Company may update from time to time in writing).</w:t>
      </w:r>
    </w:p>
    <w:p>
      <w:pPr>
        <w:spacing w:after="0" w:line="146"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auto"/>
        </w:rPr>
        <w:t xml:space="preserve">6.5.2 </w:t>
      </w:r>
      <w:r>
        <w:rPr>
          <w:rFonts w:ascii="Times New Roman" w:cs="Times New Roman" w:eastAsia="Times New Roman" w:hAnsi="Times New Roman"/>
          <w:sz w:val="21"/>
          <w:szCs w:val="21"/>
          <w:b w:val="1"/>
          <w:bCs w:val="1"/>
          <w:color w:val="auto"/>
        </w:rPr>
        <w:t>Exchange; Interest</w:t>
      </w:r>
      <w:r>
        <w:rPr>
          <w:rFonts w:ascii="Times New Roman" w:cs="Times New Roman" w:eastAsia="Times New Roman" w:hAnsi="Times New Roman"/>
          <w:sz w:val="21"/>
          <w:szCs w:val="21"/>
          <w:color w:val="auto"/>
        </w:rPr>
        <w:t>. If any amounts that are relevant to the determination of amounts to be paid under this Agreement or any calculations to be performed under this Agreement are denoted in a currency other than U.S. Dollars, such amounts will be converted to their U.S. Dollar equivalent using Vertex’s then-current standard procedures and methodology, including its then-current standard exchange rate methodology for the translation of foreign currency expenses into U.S. Dollars or, in the case of Sublicensees, such similar methodology, consistently applied. Calculation of Net Sales will exclude hedging and foreign exchange gain or loss realized through a hedging program. Interest will be payable by Vertex on any amounts payable to Company under this Agreement which are not paid by the date they become due. All interest will accrue (both before and after any judgment) at an annual rate equal to [***] percentage points above the United States effective Federal Funds Rate, on the date such payment first became due (but in no event in excess of the maximum rate permissible by Applicable Law).</w:t>
      </w:r>
    </w:p>
    <w:p>
      <w:pPr>
        <w:spacing w:after="0" w:line="150"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6.6 </w:t>
      </w:r>
      <w:r>
        <w:rPr>
          <w:rFonts w:ascii="Times New Roman" w:cs="Times New Roman" w:eastAsia="Times New Roman" w:hAnsi="Times New Roman"/>
          <w:sz w:val="22"/>
          <w:szCs w:val="22"/>
          <w:b w:val="1"/>
          <w:bCs w:val="1"/>
          <w:u w:val="single" w:color="auto"/>
          <w:color w:val="auto"/>
        </w:rPr>
        <w:t>Withholding Tax</w:t>
      </w:r>
      <w:r>
        <w:rPr>
          <w:rFonts w:ascii="Times New Roman" w:cs="Times New Roman" w:eastAsia="Times New Roman" w:hAnsi="Times New Roman"/>
          <w:sz w:val="22"/>
          <w:szCs w:val="22"/>
          <w:color w:val="auto"/>
        </w:rPr>
        <w:t>. Where any sum due to be paid to Company hereunder is subject to any withholding or similar tax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required by Applicable Law, Vertex will pay such withholding or similar tax to the appropriate Governmental Authority and deduct the amount paid from the amount then due to Company. Vertex will in a timely manner transmit to Company an official tax certificate or other evidence of such withholding sufficient to enable Company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395" w:right="339" w:bottom="1440" w:gutter="0" w:footer="0" w:header="0"/>
        </w:sectPr>
      </w:pPr>
    </w:p>
    <w:bookmarkStart w:id="355" w:name="page356"/>
    <w:bookmarkEnd w:id="355"/>
    <w:p>
      <w:pPr>
        <w:jc w:val="both"/>
        <w:spacing w:after="0" w:line="209" w:lineRule="auto"/>
        <w:rPr>
          <w:sz w:val="20"/>
          <w:szCs w:val="20"/>
          <w:color w:val="auto"/>
        </w:rPr>
      </w:pPr>
      <w:r>
        <w:rPr>
          <w:rFonts w:ascii="Times New Roman" w:cs="Times New Roman" w:eastAsia="Times New Roman" w:hAnsi="Times New Roman"/>
          <w:sz w:val="22"/>
          <w:szCs w:val="22"/>
          <w:color w:val="auto"/>
        </w:rPr>
        <w:t>claim such payment of taxes. The Parties will cooperate with one another and use reasonable efforts to reduce or eliminate tax withholding or similar obligations in respect of royalties, milestone payments, and other payments made by Vertex to Company under this Agreement. Company will provide Vertex any tax forms that may be reasonably necessary in order for Vertex not to withhold tax or to withhold tax at a reduced rate under an applicable bilateral income tax treaty. Each Party will provide the other with reasonable assistance to enable the recovery, as permitted by Applicable Laws, of withholding taxes, value added taxes, or similar obligations resulting from payments made under this Agreement, such recovery to be for the benefit of the Party bearing such withholding tax or value added tax. Notwithstanding anything in this Agreement to the contrary, if any assignment, or sublicense or a similar transfer of rights or obligations under this Agreement (including through merger or acquisition) by Vertex leads to the imposition of withholding tax liability on any amounts payable under this Agreement that would not have been imposed in the absence of such action or in an increase in such liability above the liability that would have been imposed in the absence of such action, then the sum payable by Vertex (in respect of which such deduction or withholding is required to be made) will be increased to the extent necessary to ensure that Company receives a sum equal to the sum which it would have received had no such action occurred.</w:t>
      </w:r>
    </w:p>
    <w:p>
      <w:pPr>
        <w:spacing w:after="0" w:line="156"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1"/>
          <w:szCs w:val="21"/>
          <w:b w:val="1"/>
          <w:bCs w:val="1"/>
          <w:color w:val="auto"/>
        </w:rPr>
        <w:t xml:space="preserve">6.7 </w:t>
      </w:r>
      <w:r>
        <w:rPr>
          <w:rFonts w:ascii="Times New Roman" w:cs="Times New Roman" w:eastAsia="Times New Roman" w:hAnsi="Times New Roman"/>
          <w:sz w:val="21"/>
          <w:szCs w:val="21"/>
          <w:b w:val="1"/>
          <w:bCs w:val="1"/>
          <w:u w:val="single" w:color="auto"/>
          <w:color w:val="auto"/>
        </w:rPr>
        <w:t>Records; Audits</w:t>
      </w:r>
      <w:r>
        <w:rPr>
          <w:rFonts w:ascii="Times New Roman" w:cs="Times New Roman" w:eastAsia="Times New Roman" w:hAnsi="Times New Roman"/>
          <w:sz w:val="21"/>
          <w:szCs w:val="21"/>
          <w:color w:val="auto"/>
        </w:rPr>
        <w:t>. Vertex and its Affiliates will, and will cause their respective Sublicensees to keep and maintain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accurate and complete records regarding Net Sales during the [***]. Upon [***] prior written notice from Company, Vertex will permit an independent certified public accounting firm of internationally recognized standing, selected by Company and reasonably acceptable to Vertex, to examine the relevant books and records of Vertex and its Affiliates and Sublicensees, as may be reasonably necessary to verify the royalty reports submitted by Vertex in accordance with Section 6.3.7. An examination by Company under this Section 6.7 will occur not more than [***] and will be limited to the pertinent books and records for any</w:t>
      </w:r>
    </w:p>
    <w:p>
      <w:pPr>
        <w:spacing w:after="0" w:line="2" w:lineRule="exact"/>
        <w:rPr>
          <w:sz w:val="20"/>
          <w:szCs w:val="20"/>
          <w:color w:val="auto"/>
        </w:rPr>
      </w:pPr>
    </w:p>
    <w:p>
      <w:pPr>
        <w:jc w:val="both"/>
        <w:ind w:firstLine="8"/>
        <w:spacing w:after="0" w:line="208" w:lineRule="auto"/>
        <w:tabs>
          <w:tab w:leader="none" w:pos="526"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ending not more than [***] before the date of the request;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Company may not exercise its audit right pursuant to this Section 6.7 in any [***] in which an audit has been conducted pursuant to Section 5.10 of the Collaboration Agreement. The accounting firm will be provided access to such books and records at Vertex’s facility or facilities where such books and records are normally kept and such examination will be conducted during Vertex’s normal business hours. Vertex may require the accounting firm to sign a customary non-disclosure agreement before providing the accounting firm access to its facilities or records. Upon completion of the audit, the accounting firm will provide both Parties a written report disclosing whether the reports submitted by Vertex are correct or incorrect and the specific details concerning any discrepancies. No other information will be provided to Company. If the report or information submitted by Vertex resulted in an underpayment or overpayment, the Party owing the underpaid or overpaid amount will promptly pay such amount to the other Party. The costs and fees of any audit conducted by Company under this Section 6.7 will be borne by Company, unless such audit reveals an underpayment of amounts owed to or an overpayment of amounts owed by Company of more than [***] percent of the amount that was owed by Vertex or owed to Vertex, as applicable, with respect to the relevant period, in which case, Vertex will reimburse Company for the reasonable expense incurred by Company in connection with the audit.</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6.8 </w:t>
      </w:r>
      <w:r>
        <w:rPr>
          <w:rFonts w:ascii="Times New Roman" w:cs="Times New Roman" w:eastAsia="Times New Roman" w:hAnsi="Times New Roman"/>
          <w:sz w:val="22"/>
          <w:szCs w:val="22"/>
          <w:b w:val="1"/>
          <w:bCs w:val="1"/>
          <w:u w:val="single" w:color="auto"/>
          <w:color w:val="auto"/>
        </w:rPr>
        <w:t>Payments under Agreement</w:t>
      </w:r>
      <w:r>
        <w:rPr>
          <w:rFonts w:ascii="Times New Roman" w:cs="Times New Roman" w:eastAsia="Times New Roman" w:hAnsi="Times New Roman"/>
          <w:sz w:val="22"/>
          <w:szCs w:val="22"/>
          <w:color w:val="auto"/>
        </w:rPr>
        <w:t>. Company acknowledges that Vertex has not participated in Company’s determination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portion of payments made under the Collaboration Agreement that are attributable to the OSIF Technology and Vertex takes no position on Company’s determination of the portion of the payments set forth or described in Article 5 of the Collaboration Agreement that is attributable to the OSIF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395" w:right="339" w:bottom="1440" w:gutter="0" w:footer="0" w:header="0"/>
        </w:sectPr>
      </w:pPr>
    </w:p>
    <w:bookmarkStart w:id="356" w:name="page357"/>
    <w:bookmarkEnd w:id="356"/>
    <w:p>
      <w:pPr>
        <w:jc w:val="center"/>
        <w:spacing w:after="0"/>
        <w:rPr>
          <w:sz w:val="20"/>
          <w:szCs w:val="20"/>
          <w:color w:val="auto"/>
        </w:rPr>
      </w:pPr>
      <w:r>
        <w:rPr>
          <w:rFonts w:ascii="Times New Roman" w:cs="Times New Roman" w:eastAsia="Times New Roman" w:hAnsi="Times New Roman"/>
          <w:sz w:val="22"/>
          <w:szCs w:val="22"/>
          <w:b w:val="1"/>
          <w:bCs w:val="1"/>
          <w:color w:val="auto"/>
        </w:rPr>
        <w:t>ARTICLE 7</w:t>
      </w:r>
    </w:p>
    <w:p>
      <w:pPr>
        <w:jc w:val="center"/>
        <w:spacing w:after="0"/>
        <w:rPr>
          <w:sz w:val="20"/>
          <w:szCs w:val="20"/>
          <w:color w:val="auto"/>
        </w:rPr>
      </w:pPr>
      <w:r>
        <w:rPr>
          <w:rFonts w:ascii="Times New Roman" w:cs="Times New Roman" w:eastAsia="Times New Roman" w:hAnsi="Times New Roman"/>
          <w:sz w:val="22"/>
          <w:szCs w:val="22"/>
          <w:b w:val="1"/>
          <w:bCs w:val="1"/>
          <w:color w:val="auto"/>
        </w:rPr>
        <w:t>INTELLECTUAL PROPERTY</w:t>
      </w:r>
    </w:p>
    <w:p>
      <w:pPr>
        <w:spacing w:after="0" w:line="151"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7.1</w:t>
      </w:r>
      <w:r>
        <w:rPr>
          <w:sz w:val="20"/>
          <w:szCs w:val="20"/>
          <w:color w:val="auto"/>
        </w:rPr>
        <w:tab/>
      </w:r>
      <w:r>
        <w:rPr>
          <w:rFonts w:ascii="Times New Roman" w:cs="Times New Roman" w:eastAsia="Times New Roman" w:hAnsi="Times New Roman"/>
          <w:sz w:val="21"/>
          <w:szCs w:val="21"/>
          <w:b w:val="1"/>
          <w:bCs w:val="1"/>
          <w:u w:val="single" w:color="auto"/>
          <w:color w:val="auto"/>
        </w:rPr>
        <w:t>Prosecution and Maintenance of Patents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7.1.1 </w:t>
      </w:r>
      <w:r>
        <w:rPr>
          <w:rFonts w:ascii="Times New Roman" w:cs="Times New Roman" w:eastAsia="Times New Roman" w:hAnsi="Times New Roman"/>
          <w:sz w:val="22"/>
          <w:szCs w:val="22"/>
          <w:b w:val="1"/>
          <w:bCs w:val="1"/>
          <w:color w:val="auto"/>
        </w:rPr>
        <w:t>OSIF Prosecution Right</w:t>
      </w:r>
      <w:r>
        <w:rPr>
          <w:rFonts w:ascii="Times New Roman" w:cs="Times New Roman" w:eastAsia="Times New Roman" w:hAnsi="Times New Roman"/>
          <w:sz w:val="22"/>
          <w:szCs w:val="22"/>
          <w:color w:val="auto"/>
        </w:rPr>
        <w:t>. The Parties acknowledge and agree that, pursuant to the OSIF Agreement, OSIF has the initial right to control Prosecution and Maintenance of the OSIF Patents using counsel of its choosing. For so long as OSIF controls such Prosecution and Maintenance, [***] agrees to keep [***] reasonably informed with respect thereto and consult in good faith with [***] regarding such matters. Company will not cease paying costs for any OSIF Patent in a Major Market Country pursuant to Section 6.4 of the OSIF Agreement without the prior written consent of Vertex, not to be unreasonably withheld, conditioned, or delayed. With respect to OSIF Patents in countries other than Major Market Countries, if Company intends to cease paying costs for any such OSIF Patent pursuant to Section 6.4 of the OSIF Agreement, then Company will notify Vertex of such intention and give Vertex at least [***] to elect, upon written notice to Company, to pay for such costs. If Vertex does not make such election during such period, Company will be free to notify OSIF that it intends to cease paying for the applicable costs.</w:t>
      </w:r>
    </w:p>
    <w:p>
      <w:pPr>
        <w:spacing w:after="0" w:line="152"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7.1.2 </w:t>
      </w:r>
      <w:r>
        <w:rPr>
          <w:rFonts w:ascii="Times New Roman" w:cs="Times New Roman" w:eastAsia="Times New Roman" w:hAnsi="Times New Roman"/>
          <w:sz w:val="22"/>
          <w:szCs w:val="22"/>
          <w:b w:val="1"/>
          <w:bCs w:val="1"/>
          <w:color w:val="auto"/>
        </w:rPr>
        <w:t>OSIF Platform Patents</w:t>
      </w:r>
      <w:r>
        <w:rPr>
          <w:rFonts w:ascii="Times New Roman" w:cs="Times New Roman" w:eastAsia="Times New Roman" w:hAnsi="Times New Roman"/>
          <w:sz w:val="22"/>
          <w:szCs w:val="22"/>
          <w:color w:val="auto"/>
        </w:rPr>
        <w:t>. This Section 7.1.2 applies only to OSIF Platform Patents as to which OSIF has notified Company that OSIF has decided not to Prosecute or Maintain pursuant to Section 6.2 of the OSIF Agreement. As between the Parties, [***] will have the first right (but not the obligation) to Prosecute and Maintain such OSIF Platform Patents at [***]’s own expense using patent counsel that is reasonably acceptable to [***]. [***] agrees to keep [***] reasonably informed with respect to the Prosecution and Maintenance of such OSIF Platform Patents and consult in good faith with [***] regarding such matters. If [***] intends to abandon any such OSIF Platform Patent that [***] is responsible for Prosecuting and Maintaining in a particular country, then [***] will notify [***] of such intention at least [***] before such Patent will become abandoned. Following such notice, [***] may elect, upon written notice to [***], to control the Prosecution and Maintenance thereof at its own expense with counsel of its own choice. Upon such election, [***] will cooperate and assist in transitioning the Prosecution and Maintenance of such Patent to [***].</w:t>
      </w:r>
    </w:p>
    <w:p>
      <w:pPr>
        <w:spacing w:after="0" w:line="152"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1"/>
          <w:szCs w:val="21"/>
          <w:color w:val="auto"/>
        </w:rPr>
        <w:t xml:space="preserve">7.1.3 </w:t>
      </w:r>
      <w:r>
        <w:rPr>
          <w:rFonts w:ascii="Times New Roman" w:cs="Times New Roman" w:eastAsia="Times New Roman" w:hAnsi="Times New Roman"/>
          <w:sz w:val="21"/>
          <w:szCs w:val="21"/>
          <w:b w:val="1"/>
          <w:bCs w:val="1"/>
          <w:color w:val="auto"/>
        </w:rPr>
        <w:t>OSIF Product-Specific Patents</w:t>
      </w:r>
      <w:r>
        <w:rPr>
          <w:rFonts w:ascii="Times New Roman" w:cs="Times New Roman" w:eastAsia="Times New Roman" w:hAnsi="Times New Roman"/>
          <w:sz w:val="21"/>
          <w:szCs w:val="21"/>
          <w:color w:val="auto"/>
        </w:rPr>
        <w:t>. This Section 7.1.3 applies only to OSIF Product-Specific Patents as to which OSIF has notified Company that OSIF has decided not to Prosecute or Maintain pursuant to Section 6.2 of the OSIF Agreement. As between the Parties, [***] will have the first right (but not the obligation) to Prosecute and Maintain such OSIF Product-Specific Patents at [***]’s own expense. [***] agrees to keep [***] reasonably informed with respect to the Prosecution and Maintenance of OSIF Product-Specific Patents (including providing copies of any office actions or office action responses or other correspondence that [***] provides to or receives from any patent office, including notice of all interferences, reissues, re-examinations, or oppositions, and all patent-related filings of such OSIF Product-Specific Patents), to consult in good faith with</w:t>
      </w:r>
    </w:p>
    <w:p>
      <w:pPr>
        <w:spacing w:after="0" w:line="5" w:lineRule="exact"/>
        <w:rPr>
          <w:sz w:val="20"/>
          <w:szCs w:val="20"/>
          <w:color w:val="auto"/>
        </w:rPr>
      </w:pPr>
    </w:p>
    <w:p>
      <w:pPr>
        <w:jc w:val="both"/>
        <w:ind w:firstLine="8"/>
        <w:spacing w:after="0" w:line="211" w:lineRule="auto"/>
        <w:tabs>
          <w:tab w:leader="none" w:pos="548"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regarding such matters, and to [***] with respect to such matters. If [***] intends to abandon any such OSIF Product-Specific Patent that [***] is responsible for Prosecuting and Maintaining in a particular country, then [***] will notify [***] of such intention at least [***] before such Patent will become abandoned. Following such notice, [***] may elect, upon written notice to [***], to control the Prosecution and Maintenance thereof at its own expense with counsel of its own choice. Upon such election, [***] will cooperate and assist in transitioning the Prosecution and Maintenance of such OSIF Product-Specific Patent to [***].</w:t>
      </w:r>
    </w:p>
    <w:p>
      <w:pPr>
        <w:spacing w:after="0" w:line="150" w:lineRule="exact"/>
        <w:rPr>
          <w:sz w:val="20"/>
          <w:szCs w:val="20"/>
          <w:color w:val="auto"/>
        </w:rPr>
      </w:pPr>
    </w:p>
    <w:p>
      <w:pPr>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7.1.4 </w:t>
      </w:r>
      <w:r>
        <w:rPr>
          <w:rFonts w:ascii="Times New Roman" w:cs="Times New Roman" w:eastAsia="Times New Roman" w:hAnsi="Times New Roman"/>
          <w:sz w:val="21"/>
          <w:szCs w:val="21"/>
          <w:b w:val="1"/>
          <w:bCs w:val="1"/>
          <w:color w:val="auto"/>
        </w:rPr>
        <w:t>Prosecution Strategy</w:t>
      </w:r>
      <w:r>
        <w:rPr>
          <w:rFonts w:ascii="Times New Roman" w:cs="Times New Roman" w:eastAsia="Times New Roman" w:hAnsi="Times New Roman"/>
          <w:sz w:val="21"/>
          <w:szCs w:val="21"/>
          <w:color w:val="auto"/>
        </w:rPr>
        <w:t>. Promptly following the Effective Date and subject to any rights of OSIF under the OSIF Agreement, the Parties will aim to agree on, and will thereafter comply with, a Patent filing strategy that allows for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382" w:right="339" w:bottom="1440" w:gutter="0" w:footer="0" w:header="0"/>
        </w:sectPr>
      </w:pPr>
    </w:p>
    <w:bookmarkStart w:id="357" w:name="page358"/>
    <w:bookmarkEnd w:id="357"/>
    <w:p>
      <w:pPr>
        <w:jc w:val="both"/>
        <w:ind w:firstLine="1296"/>
        <w:spacing w:after="0" w:line="214" w:lineRule="auto"/>
        <w:rPr>
          <w:sz w:val="20"/>
          <w:szCs w:val="20"/>
          <w:color w:val="auto"/>
        </w:rPr>
      </w:pPr>
      <w:r>
        <w:rPr>
          <w:rFonts w:ascii="Times New Roman" w:cs="Times New Roman" w:eastAsia="Times New Roman" w:hAnsi="Times New Roman"/>
          <w:sz w:val="22"/>
          <w:szCs w:val="22"/>
          <w:color w:val="auto"/>
        </w:rPr>
        <w:t xml:space="preserve">7.1.5 </w:t>
      </w:r>
      <w:r>
        <w:rPr>
          <w:rFonts w:ascii="Times New Roman" w:cs="Times New Roman" w:eastAsia="Times New Roman" w:hAnsi="Times New Roman"/>
          <w:sz w:val="22"/>
          <w:szCs w:val="22"/>
          <w:b w:val="1"/>
          <w:bCs w:val="1"/>
          <w:color w:val="auto"/>
        </w:rPr>
        <w:t>IP Committee</w:t>
      </w:r>
      <w:r>
        <w:rPr>
          <w:rFonts w:ascii="Times New Roman" w:cs="Times New Roman" w:eastAsia="Times New Roman" w:hAnsi="Times New Roman"/>
          <w:sz w:val="22"/>
          <w:szCs w:val="22"/>
          <w:color w:val="auto"/>
        </w:rPr>
        <w:t>. During the Term, each Party will keep the other Party informed through the IP Committee (or to the other Party, if the IP Committee is disbanded) as to material developments with respect to the Prosecution and Maintenance of OSIF Patents for which such Party has responsibility for Prosecution and Maintenance pursuant to this Section 7.1, including by providing copies of any office actions or office action responses or other correspondence that such Party provides to or receives from any patent office, including notice of all interferences, reissues, re-examinations, or oppositions, and all patent-related filings within [***] after such receiving or filing such documents, and by providing the other Party the timely opportunity to have reasonable input into the strategic aspects of such Prosecution and Maintenance.</w:t>
      </w:r>
    </w:p>
    <w:p>
      <w:pPr>
        <w:spacing w:after="0" w:line="14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b w:val="1"/>
          <w:bCs w:val="1"/>
          <w:color w:val="auto"/>
        </w:rPr>
        <w:t xml:space="preserve">7.2 </w:t>
      </w:r>
      <w:r>
        <w:rPr>
          <w:rFonts w:ascii="Times New Roman" w:cs="Times New Roman" w:eastAsia="Times New Roman" w:hAnsi="Times New Roman"/>
          <w:sz w:val="21"/>
          <w:szCs w:val="21"/>
          <w:b w:val="1"/>
          <w:bCs w:val="1"/>
          <w:u w:val="single" w:color="auto"/>
          <w:color w:val="auto"/>
        </w:rPr>
        <w:t>Defense of Claims Brought by Third Parties</w:t>
      </w:r>
      <w:r>
        <w:rPr>
          <w:rFonts w:ascii="Times New Roman" w:cs="Times New Roman" w:eastAsia="Times New Roman" w:hAnsi="Times New Roman"/>
          <w:sz w:val="21"/>
          <w:szCs w:val="21"/>
          <w:color w:val="auto"/>
        </w:rPr>
        <w:t>. If any Third Party brings a claim or otherwise asserts that a Product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Licensed Agent infringes such Third Party’s Patent or misappropriates such Third Party’s Know-How (each, a “</w:t>
      </w:r>
      <w:r>
        <w:rPr>
          <w:rFonts w:ascii="Times New Roman" w:cs="Times New Roman" w:eastAsia="Times New Roman" w:hAnsi="Times New Roman"/>
          <w:sz w:val="21"/>
          <w:szCs w:val="21"/>
          <w:b w:val="1"/>
          <w:bCs w:val="1"/>
          <w:color w:val="auto"/>
        </w:rPr>
        <w:t>Third-Party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Infringement Claim</w:t>
      </w:r>
      <w:r>
        <w:rPr>
          <w:rFonts w:ascii="Times New Roman" w:cs="Times New Roman" w:eastAsia="Times New Roman" w:hAnsi="Times New Roman"/>
          <w:sz w:val="21"/>
          <w:szCs w:val="21"/>
          <w:color w:val="auto"/>
        </w:rPr>
        <w:t>”), the Party first having notice of the claim or assertion will promptly notify the other Party in writing.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Subject to Section 9.1, [***] will have the sole right to undertake and control the defense or settlement of any Third-Party Infringement Claim using counsel of its choice, at its expense. Subject to Section 9.1, if [***] is named as a defendant in any such Third Party Infringement Claim, [***] will have the right to participate in such defense and settlement with its own counsel, at its expense. Subject to Section 9.1, [***] will not enter into any settlement of any Third-Party Infringement Claim that is instituted or threatened to be instituted against [***] without [***]’s prior written consent, which will not be unreasonably withheld, conditioned or delayed;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consent will not be required if [***]. As requested by [***], [***] will provide reasonable cooperation and assistance to [***] in connection with [***]’s control of the defense or settlement of a Third-Party Infringement Claim. Such cooperation and assistance will include executing all necessary and proper documents and taking such actions as will be appropriate to allow [***] to control the defense and settlement of such Third-Party Infringement Claim. Subject to Section 9.1, [***] will reimburse [***] for the reasonable FTE Costs and Out-of-Pocket Costs incurred by [***] in providing such assistance and cooperation;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 will have no obligation to reimburse [***] for any such FTE Costs and Out-of-Pocket Costs incurred if Company exercises its right to participate in the defense and settlement of a Third-Party Infringement Claim with its own counsel. [***]will keep [***] reasonably informed of the progress of any Third Party Infringement Claim. To the extent reasonable, both Parties will cooperate in good faith to [***].</w:t>
      </w:r>
    </w:p>
    <w:p>
      <w:pPr>
        <w:spacing w:after="0" w:line="15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7.3</w:t>
      </w:r>
      <w:r>
        <w:rPr>
          <w:sz w:val="20"/>
          <w:szCs w:val="20"/>
          <w:color w:val="auto"/>
        </w:rPr>
        <w:tab/>
      </w:r>
      <w:r>
        <w:rPr>
          <w:rFonts w:ascii="Times New Roman" w:cs="Times New Roman" w:eastAsia="Times New Roman" w:hAnsi="Times New Roman"/>
          <w:sz w:val="21"/>
          <w:szCs w:val="21"/>
          <w:b w:val="1"/>
          <w:bCs w:val="1"/>
          <w:u w:val="single" w:color="auto"/>
          <w:color w:val="auto"/>
        </w:rPr>
        <w:t>Enforcement of Patents Against Competitive Infringement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color w:val="auto"/>
        </w:rPr>
        <w:t xml:space="preserve">7.3.1 </w:t>
      </w:r>
      <w:r>
        <w:rPr>
          <w:rFonts w:ascii="Times New Roman" w:cs="Times New Roman" w:eastAsia="Times New Roman" w:hAnsi="Times New Roman"/>
          <w:sz w:val="22"/>
          <w:szCs w:val="22"/>
          <w:b w:val="1"/>
          <w:bCs w:val="1"/>
          <w:color w:val="auto"/>
        </w:rPr>
        <w:t>Duty to Notify of Competitive Infringement</w:t>
      </w:r>
      <w:r>
        <w:rPr>
          <w:rFonts w:ascii="Times New Roman" w:cs="Times New Roman" w:eastAsia="Times New Roman" w:hAnsi="Times New Roman"/>
          <w:sz w:val="22"/>
          <w:szCs w:val="22"/>
          <w:color w:val="auto"/>
        </w:rPr>
        <w:t>. If either Party learns of an infringement, unauthorized use, misappropriation, threatened infringement, or a request for a compulsory license by a Third Party with respect to any OSIF Technology by reason of the making, using, offering to sell, selling, importing or other exploitation of a compound or product in the [***] (a “</w:t>
      </w:r>
      <w:r>
        <w:rPr>
          <w:rFonts w:ascii="Times New Roman" w:cs="Times New Roman" w:eastAsia="Times New Roman" w:hAnsi="Times New Roman"/>
          <w:sz w:val="22"/>
          <w:szCs w:val="22"/>
          <w:b w:val="1"/>
          <w:bCs w:val="1"/>
          <w:color w:val="auto"/>
        </w:rPr>
        <w:t>Competitive Infringement</w:t>
      </w:r>
      <w:r>
        <w:rPr>
          <w:rFonts w:ascii="Times New Roman" w:cs="Times New Roman" w:eastAsia="Times New Roman" w:hAnsi="Times New Roman"/>
          <w:sz w:val="22"/>
          <w:szCs w:val="22"/>
          <w:color w:val="auto"/>
        </w:rPr>
        <w:t>”), such Party will promptly notify the other Party in writing and will provide such other Party with available information regarding such Competitive Infringement.</w:t>
      </w:r>
    </w:p>
    <w:p>
      <w:pPr>
        <w:spacing w:after="0" w:line="14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7.3.2</w:t>
      </w:r>
      <w:r>
        <w:rPr>
          <w:sz w:val="20"/>
          <w:szCs w:val="20"/>
          <w:color w:val="auto"/>
        </w:rPr>
        <w:tab/>
      </w:r>
      <w:r>
        <w:rPr>
          <w:rFonts w:ascii="Times New Roman" w:cs="Times New Roman" w:eastAsia="Times New Roman" w:hAnsi="Times New Roman"/>
          <w:sz w:val="21"/>
          <w:szCs w:val="21"/>
          <w:b w:val="1"/>
          <w:bCs w:val="1"/>
          <w:color w:val="auto"/>
        </w:rPr>
        <w:t>Enforcement</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left="1300" w:firstLine="652"/>
        <w:spacing w:after="0" w:line="215" w:lineRule="auto"/>
        <w:tabs>
          <w:tab w:leader="none" w:pos="2431"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will have the first right, but not the obligation, to institute, prosecute, and control a Proceeding under any OSIF Product-Specific Patent with respect to any Competitive Infringement by counsel of its own choice, at its own expense. If [***] fails to initiate such a Proceeding within [***] after written notice of such Competitive Infringement is first provided by a Party under Section 7.3.1, or [***] if such Proceeding is an ANDA litigation, other than with respect to a request for a compulsory license, [***] will have the right to initiate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391" w:right="339" w:bottom="1440" w:gutter="0" w:footer="0" w:header="0"/>
        </w:sectPr>
      </w:pPr>
    </w:p>
    <w:bookmarkStart w:id="358" w:name="page359"/>
    <w:bookmarkEnd w:id="358"/>
    <w:p>
      <w:pPr>
        <w:jc w:val="both"/>
        <w:ind w:left="1300"/>
        <w:spacing w:after="0" w:line="217" w:lineRule="auto"/>
        <w:rPr>
          <w:sz w:val="20"/>
          <w:szCs w:val="20"/>
          <w:color w:val="auto"/>
        </w:rPr>
      </w:pPr>
      <w:r>
        <w:rPr>
          <w:rFonts w:ascii="Times New Roman" w:cs="Times New Roman" w:eastAsia="Times New Roman" w:hAnsi="Times New Roman"/>
          <w:sz w:val="22"/>
          <w:szCs w:val="22"/>
          <w:color w:val="auto"/>
        </w:rPr>
        <w:t xml:space="preserve">control a Proceeding with respect to such Competitive Infringement by counsel of its own choice, at its own expense and [***] will have the right, at its own expense, to be represented in any such action by counsel of its own choice;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 notifies Company during such [***] period (or such [***] period for a Proceeding that is an ANDA litigation) that [***] will not have the right to initiate and control any Proceeding with respect to such Competitive Infringement (other than as provided in Section 6.4.2(b)).</w:t>
      </w:r>
    </w:p>
    <w:p>
      <w:pPr>
        <w:spacing w:after="0" w:line="152" w:lineRule="exact"/>
        <w:rPr>
          <w:sz w:val="20"/>
          <w:szCs w:val="20"/>
          <w:color w:val="auto"/>
        </w:rPr>
      </w:pPr>
    </w:p>
    <w:p>
      <w:pPr>
        <w:jc w:val="both"/>
        <w:ind w:left="1300" w:firstLine="652"/>
        <w:spacing w:after="0" w:line="211" w:lineRule="auto"/>
        <w:tabs>
          <w:tab w:leader="none" w:pos="244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will have the first right, but not the obligation, to institute, prosecute, and control a Proceeding under any OSIF Platform Patent with respect to any Competitive Infringement by counsel of its own choice, at its own expense. If [***] fails to initiate such a Proceeding within [***] after written notice of such Competitive Infringement is first provided by a Party under Section 7.3.1, or [***] if such Proceeding is an ANDA litigation, other than with respect to a request for a compulsory license, [***] will have the right to initiate and control a Proceeding with respect to such Competitive Infringement by counsel of its own choice, at its own expense;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if (i) [***] notifies Vertex during such [***] period (or such [***] period for a Proceeding that is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ANDA litigation) that [***] will not have the right to initiate, prosecute and control any Proceeding under the OSIF Platform Patents with respect to such Competitive Infringement.</w:t>
      </w:r>
    </w:p>
    <w:p>
      <w:pPr>
        <w:spacing w:after="0" w:line="158" w:lineRule="exact"/>
        <w:rPr>
          <w:rFonts w:ascii="Times New Roman" w:cs="Times New Roman" w:eastAsia="Times New Roman" w:hAnsi="Times New Roman"/>
          <w:sz w:val="22"/>
          <w:szCs w:val="22"/>
          <w:color w:val="auto"/>
        </w:rPr>
      </w:pPr>
    </w:p>
    <w:p>
      <w:pPr>
        <w:jc w:val="both"/>
        <w:ind w:left="1300" w:firstLine="652"/>
        <w:spacing w:after="0" w:line="217" w:lineRule="auto"/>
        <w:tabs>
          <w:tab w:leader="none" w:pos="2463"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Party prosecuting and controlling any such Proceeding will (i) keep the other Party reasonably apprised of the progress of such Proceeding, (ii) reasonably consider the other Party’s comments with respect to the conduct of such Proceeding and (iii) not enter into a settlement, consent judgment or other voluntary final disposition of a Proceeding that [***] without the other Party’s prior written consent, not to be unreasonably withheld, conditioned, or delayed;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t>
      </w:r>
    </w:p>
    <w:p>
      <w:pPr>
        <w:spacing w:after="0" w:line="152" w:lineRule="exact"/>
        <w:rPr>
          <w:rFonts w:ascii="Times New Roman" w:cs="Times New Roman" w:eastAsia="Times New Roman" w:hAnsi="Times New Roman"/>
          <w:sz w:val="22"/>
          <w:szCs w:val="22"/>
          <w:color w:val="auto"/>
        </w:rPr>
      </w:pPr>
    </w:p>
    <w:p>
      <w:pPr>
        <w:ind w:left="1300" w:firstLine="652"/>
        <w:spacing w:after="0" w:line="236" w:lineRule="auto"/>
        <w:tabs>
          <w:tab w:leader="none" w:pos="2491"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[***]’s right to enforce the OSIF Patents will be subject to OSIF’s enforcement rights under the OSIF Agreement.</w:t>
      </w:r>
    </w:p>
    <w:p>
      <w:pPr>
        <w:spacing w:after="0" w:line="146"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color w:val="auto"/>
        </w:rPr>
        <w:t xml:space="preserve">7.3.3 </w:t>
      </w:r>
      <w:r>
        <w:rPr>
          <w:rFonts w:ascii="Times New Roman" w:cs="Times New Roman" w:eastAsia="Times New Roman" w:hAnsi="Times New Roman"/>
          <w:sz w:val="22"/>
          <w:szCs w:val="22"/>
          <w:b w:val="1"/>
          <w:bCs w:val="1"/>
          <w:color w:val="auto"/>
        </w:rPr>
        <w:t>Joinder</w:t>
      </w:r>
      <w:r>
        <w:rPr>
          <w:rFonts w:ascii="Times New Roman" w:cs="Times New Roman" w:eastAsia="Times New Roman" w:hAnsi="Times New Roman"/>
          <w:sz w:val="22"/>
          <w:szCs w:val="22"/>
          <w:color w:val="auto"/>
        </w:rPr>
        <w:t>. If a Party initiates a Proceeding in accordance with this Section 7.3, the other Party agrees to be joined as a party plaintiff where necessary and to give the first Party reasonable assistance and authority to file and prosecute the Proceeding. Subject to Section 7.3.4, the costs and expenses of each Party incurred pursuant to this Section 7.3.3 will be borne by the Party initiating such Proceeding.</w:t>
      </w:r>
    </w:p>
    <w:p>
      <w:pPr>
        <w:spacing w:after="0" w:line="148"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color w:val="auto"/>
        </w:rPr>
        <w:t xml:space="preserve">7.3.4 </w:t>
      </w:r>
      <w:r>
        <w:rPr>
          <w:rFonts w:ascii="Times New Roman" w:cs="Times New Roman" w:eastAsia="Times New Roman" w:hAnsi="Times New Roman"/>
          <w:sz w:val="22"/>
          <w:szCs w:val="22"/>
          <w:b w:val="1"/>
          <w:bCs w:val="1"/>
          <w:color w:val="auto"/>
        </w:rPr>
        <w:t>Share of Recoveries</w:t>
      </w:r>
      <w:r>
        <w:rPr>
          <w:rFonts w:ascii="Times New Roman" w:cs="Times New Roman" w:eastAsia="Times New Roman" w:hAnsi="Times New Roman"/>
          <w:sz w:val="22"/>
          <w:szCs w:val="22"/>
          <w:color w:val="auto"/>
        </w:rPr>
        <w:t>. Any damages or other monetary awards recovered with respect to a Proceeding brought pursuant to this Section 7.3 will be shared as follows (after OSIF receives its applicable percentage of the portion of such award that is attributable to enforcement of the OSIF Patents pursuant to the OSIF Agreement):</w:t>
      </w:r>
    </w:p>
    <w:p>
      <w:pPr>
        <w:spacing w:after="0" w:line="150" w:lineRule="exact"/>
        <w:rPr>
          <w:sz w:val="20"/>
          <w:szCs w:val="20"/>
          <w:color w:val="auto"/>
        </w:rPr>
      </w:pPr>
    </w:p>
    <w:p>
      <w:pPr>
        <w:jc w:val="both"/>
        <w:ind w:left="1300" w:firstLine="652"/>
        <w:spacing w:after="0" w:line="225" w:lineRule="auto"/>
        <w:tabs>
          <w:tab w:leader="none" w:pos="253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such recovery will first be applied to the Parties’ reasonable Out-of-Pocket Costs incurred in connection with such Proceeding (which amounts will be allocated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if insufficient to cover the totality of such expenses); then</w:t>
      </w:r>
    </w:p>
    <w:p>
      <w:pPr>
        <w:spacing w:after="0" w:line="152" w:lineRule="exact"/>
        <w:rPr>
          <w:rFonts w:ascii="Times New Roman" w:cs="Times New Roman" w:eastAsia="Times New Roman" w:hAnsi="Times New Roman"/>
          <w:sz w:val="22"/>
          <w:szCs w:val="22"/>
          <w:color w:val="auto"/>
        </w:rPr>
      </w:pPr>
    </w:p>
    <w:p>
      <w:pPr>
        <w:ind w:left="1300" w:firstLine="652"/>
        <w:spacing w:after="0" w:line="236" w:lineRule="auto"/>
        <w:tabs>
          <w:tab w:leader="none" w:pos="243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remaining proceeds constituting direct or actual damages for acts of infringement will be paid to, or retained by, [***];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amounts will be [***]; and</w:t>
      </w:r>
    </w:p>
    <w:p>
      <w:pPr>
        <w:spacing w:after="0" w:line="150" w:lineRule="exact"/>
        <w:rPr>
          <w:rFonts w:ascii="Times New Roman" w:cs="Times New Roman" w:eastAsia="Times New Roman" w:hAnsi="Times New Roman"/>
          <w:sz w:val="22"/>
          <w:szCs w:val="22"/>
          <w:color w:val="auto"/>
        </w:rPr>
      </w:pPr>
    </w:p>
    <w:p>
      <w:pPr>
        <w:ind w:left="1300" w:right="20" w:firstLine="652"/>
        <w:spacing w:after="0" w:line="236" w:lineRule="auto"/>
        <w:tabs>
          <w:tab w:leader="none" w:pos="2431"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remaining proceeds constituting [***] will be allocated between the Parties as follows: the Party initiating the Proceeding will retain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395" w:right="339" w:bottom="1440" w:gutter="0" w:footer="0" w:header="0"/>
        </w:sectPr>
      </w:pPr>
    </w:p>
    <w:bookmarkStart w:id="359" w:name="page360"/>
    <w:bookmarkEnd w:id="359"/>
    <w:p>
      <w:pPr>
        <w:ind w:left="1300"/>
        <w:spacing w:after="0"/>
        <w:rPr>
          <w:sz w:val="20"/>
          <w:szCs w:val="20"/>
          <w:color w:val="auto"/>
        </w:rPr>
      </w:pPr>
      <w:r>
        <w:rPr>
          <w:rFonts w:ascii="Times New Roman" w:cs="Times New Roman" w:eastAsia="Times New Roman" w:hAnsi="Times New Roman"/>
          <w:sz w:val="22"/>
          <w:szCs w:val="22"/>
          <w:color w:val="auto"/>
        </w:rPr>
        <w:t>[***]% of such proceeds and the other Party will receive [***]% of such proceeds.</w:t>
      </w:r>
    </w:p>
    <w:p>
      <w:pPr>
        <w:spacing w:after="0" w:line="175"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color w:val="auto"/>
        </w:rPr>
        <w:t xml:space="preserve">7.3.5 </w:t>
      </w:r>
      <w:r>
        <w:rPr>
          <w:rFonts w:ascii="Times New Roman" w:cs="Times New Roman" w:eastAsia="Times New Roman" w:hAnsi="Times New Roman"/>
          <w:sz w:val="22"/>
          <w:szCs w:val="22"/>
          <w:b w:val="1"/>
          <w:bCs w:val="1"/>
          <w:color w:val="auto"/>
        </w:rPr>
        <w:t>Settlement</w:t>
      </w:r>
      <w:r>
        <w:rPr>
          <w:rFonts w:ascii="Times New Roman" w:cs="Times New Roman" w:eastAsia="Times New Roman" w:hAnsi="Times New Roman"/>
          <w:sz w:val="22"/>
          <w:szCs w:val="22"/>
          <w:color w:val="auto"/>
        </w:rPr>
        <w:t xml:space="preserve">. Notwithstanding anything to the contrary under this ARTICLE 7, neither Party may enter a settlement, consent judgment or other voluntary final disposition of a suit under this ARTICLE 7 that disclaims, limits the scope of, admits the invalidity or unenforceability of, or grants a license, covenant not to sue or similar immunity under a Patent Controlled by the other Party or its Affiliates without first obtaining the written consent of the Party that Controls the relevant Patent;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foregoing restriction on granting a license will not apply with respect to any Sublicense granted by Vertex.</w:t>
      </w:r>
    </w:p>
    <w:p>
      <w:pPr>
        <w:spacing w:after="0" w:line="14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1"/>
          <w:szCs w:val="21"/>
          <w:b w:val="1"/>
          <w:bCs w:val="1"/>
          <w:u w:val="single" w:color="auto"/>
          <w:color w:val="auto"/>
        </w:rPr>
        <w:t>Other Infringement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color w:val="auto"/>
        </w:rPr>
        <w:t xml:space="preserve">7.4.1 </w:t>
      </w:r>
      <w:r>
        <w:rPr>
          <w:rFonts w:ascii="Times New Roman" w:cs="Times New Roman" w:eastAsia="Times New Roman" w:hAnsi="Times New Roman"/>
          <w:sz w:val="22"/>
          <w:szCs w:val="22"/>
          <w:b w:val="1"/>
          <w:bCs w:val="1"/>
          <w:color w:val="auto"/>
        </w:rPr>
        <w:t>Patents Solely Owned by Company</w:t>
      </w:r>
      <w:r>
        <w:rPr>
          <w:rFonts w:ascii="Times New Roman" w:cs="Times New Roman" w:eastAsia="Times New Roman" w:hAnsi="Times New Roman"/>
          <w:sz w:val="22"/>
          <w:szCs w:val="22"/>
          <w:color w:val="auto"/>
        </w:rPr>
        <w:t>. Company will retain all rights to pursue (a) an infringement of any Patent solely owned by Company that is not a Competitive Infringement and (b) an infringement of any Patent solely owned by Company, and in each case of (a) and (b), Company will retain all recoveries with respect thereto.</w:t>
      </w:r>
    </w:p>
    <w:p>
      <w:pPr>
        <w:spacing w:after="0" w:line="14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7.4.2 </w:t>
      </w:r>
      <w:r>
        <w:rPr>
          <w:rFonts w:ascii="Times New Roman" w:cs="Times New Roman" w:eastAsia="Times New Roman" w:hAnsi="Times New Roman"/>
          <w:sz w:val="22"/>
          <w:szCs w:val="22"/>
          <w:b w:val="1"/>
          <w:bCs w:val="1"/>
          <w:color w:val="auto"/>
        </w:rPr>
        <w:t>Patents Solely Owned by Vertex</w:t>
      </w:r>
      <w:r>
        <w:rPr>
          <w:rFonts w:ascii="Times New Roman" w:cs="Times New Roman" w:eastAsia="Times New Roman" w:hAnsi="Times New Roman"/>
          <w:sz w:val="22"/>
          <w:szCs w:val="22"/>
          <w:color w:val="auto"/>
        </w:rPr>
        <w:t>. Vertex will retain all rights to pursue an infringement of any Patent solely owned by Vertex and Vertex will retain all recoveries with respect thereto.</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7.5 </w:t>
      </w:r>
      <w:r>
        <w:rPr>
          <w:rFonts w:ascii="Times New Roman" w:cs="Times New Roman" w:eastAsia="Times New Roman" w:hAnsi="Times New Roman"/>
          <w:sz w:val="22"/>
          <w:szCs w:val="22"/>
          <w:b w:val="1"/>
          <w:bCs w:val="1"/>
          <w:u w:val="single" w:color="auto"/>
          <w:color w:val="auto"/>
        </w:rPr>
        <w:t>Patent Listing</w:t>
      </w:r>
      <w:r>
        <w:rPr>
          <w:rFonts w:ascii="Times New Roman" w:cs="Times New Roman" w:eastAsia="Times New Roman" w:hAnsi="Times New Roman"/>
          <w:sz w:val="22"/>
          <w:szCs w:val="22"/>
          <w:color w:val="auto"/>
        </w:rPr>
        <w:t>. [***] will have the sole right, but not the obligation, to submit to all applicable Regulatory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Authorities patent information pertaining to each applicable Product pursuant to 21 U.S.C. § 355(b)(1)(G), any similar statutory or regulatory requirement enacted in the future regarding biologic products, or any similar statutory or regulatory requirement in any non-U.S. country or other regulatory jurisdiction.</w:t>
      </w:r>
    </w:p>
    <w:p>
      <w:pPr>
        <w:spacing w:after="0" w:line="14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7.6 </w:t>
      </w:r>
      <w:r>
        <w:rPr>
          <w:rFonts w:ascii="Times New Roman" w:cs="Times New Roman" w:eastAsia="Times New Roman" w:hAnsi="Times New Roman"/>
          <w:sz w:val="22"/>
          <w:szCs w:val="22"/>
          <w:b w:val="1"/>
          <w:bCs w:val="1"/>
          <w:u w:val="single" w:color="auto"/>
          <w:color w:val="auto"/>
        </w:rPr>
        <w:t>Common Ownership Legislation</w:t>
      </w:r>
      <w:r>
        <w:rPr>
          <w:rFonts w:ascii="Times New Roman" w:cs="Times New Roman" w:eastAsia="Times New Roman" w:hAnsi="Times New Roman"/>
          <w:sz w:val="22"/>
          <w:szCs w:val="22"/>
          <w:color w:val="auto"/>
        </w:rPr>
        <w:t>. Notwithstanding anything to the contrary in this ARTICLE 7, neither Party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the right to make an election under the Common Ownership Legislation when exercising its rights under this ARTICLE 7 without the prior written consent of the other Party, which will not be unreasonably withheld, conditioned or delayed. With respect to any such permitted election, the Parties will use reasonable efforts to cooperate and coordinate their activities with respect to any submissions, filings or other activities in support thereof. The Parties acknowledge and agree that this Agreement is a “joint research agreement” as defined in the Common Ownership Legislation. Notwithstanding the foregoing, the other Party’s consent under this Section 7.6 will not be required in connection with an obviousness-type double patenting rejection in any patent application claiming a Licensed Agent, Product, or uses thereof.</w:t>
      </w:r>
    </w:p>
    <w:p>
      <w:pPr>
        <w:spacing w:after="0" w:line="148"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1"/>
          <w:szCs w:val="21"/>
          <w:b w:val="1"/>
          <w:bCs w:val="1"/>
          <w:color w:val="auto"/>
        </w:rPr>
        <w:t xml:space="preserve">7.7 </w:t>
      </w:r>
      <w:r>
        <w:rPr>
          <w:rFonts w:ascii="Times New Roman" w:cs="Times New Roman" w:eastAsia="Times New Roman" w:hAnsi="Times New Roman"/>
          <w:sz w:val="21"/>
          <w:szCs w:val="21"/>
          <w:b w:val="1"/>
          <w:bCs w:val="1"/>
          <w:u w:val="single" w:color="auto"/>
          <w:color w:val="auto"/>
        </w:rPr>
        <w:t>Patent Term Extension</w:t>
      </w:r>
      <w:r>
        <w:rPr>
          <w:rFonts w:ascii="Times New Roman" w:cs="Times New Roman" w:eastAsia="Times New Roman" w:hAnsi="Times New Roman"/>
          <w:sz w:val="21"/>
          <w:szCs w:val="21"/>
          <w:color w:val="auto"/>
        </w:rPr>
        <w:t>. [***] will have the sole right, at its sole cost, to obtain patent term restoration in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country in the Territory under 35 U.S.C. § 156 or any statute or regulation equivalent or similar thereto, where applicable to a Product and where such patent term restoration arises from, or is calculated in reference to, the Development of a Product or Licensed Agent, including with respect to any [***], except as provided below with respect [***]. Subject to OSIF’s rights under the OSIF Agreement, [***] will determine which relevant patents will be extended (including by filing supplementary protection certificates and any other extensions that are now or in the future become available);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any decision to</w:t>
      </w:r>
    </w:p>
    <w:p>
      <w:pPr>
        <w:spacing w:after="0" w:line="2" w:lineRule="exact"/>
        <w:rPr>
          <w:sz w:val="20"/>
          <w:szCs w:val="20"/>
          <w:color w:val="auto"/>
        </w:rPr>
      </w:pPr>
    </w:p>
    <w:p>
      <w:pPr>
        <w:jc w:val="both"/>
        <w:ind w:firstLine="8"/>
        <w:spacing w:after="0" w:line="214" w:lineRule="auto"/>
        <w:tabs>
          <w:tab w:leader="none" w:pos="533"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assignment of this Agreement to OSIF will require the prior written approval of [***], which may be withheld in [***]’s sole discretion. [***] will cooperate, at [***]’s cost, as reasonably requested by [***], in connection with the foregoing (including by providing appropriate information and executing appropriate documents). For clarity, as between the Parties, [***] will have the sole right to obtain patent term restoration in any country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395" w:right="339"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21"/>
          <w:szCs w:val="21"/>
          <w:color w:val="auto"/>
        </w:rPr>
        <w:t>Territory for any [***] where such patent term restoration arises from, or is calculated in reference to, [***], in its sole discretion.</w:t>
      </w:r>
    </w:p>
    <w:p>
      <w:pPr>
        <w:spacing w:after="0" w:line="187"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7.8 </w:t>
      </w:r>
      <w:r>
        <w:rPr>
          <w:rFonts w:ascii="Times New Roman" w:cs="Times New Roman" w:eastAsia="Times New Roman" w:hAnsi="Times New Roman"/>
          <w:sz w:val="22"/>
          <w:szCs w:val="22"/>
          <w:b w:val="1"/>
          <w:bCs w:val="1"/>
          <w:u w:val="single" w:color="auto"/>
          <w:color w:val="auto"/>
        </w:rPr>
        <w:t>Recording</w:t>
      </w:r>
      <w:r>
        <w:rPr>
          <w:rFonts w:ascii="Times New Roman" w:cs="Times New Roman" w:eastAsia="Times New Roman" w:hAnsi="Times New Roman"/>
          <w:sz w:val="22"/>
          <w:szCs w:val="22"/>
          <w:color w:val="auto"/>
        </w:rPr>
        <w:t>. If Vertex deems it necessary or desirable to register or record this Agreement or evidence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with any patent office or other appropriate Governmental Authority in one or more jurisdictions in the Territory, Company will reasonably cooperate to execute and deliver to Vertex any documents accurately reflecting or evidencing this Agreement that are necessary or desirable, in Vertex’s reasonable judgment, to complete such registration or recordation. Vertex will reimburse Company for all reasonable Out-of-Pocket Costs, including attorneys’ fees, incurred by Company in complying with the provisions of this Section 7.8.</w:t>
      </w:r>
    </w:p>
    <w:p>
      <w:pPr>
        <w:spacing w:after="0" w:line="146"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7.9 </w:t>
      </w:r>
      <w:r>
        <w:rPr>
          <w:rFonts w:ascii="Times New Roman" w:cs="Times New Roman" w:eastAsia="Times New Roman" w:hAnsi="Times New Roman"/>
          <w:sz w:val="22"/>
          <w:szCs w:val="22"/>
          <w:b w:val="1"/>
          <w:bCs w:val="1"/>
          <w:u w:val="single" w:color="auto"/>
          <w:color w:val="auto"/>
        </w:rPr>
        <w:t>Unitary Patent System</w:t>
      </w:r>
      <w:r>
        <w:rPr>
          <w:rFonts w:ascii="Times New Roman" w:cs="Times New Roman" w:eastAsia="Times New Roman" w:hAnsi="Times New Roman"/>
          <w:sz w:val="22"/>
          <w:szCs w:val="22"/>
          <w:color w:val="auto"/>
        </w:rPr>
        <w:t>. The Party Prosecuting and Maintaining a Patent in Europe pursuant to Section 7.1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the exclusive right to opt-in or opt-out of the Europe Unitary Patent System for such Patent. For clarity, “to opt-in or opt-out” refers to both the right to have or have not a European patent application or an issued European patent registered to have unitary effect within the meaning of Regulation (EU) No 1257/2012 of December 17, 2012 as well as the Agreement on a Unified Patent Court as of February 19, 2013; and to the right to opt-in or opt-out from the exclusive competence of the Unified Patent Court in accordance with Article 83(3) of that Agreement on a Unified Patent Court. Without limiting the generality of the foregoing, unless a Party or its Affiliate has expressly opted in to the Europe Unitary Patent System with respect to a given Patent, the other Party will not initiate any action with respect to such Patent under the Europe Unitary Patent System without such Party’s prior written approval, such approval to be granted or withheld in such Party’s sole discretion.</w:t>
      </w:r>
    </w:p>
    <w:p>
      <w:pPr>
        <w:spacing w:after="0" w:line="14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7.10 </w:t>
      </w:r>
      <w:r>
        <w:rPr>
          <w:rFonts w:ascii="Times New Roman" w:cs="Times New Roman" w:eastAsia="Times New Roman" w:hAnsi="Times New Roman"/>
          <w:sz w:val="22"/>
          <w:szCs w:val="22"/>
          <w:b w:val="1"/>
          <w:bCs w:val="1"/>
          <w:u w:val="single" w:color="auto"/>
          <w:color w:val="auto"/>
        </w:rPr>
        <w:t>Trademarks</w:t>
      </w:r>
      <w:r>
        <w:rPr>
          <w:rFonts w:ascii="Times New Roman" w:cs="Times New Roman" w:eastAsia="Times New Roman" w:hAnsi="Times New Roman"/>
          <w:sz w:val="22"/>
          <w:szCs w:val="22"/>
          <w:color w:val="auto"/>
        </w:rPr>
        <w:t>. As between the Parties, all trademarks and trade dress rights used in connection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Commercialization of the Products in the Field in the Territory will be owned exclusively by Vertex.</w:t>
      </w:r>
    </w:p>
    <w:p>
      <w:pPr>
        <w:spacing w:after="0" w:line="14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b w:val="1"/>
          <w:bCs w:val="1"/>
          <w:color w:val="auto"/>
        </w:rPr>
        <w:t>7.11</w:t>
      </w:r>
      <w:r>
        <w:rPr>
          <w:sz w:val="20"/>
          <w:szCs w:val="20"/>
          <w:color w:val="auto"/>
        </w:rPr>
        <w:tab/>
      </w:r>
      <w:r>
        <w:rPr>
          <w:rFonts w:ascii="Times New Roman" w:cs="Times New Roman" w:eastAsia="Times New Roman" w:hAnsi="Times New Roman"/>
          <w:sz w:val="21"/>
          <w:szCs w:val="21"/>
          <w:b w:val="1"/>
          <w:bCs w:val="1"/>
          <w:u w:val="single" w:color="auto"/>
          <w:color w:val="auto"/>
        </w:rPr>
        <w:t>Bankruptcy</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color w:val="auto"/>
        </w:rPr>
        <w:t>7.11.1 All rights and licenses now or hereafter granted by Company to Vertex under or pursuant to this Agreement, including, for the avoidance of doubt, the licenses granted to Vertex pursuant to Section 5.1, are, for all purposes of 11 U.S.C. § 365(n), licenses of rights to “intellectual property” as defined in the U.S. Bankruptcy Code. Upon the occurrence of any Insolvency Event with respect to Company, Company agrees that Vertex, as licensee of such rights under this Agreement, will retain and may fully exercise all of its rights and elections under the U.S. Bankruptcy Code. Without limiting the generality of the foregoing, the Parties intend and agree that any sale of Company’s assets under Section 363 of the Bankruptcy Code will be subject to Vertex’s rights under Section 365(n), that Vertex cannot be compelled to accept a money satisfaction of its interests in the intellectual property licensed pursuant to this Agreement, and that any such sale therefore may not be made to a purchaser “free and clear” of Vertex’s rights under this Agreement and Section 365(n) without the express, contemporaneous consent of Vertex. Further, each Party agrees and acknowledges that all payments by Vertex to Company hereunder, other than the up-front fee pursuant to Section 6.1, royalty payments pursuant to Section 6.3, and the milestone payments pursuant to Section 6.2.1 and Section 6.2.2, do not constitute royalties within the meaning of Section 365(n) of the Bankruptcy Code or relate to licenses of intellectual property hereunder. Company will, during the Term, create and maintain current copies or, if not amenable to copying, detailed descriptions or other appropriate embodiments, to the extent feasible, of all intellectual property licensed under this Agreement. Each Party acknowledges and agrees that “embodiments” of intellectual property within the meaning of Section 365(n) include laboratory notebooks, cell lines, product samples and inventory, research studies and data, all Regulatory Approvals (and all applications for Regulatory Approval) and rights of reference therein, the OSIF Technology and all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395" w:right="339" w:bottom="1440" w:gutter="0" w:footer="0" w:header="0"/>
        </w:sectPr>
      </w:pPr>
    </w:p>
    <w:bookmarkStart w:id="361" w:name="page362"/>
    <w:bookmarkEnd w:id="361"/>
    <w:p>
      <w:pPr>
        <w:jc w:val="both"/>
        <w:spacing w:after="0" w:line="220" w:lineRule="auto"/>
        <w:rPr>
          <w:sz w:val="20"/>
          <w:szCs w:val="20"/>
          <w:color w:val="auto"/>
        </w:rPr>
      </w:pPr>
      <w:r>
        <w:rPr>
          <w:rFonts w:ascii="Times New Roman" w:cs="Times New Roman" w:eastAsia="Times New Roman" w:hAnsi="Times New Roman"/>
          <w:sz w:val="22"/>
          <w:szCs w:val="22"/>
          <w:color w:val="auto"/>
        </w:rPr>
        <w:t>related to the OSIF Technology. If (a) a case under the U.S. Bankruptcy Code is commenced by or against Company, (b) this Agreement is rejected as provided in the U.S. Bankruptcy Code, and (c) Vertex elects to retain its rights hereunder as provided in Section 365(n) of the U.S. Bankruptcy Code, Company (in any capacity, including debtor-in-possession) and its successors and assigns (including a trustee) will:</w:t>
      </w:r>
    </w:p>
    <w:p>
      <w:pPr>
        <w:spacing w:after="0" w:line="152" w:lineRule="exact"/>
        <w:rPr>
          <w:sz w:val="20"/>
          <w:szCs w:val="20"/>
          <w:color w:val="auto"/>
        </w:rPr>
      </w:pPr>
    </w:p>
    <w:p>
      <w:pPr>
        <w:ind w:left="1300" w:firstLine="652"/>
        <w:spacing w:after="0" w:line="236" w:lineRule="auto"/>
        <w:tabs>
          <w:tab w:leader="none" w:pos="2442"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Vertex with copies of all such intellectual property (including all embodiments thereof) held by Company; and</w:t>
      </w:r>
    </w:p>
    <w:p>
      <w:pPr>
        <w:spacing w:after="0" w:line="150" w:lineRule="exact"/>
        <w:rPr>
          <w:rFonts w:ascii="Times New Roman" w:cs="Times New Roman" w:eastAsia="Times New Roman" w:hAnsi="Times New Roman"/>
          <w:sz w:val="22"/>
          <w:szCs w:val="22"/>
          <w:color w:val="auto"/>
        </w:rPr>
      </w:pPr>
    </w:p>
    <w:p>
      <w:pPr>
        <w:jc w:val="both"/>
        <w:ind w:left="1300" w:right="20" w:firstLine="652"/>
        <w:spacing w:after="0" w:line="225" w:lineRule="auto"/>
        <w:tabs>
          <w:tab w:leader="none" w:pos="2508"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interfere with Vertex’s rights under this Agreement, or any agreement supplemental hereto, to such intellectual property (including such embodiments), including any right to obtain such intellectual property (or such embodiments) from another entity.</w:t>
      </w:r>
    </w:p>
    <w:p>
      <w:pPr>
        <w:spacing w:after="0" w:line="15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Nothing herein will be deemed a waiver by Vertex of any claims it may have against Company resulting from rejection of the license or failure to perform its obligations hereunder.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4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2"/>
          <w:szCs w:val="22"/>
          <w:b w:val="1"/>
          <w:bCs w:val="1"/>
          <w:color w:val="auto"/>
        </w:rPr>
        <w:t>8.1</w:t>
      </w:r>
      <w:r>
        <w:rPr>
          <w:sz w:val="20"/>
          <w:szCs w:val="20"/>
          <w:color w:val="auto"/>
        </w:rPr>
        <w:tab/>
      </w:r>
      <w:r>
        <w:rPr>
          <w:rFonts w:ascii="Times New Roman" w:cs="Times New Roman" w:eastAsia="Times New Roman" w:hAnsi="Times New Roman"/>
          <w:sz w:val="22"/>
          <w:szCs w:val="22"/>
          <w:b w:val="1"/>
          <w:bCs w:val="1"/>
          <w:u w:val="single" w:color="auto"/>
          <w:color w:val="auto"/>
        </w:rPr>
        <w:t>Representations and Warranties of Vertex</w:t>
      </w:r>
      <w:r>
        <w:rPr>
          <w:rFonts w:ascii="Times New Roman" w:cs="Times New Roman" w:eastAsia="Times New Roman" w:hAnsi="Times New Roman"/>
          <w:sz w:val="22"/>
          <w:szCs w:val="22"/>
          <w:color w:val="auto"/>
        </w:rPr>
        <w:t>. Vertex hereby represents and warrants to Company, as of the</w:t>
      </w:r>
    </w:p>
    <w:p>
      <w:pPr>
        <w:spacing w:after="0"/>
        <w:rPr>
          <w:sz w:val="20"/>
          <w:szCs w:val="20"/>
          <w:color w:val="auto"/>
        </w:rPr>
      </w:pPr>
      <w:r>
        <w:rPr>
          <w:rFonts w:ascii="Times New Roman" w:cs="Times New Roman" w:eastAsia="Times New Roman" w:hAnsi="Times New Roman"/>
          <w:sz w:val="22"/>
          <w:szCs w:val="22"/>
          <w:color w:val="auto"/>
        </w:rPr>
        <w:t>Execution Date and the Effective Date, that:</w:t>
      </w:r>
    </w:p>
    <w:p>
      <w:pPr>
        <w:spacing w:after="0" w:line="155"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8.1.1 it is duly organized, validly existing and in good standing under the laws of the jurisdiction of its incorporation or organization;</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8.1.2 it (a) has the requisite power and authority and the legal right to enter into this Agreement and to perform its obligations hereunder and (b) has taken all requisite action on its part to authorize the execution and delivery of this Agreement and the performance of its obligations hereunder;</w:t>
      </w:r>
    </w:p>
    <w:p>
      <w:pPr>
        <w:spacing w:after="0" w:line="15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8.1.3 this Agreement has been duly executed and delivered on behalf of Vertex, and constitutes a legal, valid and binding obligation, enforceable against Vertex in accordance with the terms hereof;</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8.1.4 the execution, delivery and performance of this Agreement by Vertex will not constitute a default under or conflict with any agreement, instrument, obligation or understanding, oral or written, to which it is a party or by which it is bound, or violate any law or regulation of any court, governmental body or administrative or other agency having jurisdiction over it;</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8.1.5 except with respect to any required Antitrust Filings (as defined under the Collaboration Agreement), it has obtained all necessary consents, approvals and authorizations of all Governmental Authorities and other Persons or entities required to be obtained by it in connection with the execution and delivery of this Agreement;</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8.1.6 the representations and warranties of Vertex in this Agreement, and the information, documents and materials furnished to Company in connection with its period of diligence prior to the Execution Date or the Effective Date, as applicable, do not, taken as a whole, (a) contain any untrue statement of a material fact, or (b) omit to state any material fact necessary to make the statements or facts contained therein, in light of the circumstances under which they were made, not misleading;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395" w:right="339" w:bottom="1440" w:gutter="0" w:footer="0" w:header="0"/>
        </w:sectPr>
      </w:pPr>
    </w:p>
    <w:bookmarkStart w:id="362" w:name="page363"/>
    <w:bookmarkEnd w:id="362"/>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8.1.7 Vertex is solvent and has the ability to pay and perform all of its obligations due as of the Effective Date, including any such payment obligations under this Agreement.</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8.2 </w:t>
      </w:r>
      <w:r>
        <w:rPr>
          <w:rFonts w:ascii="Times New Roman" w:cs="Times New Roman" w:eastAsia="Times New Roman" w:hAnsi="Times New Roman"/>
          <w:sz w:val="22"/>
          <w:szCs w:val="22"/>
          <w:b w:val="1"/>
          <w:bCs w:val="1"/>
          <w:u w:val="single" w:color="auto"/>
          <w:color w:val="auto"/>
        </w:rPr>
        <w:t>Representations and Warranties of Company</w:t>
      </w:r>
      <w:r>
        <w:rPr>
          <w:rFonts w:ascii="Times New Roman" w:cs="Times New Roman" w:eastAsia="Times New Roman" w:hAnsi="Times New Roman"/>
          <w:sz w:val="22"/>
          <w:szCs w:val="22"/>
          <w:color w:val="auto"/>
        </w:rPr>
        <w:t>. Company hereby represents and warrants to Vertex,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Execution Date and the Effective Date, that, except as set forth in the corresponding section of </w:t>
      </w:r>
      <w:r>
        <w:rPr>
          <w:rFonts w:ascii="Times New Roman" w:cs="Times New Roman" w:eastAsia="Times New Roman" w:hAnsi="Times New Roman"/>
          <w:sz w:val="22"/>
          <w:szCs w:val="22"/>
          <w:u w:val="single" w:color="auto"/>
          <w:color w:val="auto"/>
        </w:rPr>
        <w:t>Schedule 8.2</w:t>
      </w:r>
      <w:r>
        <w:rPr>
          <w:rFonts w:ascii="Times New Roman" w:cs="Times New Roman" w:eastAsia="Times New Roman" w:hAnsi="Times New Roman"/>
          <w:sz w:val="22"/>
          <w:szCs w:val="22"/>
          <w:color w:val="auto"/>
        </w:rPr>
        <w:t xml:space="preserve">, which schedule may be supplemented or updated within [***] following the Antitrust Clearance Date (as defined under the Collaboration Agreement);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any such supplement or update may only contain information arising after the Execution Date:</w:t>
      </w:r>
    </w:p>
    <w:p>
      <w:pPr>
        <w:spacing w:after="0" w:line="152"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8.2.1 it is duly organized, validly existing and in good standing under the laws of the jurisdiction of its incorporation or organization;</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8.2.2 it (a) has the requisite power and authority and the legal right to enter into this Agreement and to perform its obligations hereunder and (b) has taken all requisite action on its part to authorize the execution and delivery of this Agreement and the performance of its obligations hereunder;</w:t>
      </w:r>
    </w:p>
    <w:p>
      <w:pPr>
        <w:spacing w:after="0" w:line="15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8.2.3 this Agreement has been duly executed and delivered on behalf of Company, and constitutes a legal, valid and binding obligation, enforceable against it in accordance with the terms hereof;</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8.2.4 the execution, delivery and performance of this Agreement by Company will not constitute a default under or conflict with any agreement, instrument, obligation or understanding, oral or written, to which it is a party or by which it is bound, or violate any law or regulation of any court, governmental body or administrative or other agency having jurisdiction over it;</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8.2.5 except with respect to any required Antitrust Filings (as defined under the Collaboration Agreement), it has obtained all necessary consents, approvals and authorizations of all Governmental Authorities and other Persons or entities required to be obtained by it in connection with the execution and delivery of this Agreement;</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8.2.6 Company Controls all Patents and Know-How licensed to Company or its Affiliates by OSIF under the OSIF Agreement that are necessary or useful to Exploit Licensed Agents and Products in the Field;</w:t>
      </w:r>
    </w:p>
    <w:p>
      <w:pPr>
        <w:spacing w:after="0" w:line="150" w:lineRule="exact"/>
        <w:rPr>
          <w:sz w:val="20"/>
          <w:szCs w:val="20"/>
          <w:color w:val="auto"/>
        </w:rPr>
      </w:pPr>
    </w:p>
    <w:p>
      <w:pPr>
        <w:jc w:val="both"/>
        <w:ind w:firstLine="1296"/>
        <w:spacing w:after="0" w:line="224" w:lineRule="auto"/>
        <w:rPr>
          <w:sz w:val="20"/>
          <w:szCs w:val="20"/>
          <w:color w:val="auto"/>
        </w:rPr>
      </w:pPr>
      <w:r>
        <w:rPr>
          <w:rFonts w:ascii="Times New Roman" w:cs="Times New Roman" w:eastAsia="Times New Roman" w:hAnsi="Times New Roman"/>
          <w:sz w:val="21"/>
          <w:szCs w:val="21"/>
          <w:color w:val="auto"/>
        </w:rPr>
        <w:t>8.2.7 Company is the exclusive licensee of the OSIF Technology, all of which is free and clear of any liens, charges and encumbrances (other than any license granted by Company or its Affiliates to any Third Party that do not conflict with or affect the scope of the licenses granted under this Agreement and other than any liens, charges and encumbrances resulting from the action or inaction of OSIF or its Affiliates without Company’s knowledge), and, as of the Execution Date and the Effective Date, neither any license granted by Company or its Affiliates to any Third Party, nor any agreement between any Third Party and Company or its Affiliates, conflicts with the licenses or other rights granted to Vertex hereunder and Company is entitled to grant all rights and licenses (or sublicenses, as the case may be) it purports to grant to Vertex under this Agreement;</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8.2.8 Company has disclosed to Vertex in </w:t>
      </w:r>
      <w:r>
        <w:rPr>
          <w:rFonts w:ascii="Times New Roman" w:cs="Times New Roman" w:eastAsia="Times New Roman" w:hAnsi="Times New Roman"/>
          <w:sz w:val="22"/>
          <w:szCs w:val="22"/>
          <w:u w:val="single" w:color="auto"/>
          <w:color w:val="auto"/>
        </w:rPr>
        <w:t>Schedule 1.84</w:t>
      </w:r>
      <w:r>
        <w:rPr>
          <w:rFonts w:ascii="Times New Roman" w:cs="Times New Roman" w:eastAsia="Times New Roman" w:hAnsi="Times New Roman"/>
          <w:sz w:val="22"/>
          <w:szCs w:val="22"/>
          <w:color w:val="auto"/>
        </w:rPr>
        <w:t xml:space="preserve"> all OSIF Patents that, to its knowledge, are existing as of the Execution Date and the Effective Date and such disclosure indicates whether each such Patent is owned by Company or licensed by Company from a Third Party and if so licensed, identifies the licensor or sublicensor from which the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395" w:right="339"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22"/>
          <w:szCs w:val="22"/>
          <w:color w:val="auto"/>
        </w:rPr>
        <w:t>is licensed and Company has provided Vertex with a true and complete copy of each such license agreement;</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8.2.9 to its knowledge, the OSIF Patents, are subsisting and are, or, upon issuance, will be, valid and enforceable patents and no Third Party has challenged the scope validity or enforceability of such Patents (including by way of example through the institution or written threat of institution of interference, nullity or similar invalidity proceedings before the United States Patent and Trademark Office or any analogous foreign Governmental Authority);</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8.2.10 to its knowledge, no Third Party is infringing or threatening to infringe any of the OSIF Patents or misappropriating or threatening to misappropriate any OSIF Know-How;</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8.2.11 it has complied with Applicable Law, including any disclosure requirements of the United States Patent and Trademark Office or any analogous foreign Governmental Authority, in connection with the Prosecution and Maintenance of the OSIF Patents and has timely paid all filing and renewal fees payable with respect to any such Patents for which it controls Prosecution and Maintenance;</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8.2.12 to Company’s knowledge, (a) the applicable patent owner has obtained assignments from the inventors of all inventorship rights relating to the OSIF Patents, and (b) all such assignments of inventorship rights relating to such Patents are valid and enforceable;</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8.2.13 Company has provided a true and complete copy of the OSIF Agreement, including all amendments or modifications thereto, to Vertex. The OSIF Agreement is in full force and effect. Neither Company nor its Affiliates nor, to its knowledge, the Third Party licensor in the OSIF Agreement is in material breach of, or in default with respect to a material obligation under, the OSIF Agreement, and neither such party has claimed or has grounds upon which to claim that the other party is in material breach of, or in default with respect to a material obligation under, the OSIF Agreement;</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1"/>
          <w:szCs w:val="21"/>
          <w:color w:val="auto"/>
        </w:rPr>
        <w:t>8.2.14 Company and its Affiliates have taken commercially reasonable measures consistent with industry practices to protect the secrecy, confidentiality and value of all OSIF Know-How that constitutes trade secrets under Applicable Law (including requiring all employees, consultants and independent contractors to execute binding and enforceable agreements requiring all such employees, consultants and independent contractors to maintain the confidentiality of such OSIF Know-How) and, to Company’s knowledge, such OSIF Know-How has not been used, disclosed to or discovered by any Third Party except pursuant to such confidentiality agreements and there has not been a breach by any party to such confidentiality agreements;</w:t>
      </w:r>
    </w:p>
    <w:p>
      <w:pPr>
        <w:spacing w:after="0" w:line="154" w:lineRule="exact"/>
        <w:rPr>
          <w:sz w:val="20"/>
          <w:szCs w:val="20"/>
          <w:color w:val="auto"/>
        </w:rPr>
      </w:pPr>
    </w:p>
    <w:p>
      <w:pPr>
        <w:jc w:val="both"/>
        <w:ind w:right="20" w:firstLine="1296"/>
        <w:spacing w:after="0" w:line="217" w:lineRule="auto"/>
        <w:rPr>
          <w:sz w:val="20"/>
          <w:szCs w:val="20"/>
          <w:color w:val="auto"/>
        </w:rPr>
      </w:pPr>
      <w:r>
        <w:rPr>
          <w:rFonts w:ascii="Times New Roman" w:cs="Times New Roman" w:eastAsia="Times New Roman" w:hAnsi="Times New Roman"/>
          <w:sz w:val="22"/>
          <w:szCs w:val="22"/>
          <w:color w:val="auto"/>
        </w:rPr>
        <w:t>8.2.15 to Company’s knowledge, the conception, development, and reduction to practice of the OSIF Technology have not constituted or involved the misappropriation of any Know-How of any Third Party, and the practice of the OSIF Know-How in the Exploitation by Company or Vertex (or their respective Affiliates or Sublicensees) of a Licensed Agent or Product as contemplated by this Agreement does not and will not constitute a misappropriation of any Know-How of any Third Party;</w:t>
      </w:r>
    </w:p>
    <w:p>
      <w:pPr>
        <w:spacing w:after="0" w:line="152"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8.2.16 there are no judgments or settlements against or owed by Company or its Affiliates or, to its knowledge, pending or threatened claims or litigation, in either case relating to the OSIF Technology;</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8.2.17 there is no action, claim, demand, suit, proceeding, arbitration, grievance, citation, summons, subpoena, inquiry or investigation of any nature, civil, criminal, regulatory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395" w:right="339" w:bottom="1440" w:gutter="0" w:footer="0" w:header="0"/>
        </w:sectPr>
      </w:pPr>
    </w:p>
    <w:bookmarkStart w:id="364" w:name="page365"/>
    <w:bookmarkEnd w:id="364"/>
    <w:p>
      <w:pPr>
        <w:jc w:val="both"/>
        <w:spacing w:after="0" w:line="225" w:lineRule="auto"/>
        <w:rPr>
          <w:sz w:val="20"/>
          <w:szCs w:val="20"/>
          <w:color w:val="auto"/>
        </w:rPr>
      </w:pPr>
      <w:r>
        <w:rPr>
          <w:rFonts w:ascii="Times New Roman" w:cs="Times New Roman" w:eastAsia="Times New Roman" w:hAnsi="Times New Roman"/>
          <w:sz w:val="22"/>
          <w:szCs w:val="22"/>
          <w:color w:val="auto"/>
        </w:rPr>
        <w:t>otherwise, in law or in equity, pending, or, to its knowledge, threatened, against Company, any of its Affiliates or, to its knowledge, any Third Party, in each case in connection with the OSIF Technology, the Licensed Agents, the Products, or otherwise relating to the transactions contemplated by this Agreement;</w:t>
      </w:r>
    </w:p>
    <w:p>
      <w:pPr>
        <w:spacing w:after="0" w:line="15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8.2.18 with respect to any OSIF Technology, Licensed Agent or Product or activities to be performed by Company in connection with this Agreement, Company has not taken any action directly or indirectly to unlawfully offer, promise, or pay, or authorize the offer or payment of, any money or anything of value in order to improperly or corruptly seek to influence any Government Official or any other person in order to gain an improper advantage, and has not accepted any such unlawful payment;</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8.2.19 to its knowledge, except to the extent permissible under United States law, neither Company nor any of its Affiliates has, on its own behalf or in acting on behalf of any other Person, directly or indirectly engaged in any transaction, or has otherwise dealt with, any country or Person targeted by the United States, Europe or other relevant economic sanctions laws in connection with any activities contemplated by this Agreement; and</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8.2.20 the representations and warranties of Company in this Agreement, and the information, documents and materials furnished to Vertex in connection with its period of diligence prior to the Execution Date or the Effective Date, as applicable, do not, taken as a whole, (a) contain any untrue statement of a material fact, or (b) omit to state any material fact necessary to make the statements or facts contained therein, in light of the circumstances under which they were made, not misleading.</w:t>
      </w:r>
    </w:p>
    <w:p>
      <w:pPr>
        <w:spacing w:after="0" w:line="14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8.3</w:t>
      </w:r>
      <w:r>
        <w:rPr>
          <w:sz w:val="20"/>
          <w:szCs w:val="20"/>
          <w:color w:val="auto"/>
        </w:rPr>
        <w:tab/>
      </w:r>
      <w:r>
        <w:rPr>
          <w:rFonts w:ascii="Times New Roman" w:cs="Times New Roman" w:eastAsia="Times New Roman" w:hAnsi="Times New Roman"/>
          <w:sz w:val="21"/>
          <w:szCs w:val="21"/>
          <w:b w:val="1"/>
          <w:bCs w:val="1"/>
          <w:u w:val="single" w:color="auto"/>
          <w:color w:val="auto"/>
        </w:rPr>
        <w:t>Vertex Covenants</w:t>
      </w:r>
      <w:r>
        <w:rPr>
          <w:rFonts w:ascii="Times New Roman" w:cs="Times New Roman" w:eastAsia="Times New Roman" w:hAnsi="Times New Roman"/>
          <w:sz w:val="21"/>
          <w:szCs w:val="21"/>
          <w:color w:val="auto"/>
        </w:rPr>
        <w:t>. Vertex hereby covenants to Company that, except as expressly permitted under this Agreement:</w:t>
      </w:r>
    </w:p>
    <w:p>
      <w:pPr>
        <w:spacing w:after="0" w:line="183"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8.3.1 Vertex will, and will require its Affiliates, Sublicensees, and subcontractors to, comply with Applicable Law and accepted pharmaceutical industry business practices in conducting its activities hereunder, including (a) to the extent applicable to Vertex or its Affiliates, Sublicensees, or subcontractor, the FD&amp;C Act, the Anti-Kickback Statute (42 U.S.C. 1320a-7b), Civil Monetary Penalty Statute (42 U.S.C. 1320a-7a), the False Claims Act (31 U.S.C. 3729 et seq.), comparable state statutes, the regulations promulgated under all such statutes and the regulations issued by the FDA, consistent with the ‘Compliance Program Guidance for Pharmaceutical Manufacturers’ published by the Office of Inspector General, U.S. Department of Health and Human Services, (b) the applicable laws and regulations of the countries where it operates, including anti-bribery and anti-corruption laws, accounting and record keeping laws and laws relating to interactions with healthcare professionals or healthcare providers and Government Officials and (c) where appropriate GMP, GCP and GLP (or similar standards);</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8.3.2 Vertex will not engage directly or indirectly, in any capacity in connection with this Agreement any Person who either has been debarred by the FDA, is the subject of a conviction described in Section 306 of the FD&amp;C Act or is subject to any such similar sanction;</w:t>
      </w:r>
    </w:p>
    <w:p>
      <w:pPr>
        <w:spacing w:after="0" w:line="15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8.3.3 Vertex will inform Company in writing promptly if it or any Person engaged by Vertex or any of its Affiliates who is performing services under this Agreement or any ancillary agreements is debarred or is the subject of a conviction described in Section 306 of the FD&amp;C Act, or if any action, suit, claim, investigation or legal or administrative proceeding is pending or, to Vertex’s knowledge, is threatened, relating to the debarment or conviction of Vertex, any of its Affiliates or any such Person performing services hereunder or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395" w:right="339" w:bottom="1440" w:gutter="0" w:footer="0" w:header="0"/>
        </w:sectPr>
      </w:pPr>
    </w:p>
    <w:bookmarkStart w:id="365" w:name="page366"/>
    <w:bookmarkEnd w:id="365"/>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8.3.4 Vertex will be, will cause its Affiliates to be, in compliance with all applicable economics sanctions, import, and export control laws, regulations, and orders;</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8.3.5 with respect to any OSIF Technology, Licensed Agent, Product, payments or activities performed by Vertex in connection with this Agreement, Vertex will not take any action to unlawfully offer, promise, or pay, or authorize the offer or payment of, any money or anything of value in order to improperly or corruptly seek to influence any Government Official or any other person in order to gain an improper advantage, and will not accept any such unlawful payment;</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8.3.6 Vertex will not, and will cause its Affiliates not to, engage with or engage in any transaction, or otherwise deal with, any country or Person targeted by the United States, Europe or other relevant economic sanctions laws in connection with any activities contemplated under this Agreement;</w:t>
      </w:r>
    </w:p>
    <w:p>
      <w:pPr>
        <w:spacing w:after="0" w:line="15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8.3.7</w:t>
      </w:r>
      <w:r>
        <w:rPr>
          <w:sz w:val="20"/>
          <w:szCs w:val="20"/>
          <w:color w:val="auto"/>
        </w:rPr>
        <w:tab/>
      </w:r>
      <w:r>
        <w:rPr>
          <w:rFonts w:ascii="Times New Roman" w:cs="Times New Roman" w:eastAsia="Times New Roman" w:hAnsi="Times New Roman"/>
          <w:sz w:val="21"/>
          <w:szCs w:val="21"/>
          <w:color w:val="auto"/>
        </w:rPr>
        <w:t>Vertex will be, as between the Parties, solely responsible to ensure Compliance by it and its Affiliates; and</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8.3.8 Vertex will not, during the term of this Agreement, grant any rights in the Know-How and Patents Controlled by Vertex or its Affiliates that conflict or are inconsistent with the rights granted to Company under this Agreement or that would otherwise prevent Company from exercising its rights or performing its obligations under this Agreement.</w:t>
      </w:r>
    </w:p>
    <w:p>
      <w:pPr>
        <w:spacing w:after="0" w:line="140"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2"/>
          <w:szCs w:val="22"/>
          <w:b w:val="1"/>
          <w:bCs w:val="1"/>
          <w:color w:val="auto"/>
        </w:rPr>
        <w:t>8.4</w:t>
      </w:r>
      <w:r>
        <w:rPr>
          <w:sz w:val="20"/>
          <w:szCs w:val="20"/>
          <w:color w:val="auto"/>
        </w:rPr>
        <w:tab/>
      </w:r>
      <w:r>
        <w:rPr>
          <w:rFonts w:ascii="Times New Roman" w:cs="Times New Roman" w:eastAsia="Times New Roman" w:hAnsi="Times New Roman"/>
          <w:sz w:val="22"/>
          <w:szCs w:val="22"/>
          <w:b w:val="1"/>
          <w:bCs w:val="1"/>
          <w:u w:val="single" w:color="auto"/>
          <w:color w:val="auto"/>
        </w:rPr>
        <w:t>Company Covenants</w:t>
      </w:r>
      <w:r>
        <w:rPr>
          <w:rFonts w:ascii="Times New Roman" w:cs="Times New Roman" w:eastAsia="Times New Roman" w:hAnsi="Times New Roman"/>
          <w:sz w:val="22"/>
          <w:szCs w:val="22"/>
          <w:color w:val="auto"/>
        </w:rPr>
        <w:t>. Company hereby covenants to Vertex that, except as expressly permitted under this</w:t>
      </w: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55"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8.4.1 Company will, and will require its Affiliates and subcontractors to, comply with Applicable Law and accepted pharmaceutical industry business practices in conducting its activities hereunder, including (a) to the extent applicable to Company or its Affiliates or subcontractor, the FD&amp;C Act, the Anti-Kickback Statute (42 U.S.C. 1320a-7b), Civil Monetary Penalty Statute (42 U.S.C. 1320a-7a), the False Claims Act (31 U.S.C. 3729 et seq.), comparable state statutes, the regulations promulgated under all such statutes and the regulations issued by the FDA, consistent with the ‘Compliance Program Guidance for Pharmaceutical Manufacturers’ published by the Office of Inspector General, U.S. Department of Health and Human Services, (b) the applicable laws and regulations of the countries where it operates, including anti-bribery and anti-corruption laws, accounting and record keeping laws and laws relating to interactions with healthcare professionals or healthcare providers and Government Officials and (c) where appropriate GMP, GCP and GLP (or similar standards);</w:t>
      </w:r>
    </w:p>
    <w:p>
      <w:pPr>
        <w:spacing w:after="0" w:line="145"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22"/>
          <w:szCs w:val="22"/>
          <w:color w:val="auto"/>
        </w:rPr>
        <w:t>8.4.2</w:t>
        <w:tab/>
        <w:t>Company will maintain and not breach, and will cause its Affiliates to maintain and not breach, the OSIF</w:t>
      </w: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55"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8.4.3 Company will promptly notify Vertex in writing of any material breach by Company or its Affiliate or a Third Party of the OSIF Agreement, and will promptly notify Vertex in writing if Company or its Affiliate sends or receives a notice of material breach of the OSIF Agreement, and in the event of a breach by Company or its Affiliate, will permit Vertex to cure such breach on Company’s or its Affiliate’s behalf upon Vertex’s request;</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8.4.4 Company will not, and will cause its Affiliates not to, amend, modify or terminate the OSIF Agreement in a manner that would adversely affect Vertex’s rights hereunder without first obtaining Vertex’s written consent, which consent may be withheld in Vertex’s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395" w:right="339" w:bottom="1440" w:gutter="0" w:footer="0" w:header="0"/>
        </w:sectPr>
      </w:pPr>
    </w:p>
    <w:bookmarkStart w:id="366" w:name="page367"/>
    <w:bookmarkEnd w:id="366"/>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8.4.5 neither Company nor any of its Affiliates will effect any corporate restructuring or enter into any new agreement or otherwise obligate itself to any Third Party or Affiliate, or amend an existing agreement with a Third Party or Affiliate, in each case, in a manner that restricts, limits, or encumbers the rights granted to Vertex under this Agreement or the obligations of Company or its Affiliates under this Agreement;</w:t>
      </w:r>
    </w:p>
    <w:p>
      <w:pPr>
        <w:spacing w:after="0" w:line="152"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8.4.6 Company will not, and will cause its Affiliates not to (a) license, sell, assign or otherwise transfer to any Person any OSIF Technology (or agree to do any of the foregoing), (b) negotiate with, offer to, or grant any license to any Person, or (c) incur or permit to exist, with respect to any OSIF Technology, any lien, encumbrance, charge, security interest, mortgage, liability, grant of license to Third Parties or other restriction (including in connection with any indebtedness), in each case ((a) through (c)), that would conflict with, limit, impair or restrict the rights and licenses granted to Vertex hereunder or would cause any OSIF Technology to cease to be Controlled by Company;</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8.4.7 Company will be, and will cause its Affiliates to be, in compliance with all applicable economics sanctions, import, and export control laws, regulations, and orders;</w:t>
      </w:r>
    </w:p>
    <w:p>
      <w:pPr>
        <w:spacing w:after="0" w:line="150" w:lineRule="exact"/>
        <w:rPr>
          <w:sz w:val="20"/>
          <w:szCs w:val="20"/>
          <w:color w:val="auto"/>
        </w:rPr>
      </w:pPr>
    </w:p>
    <w:p>
      <w:pPr>
        <w:jc w:val="both"/>
        <w:ind w:firstLine="1296"/>
        <w:spacing w:after="0" w:line="231" w:lineRule="auto"/>
        <w:rPr>
          <w:sz w:val="20"/>
          <w:szCs w:val="20"/>
          <w:color w:val="auto"/>
        </w:rPr>
      </w:pPr>
      <w:r>
        <w:rPr>
          <w:rFonts w:ascii="Times New Roman" w:cs="Times New Roman" w:eastAsia="Times New Roman" w:hAnsi="Times New Roman"/>
          <w:sz w:val="21"/>
          <w:szCs w:val="21"/>
          <w:color w:val="auto"/>
        </w:rPr>
        <w:t>8.4.8 with respect to any OSIF Technology, Licensed Agent, Product, payments or activities performed by Company in connection with this Agreement, Company will not take any action to unlawfully offer, promise, or pay, or authorize the offer or payment of, any money or anything of value in order to improperly or corruptly seek to influence any Government Official or any other person in order to gain an improper advantage, and will not accept any such unlawful payment;</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8.4.9 Company will not, and will cause its Affiliates not to, engage with or engage in any transaction, or otherwise deal with, any country or Person targeted by the United States, Europe or other relevant economic sanctions laws in connection with any activities contemplated under this Agreement; and</w:t>
      </w:r>
    </w:p>
    <w:p>
      <w:pPr>
        <w:spacing w:after="0" w:line="153"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22"/>
          <w:szCs w:val="22"/>
          <w:color w:val="auto"/>
        </w:rPr>
        <w:t>8.4.10</w:t>
      </w:r>
      <w:r>
        <w:rPr>
          <w:sz w:val="20"/>
          <w:szCs w:val="20"/>
          <w:color w:val="auto"/>
        </w:rPr>
        <w:tab/>
      </w:r>
      <w:r>
        <w:rPr>
          <w:rFonts w:ascii="Times New Roman" w:cs="Times New Roman" w:eastAsia="Times New Roman" w:hAnsi="Times New Roman"/>
          <w:sz w:val="21"/>
          <w:szCs w:val="21"/>
          <w:color w:val="auto"/>
        </w:rPr>
        <w:t>Company will be, as between the Parties, solely responsible to ensure Compliance by it and its Affiliates.</w:t>
      </w:r>
    </w:p>
    <w:p>
      <w:pPr>
        <w:spacing w:after="0" w:line="175"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8.5 </w:t>
      </w:r>
      <w:r>
        <w:rPr>
          <w:rFonts w:ascii="Times New Roman" w:cs="Times New Roman" w:eastAsia="Times New Roman" w:hAnsi="Times New Roman"/>
          <w:sz w:val="22"/>
          <w:szCs w:val="22"/>
          <w:b w:val="1"/>
          <w:bCs w:val="1"/>
          <w:u w:val="single" w:color="auto"/>
          <w:color w:val="auto"/>
        </w:rPr>
        <w:t>Disclaimer</w:t>
      </w:r>
      <w:r>
        <w:rPr>
          <w:rFonts w:ascii="Times New Roman" w:cs="Times New Roman" w:eastAsia="Times New Roman" w:hAnsi="Times New Roman"/>
          <w:sz w:val="22"/>
          <w:szCs w:val="22"/>
          <w:color w:val="auto"/>
        </w:rPr>
        <w:t>. Except as otherwise expressly set forth in this Agreement, neither Party nor its Affiliates makes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representation or extends any warranty of any kind, either express or implied, including any warranty of merchantability or fitness for a particular purpose. Vertex and Company understand that each Product is the subject of ongoing Research and Development and that neither Party can assure the safety, usefulness or commercial or technical viability of any Product.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9</w:t>
      </w: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 INSURANCE; LIMITATIONS</w:t>
      </w:r>
    </w:p>
    <w:p>
      <w:pPr>
        <w:spacing w:after="0" w:line="151"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9.1</w:t>
      </w:r>
      <w:r>
        <w:rPr>
          <w:sz w:val="20"/>
          <w:szCs w:val="20"/>
          <w:color w:val="auto"/>
        </w:rPr>
        <w:tab/>
      </w:r>
      <w:r>
        <w:rPr>
          <w:rFonts w:ascii="Times New Roman" w:cs="Times New Roman" w:eastAsia="Times New Roman" w:hAnsi="Times New Roman"/>
          <w:sz w:val="21"/>
          <w:szCs w:val="21"/>
          <w:b w:val="1"/>
          <w:bCs w:val="1"/>
          <w:u w:val="single" w:color="auto"/>
          <w:color w:val="auto"/>
        </w:rPr>
        <w:t>Indemnification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color w:val="auto"/>
        </w:rPr>
        <w:t xml:space="preserve">9.1.1 </w:t>
      </w:r>
      <w:r>
        <w:rPr>
          <w:rFonts w:ascii="Times New Roman" w:cs="Times New Roman" w:eastAsia="Times New Roman" w:hAnsi="Times New Roman"/>
          <w:sz w:val="22"/>
          <w:szCs w:val="22"/>
          <w:b w:val="1"/>
          <w:bCs w:val="1"/>
          <w:color w:val="auto"/>
        </w:rPr>
        <w:t>Indemnification by Vertex</w:t>
      </w:r>
      <w:r>
        <w:rPr>
          <w:rFonts w:ascii="Times New Roman" w:cs="Times New Roman" w:eastAsia="Times New Roman" w:hAnsi="Times New Roman"/>
          <w:sz w:val="22"/>
          <w:szCs w:val="22"/>
          <w:color w:val="auto"/>
        </w:rPr>
        <w:t>. Subject to Section 9.1.3, Vertex will indemnify Company, its Affiliates, and its and its Affiliates’ employees, officers and directors (each, a “</w:t>
      </w:r>
      <w:r>
        <w:rPr>
          <w:rFonts w:ascii="Times New Roman" w:cs="Times New Roman" w:eastAsia="Times New Roman" w:hAnsi="Times New Roman"/>
          <w:sz w:val="22"/>
          <w:szCs w:val="22"/>
          <w:b w:val="1"/>
          <w:bCs w:val="1"/>
          <w:color w:val="auto"/>
        </w:rPr>
        <w:t>Company Indemnified Party</w:t>
      </w:r>
      <w:r>
        <w:rPr>
          <w:rFonts w:ascii="Times New Roman" w:cs="Times New Roman" w:eastAsia="Times New Roman" w:hAnsi="Times New Roman"/>
          <w:sz w:val="22"/>
          <w:szCs w:val="22"/>
          <w:color w:val="auto"/>
        </w:rPr>
        <w:t>”) from and against any liability, loss, damage or expense (including reasonable attorneys’ fees and expenses) (collectively, “</w:t>
      </w:r>
      <w:r>
        <w:rPr>
          <w:rFonts w:ascii="Times New Roman" w:cs="Times New Roman" w:eastAsia="Times New Roman" w:hAnsi="Times New Roman"/>
          <w:sz w:val="22"/>
          <w:szCs w:val="22"/>
          <w:b w:val="1"/>
          <w:bCs w:val="1"/>
          <w:color w:val="auto"/>
        </w:rPr>
        <w:t>Liability</w:t>
      </w:r>
      <w:r>
        <w:rPr>
          <w:rFonts w:ascii="Times New Roman" w:cs="Times New Roman" w:eastAsia="Times New Roman" w:hAnsi="Times New Roman"/>
          <w:sz w:val="22"/>
          <w:szCs w:val="22"/>
          <w:color w:val="auto"/>
        </w:rPr>
        <w:t>”) that the Company Indemnified Party may incur or otherwise be required to pay to one or more Third Parties in connection with any Third Party suit, investigation, claim or demand resulting from or arising out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395" w:right="339" w:bottom="1440" w:gutter="0" w:footer="0" w:header="0"/>
        </w:sectPr>
      </w:pPr>
    </w:p>
    <w:bookmarkStart w:id="367" w:name="page368"/>
    <w:bookmarkEnd w:id="367"/>
    <w:p>
      <w:pPr>
        <w:ind w:left="2400" w:hanging="448"/>
        <w:spacing w:after="0"/>
        <w:tabs>
          <w:tab w:leader="none" w:pos="2400"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Exploitation of any Licensed Agent or Product by, on behalf of, or under the authority of, Vertex;</w:t>
      </w:r>
    </w:p>
    <w:p>
      <w:pPr>
        <w:spacing w:after="0" w:line="177" w:lineRule="exact"/>
        <w:rPr>
          <w:rFonts w:ascii="Times New Roman" w:cs="Times New Roman" w:eastAsia="Times New Roman" w:hAnsi="Times New Roman"/>
          <w:sz w:val="21"/>
          <w:szCs w:val="21"/>
          <w:color w:val="auto"/>
        </w:rPr>
      </w:pPr>
    </w:p>
    <w:p>
      <w:pPr>
        <w:ind w:left="2640" w:hanging="688"/>
        <w:spacing w:after="0"/>
        <w:tabs>
          <w:tab w:leader="none" w:pos="264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breach by Vertex of any of its representations, warranties or covenants set forth in this</w:t>
      </w: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 or</w:t>
      </w:r>
    </w:p>
    <w:p>
      <w:pPr>
        <w:spacing w:after="0" w:line="155"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gross negligence or willful misconduct of Vertex or any Vertex Indemnified Party;</w:t>
      </w:r>
    </w:p>
    <w:p>
      <w:pPr>
        <w:spacing w:after="0" w:line="1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and except, in each case ((a)-(c)), to the extent such claim results from or arises out of an event described in clause (a) through (b) of Section 9.1.2, as to such claim each Party will indemnify the other to the extent of their respective liability.</w:t>
      </w:r>
    </w:p>
    <w:p>
      <w:pPr>
        <w:spacing w:after="0" w:line="146"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color w:val="auto"/>
        </w:rPr>
        <w:t xml:space="preserve">9.1.2 </w:t>
      </w:r>
      <w:r>
        <w:rPr>
          <w:rFonts w:ascii="Times New Roman" w:cs="Times New Roman" w:eastAsia="Times New Roman" w:hAnsi="Times New Roman"/>
          <w:sz w:val="22"/>
          <w:szCs w:val="22"/>
          <w:b w:val="1"/>
          <w:bCs w:val="1"/>
          <w:color w:val="auto"/>
        </w:rPr>
        <w:t>Indemnification by Company</w:t>
      </w:r>
      <w:r>
        <w:rPr>
          <w:rFonts w:ascii="Times New Roman" w:cs="Times New Roman" w:eastAsia="Times New Roman" w:hAnsi="Times New Roman"/>
          <w:sz w:val="22"/>
          <w:szCs w:val="22"/>
          <w:color w:val="auto"/>
        </w:rPr>
        <w:t>. Subject to Section 9.1.3, Company will indemnify Vertex, its Affiliates and its and its Affiliates’ employees, officers and directors, Sublicensees and Distributors (each, a “</w:t>
      </w:r>
      <w:r>
        <w:rPr>
          <w:rFonts w:ascii="Times New Roman" w:cs="Times New Roman" w:eastAsia="Times New Roman" w:hAnsi="Times New Roman"/>
          <w:sz w:val="22"/>
          <w:szCs w:val="22"/>
          <w:b w:val="1"/>
          <w:bCs w:val="1"/>
          <w:color w:val="auto"/>
        </w:rPr>
        <w:t>Vertex Indemnified Party</w:t>
      </w:r>
      <w:r>
        <w:rPr>
          <w:rFonts w:ascii="Times New Roman" w:cs="Times New Roman" w:eastAsia="Times New Roman" w:hAnsi="Times New Roman"/>
          <w:sz w:val="22"/>
          <w:szCs w:val="22"/>
          <w:color w:val="auto"/>
        </w:rPr>
        <w:t>”) from and against any Liability that the Vertex Indemnified Party may incur or otherwise be required to pay to one or more Third Parties in connection with any Third Party suit, investigation, claim or demand resulting from or arising out of:</w:t>
      </w:r>
    </w:p>
    <w:p>
      <w:pPr>
        <w:spacing w:after="0" w:line="139" w:lineRule="exact"/>
        <w:rPr>
          <w:sz w:val="20"/>
          <w:szCs w:val="20"/>
          <w:color w:val="auto"/>
        </w:rPr>
      </w:pPr>
    </w:p>
    <w:p>
      <w:pPr>
        <w:ind w:left="2580" w:hanging="628"/>
        <w:spacing w:after="0"/>
        <w:tabs>
          <w:tab w:leader="none" w:pos="258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breach by Company of any of its representations, warranties or covenants set forth in this</w:t>
      </w: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 or</w:t>
      </w:r>
    </w:p>
    <w:p>
      <w:pPr>
        <w:spacing w:after="0" w:line="155"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gross negligence or willful misconduct of Company or any Company Indemnified Party;</w:t>
      </w:r>
    </w:p>
    <w:p>
      <w:pPr>
        <w:spacing w:after="0" w:line="1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and except, in each case ((a)-(b)), to the extent such claim results from or arises out of an event described in clause (a) through (c) of Section 9.1.1, as to such claim each Party will indemnify the other to the extent of their respective liability.</w:t>
      </w:r>
    </w:p>
    <w:p>
      <w:pPr>
        <w:spacing w:after="0" w:line="146"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1"/>
          <w:szCs w:val="21"/>
          <w:color w:val="auto"/>
        </w:rPr>
        <w:t xml:space="preserve">9.1.3 </w:t>
      </w:r>
      <w:r>
        <w:rPr>
          <w:rFonts w:ascii="Times New Roman" w:cs="Times New Roman" w:eastAsia="Times New Roman" w:hAnsi="Times New Roman"/>
          <w:sz w:val="21"/>
          <w:szCs w:val="21"/>
          <w:b w:val="1"/>
          <w:bCs w:val="1"/>
          <w:color w:val="auto"/>
        </w:rPr>
        <w:t>Procedure</w:t>
      </w:r>
      <w:r>
        <w:rPr>
          <w:rFonts w:ascii="Times New Roman" w:cs="Times New Roman" w:eastAsia="Times New Roman" w:hAnsi="Times New Roman"/>
          <w:sz w:val="21"/>
          <w:szCs w:val="21"/>
          <w:color w:val="auto"/>
        </w:rPr>
        <w:t>. Each Party will notify the other Party in writing if it becomes aware of a claim for which such Party may seek indemnification hereunder. If any Proceeding is instituted against a Party (or another Company Indemnified Party in the case of Company or another Vertex Indemnified Party in the case of Vertex) with respect to which indemnity may be sought pursuant to Section 9.1.1 or 9.1.2, as applicable, such Party (the “</w:t>
      </w:r>
      <w:r>
        <w:rPr>
          <w:rFonts w:ascii="Times New Roman" w:cs="Times New Roman" w:eastAsia="Times New Roman" w:hAnsi="Times New Roman"/>
          <w:sz w:val="21"/>
          <w:szCs w:val="21"/>
          <w:b w:val="1"/>
          <w:bCs w:val="1"/>
          <w:color w:val="auto"/>
        </w:rPr>
        <w:t>Indemnified Party</w:t>
      </w:r>
      <w:r>
        <w:rPr>
          <w:rFonts w:ascii="Times New Roman" w:cs="Times New Roman" w:eastAsia="Times New Roman" w:hAnsi="Times New Roman"/>
          <w:sz w:val="21"/>
          <w:szCs w:val="21"/>
          <w:color w:val="auto"/>
        </w:rPr>
        <w:t>”) will give prompt written notice of the indemnity claim to the other Party (the “</w:t>
      </w:r>
      <w:r>
        <w:rPr>
          <w:rFonts w:ascii="Times New Roman" w:cs="Times New Roman" w:eastAsia="Times New Roman" w:hAnsi="Times New Roman"/>
          <w:sz w:val="21"/>
          <w:szCs w:val="21"/>
          <w:b w:val="1"/>
          <w:bCs w:val="1"/>
          <w:color w:val="auto"/>
        </w:rPr>
        <w:t>Indemnifying Party</w:t>
      </w:r>
      <w:r>
        <w:rPr>
          <w:rFonts w:ascii="Times New Roman" w:cs="Times New Roman" w:eastAsia="Times New Roman" w:hAnsi="Times New Roman"/>
          <w:sz w:val="21"/>
          <w:szCs w:val="21"/>
          <w:color w:val="auto"/>
        </w:rPr>
        <w:t xml:space="preserve">”) and provide the Indemnifying Party with a copy of any complaint, summons or other written notice that the Company Indemnified Party or Vertex Indemnified Party, as applicable, receives in connection with any such claim. An Indemnified Party’s failure to deliver such written notice will relieve the Indemnifying Party of liability to the Company Indemnified Party or Vertex Indemnified Party under Section 9.1.1 or 9.1.2, as applicable, only to the extent such delay is prejudicial to the Indemnifying Party’s ability to defend such claim;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Indemnifying Party is not contesting the indemnity obligation, the Company Indemnified Party or Vertex Indemnified Party, as applicable, will permit the Indemnifying Party to control any litigation relating to such claim and the disposition of such claim by negotiated settlement or otherwise (subject to this Section 9.1) and any failure to contest such obligation prior to assuming control will be deemed to be an admission of the obligation to indemnify. The Indemnifying Party will act reasonably and in good faith with respect to all matters relating to such claim and will not settle or otherwise resolve such claim without the prior written consent of the Company Indemnified Party or Vertex Indemnified Party, as applicable, which will not be unreasonably withheld, conditioned or delayed;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consent will not be required with respect to any settlement involving only the payment of monetary awards for which the Indemnifying Party will be fully responsible. The Indemnified Party will cooperate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395" w:right="339" w:bottom="1440" w:gutter="0" w:footer="0" w:header="0"/>
        </w:sectPr>
      </w:pPr>
    </w:p>
    <w:bookmarkStart w:id="368" w:name="page369"/>
    <w:bookmarkEnd w:id="368"/>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Indemnifying Party in the Indemnifying Party’s defense of any claim for which indemnity is sought under this Agreement, at the Indemnifying Party’s cost and expense.</w:t>
      </w:r>
    </w:p>
    <w:p>
      <w:pPr>
        <w:spacing w:after="0" w:line="146" w:lineRule="exact"/>
        <w:rPr>
          <w:sz w:val="20"/>
          <w:szCs w:val="20"/>
          <w:color w:val="auto"/>
        </w:rPr>
      </w:pPr>
    </w:p>
    <w:p>
      <w:pPr>
        <w:jc w:val="both"/>
        <w:ind w:right="20"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9.2 </w:t>
      </w:r>
      <w:r>
        <w:rPr>
          <w:rFonts w:ascii="Times New Roman" w:cs="Times New Roman" w:eastAsia="Times New Roman" w:hAnsi="Times New Roman"/>
          <w:sz w:val="22"/>
          <w:szCs w:val="22"/>
          <w:b w:val="1"/>
          <w:bCs w:val="1"/>
          <w:u w:val="single" w:color="auto"/>
          <w:color w:val="auto"/>
        </w:rPr>
        <w:t>Insurance</w:t>
      </w:r>
      <w:r>
        <w:rPr>
          <w:rFonts w:ascii="Times New Roman" w:cs="Times New Roman" w:eastAsia="Times New Roman" w:hAnsi="Times New Roman"/>
          <w:sz w:val="22"/>
          <w:szCs w:val="22"/>
          <w:color w:val="auto"/>
        </w:rPr>
        <w:t>. Throughout the Term and for [***] thereafter, each Party will respectively, at its cost, obtain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maintain the insurance coverage listed below, each naming the other Party and its Indemnified Parties as additional insureds, from insurance carriers licensed to do business under the laws of the country, state, commonwealth, province or territory in which such Party’s obligations are provided, with insurers that carry a rating of at least an A-VII or better from A.M. Best. In addition, Vertex will use commercially reasonable efforts to have OSIF, OSU and their respective Affiliates, officers, directors and employees named as additional insureds to its commercial general liability insurance. Each Party will furnish to the other Party evidence of such insurance upon request. Notwithstanding the foregoing, Vertex may self-insure to the extent that it self-insures for its other activities.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480" w:type="dxa"/>
            <w:vAlign w:val="bottom"/>
            <w:tcBorders>
              <w:top w:val="single" w:sz="8" w:color="auto"/>
              <w:left w:val="single" w:sz="8" w:color="auto"/>
              <w:right w:val="single" w:sz="8" w:color="auto"/>
            </w:tcBorders>
            <w:vMerge w:val="restart"/>
            <w:shd w:val="clear" w:color="auto" w:fill="BFBFBF"/>
          </w:tcPr>
          <w:p>
            <w:pPr>
              <w:ind w:left="520"/>
              <w:spacing w:after="0"/>
              <w:rPr>
                <w:sz w:val="20"/>
                <w:szCs w:val="20"/>
                <w:color w:val="auto"/>
              </w:rPr>
            </w:pPr>
            <w:r>
              <w:rPr>
                <w:rFonts w:ascii="Times New Roman" w:cs="Times New Roman" w:eastAsia="Times New Roman" w:hAnsi="Times New Roman"/>
                <w:sz w:val="22"/>
                <w:szCs w:val="22"/>
                <w:b w:val="1"/>
                <w:bCs w:val="1"/>
                <w:color w:val="auto"/>
              </w:rPr>
              <w:t>Insurance Type</w:t>
            </w:r>
          </w:p>
        </w:tc>
        <w:tc>
          <w:tcPr>
            <w:tcW w:w="2200" w:type="dxa"/>
            <w:vAlign w:val="bottom"/>
            <w:tcBorders>
              <w:top w:val="single" w:sz="8" w:color="auto"/>
              <w:right w:val="single" w:sz="8" w:color="auto"/>
            </w:tcBorders>
            <w:vMerge w:val="restart"/>
            <w:shd w:val="clear" w:color="auto" w:fill="BFBFBF"/>
          </w:tcPr>
          <w:p>
            <w:pPr>
              <w:ind w:left="300"/>
              <w:spacing w:after="0"/>
              <w:rPr>
                <w:sz w:val="20"/>
                <w:szCs w:val="20"/>
                <w:color w:val="auto"/>
              </w:rPr>
            </w:pPr>
            <w:r>
              <w:rPr>
                <w:rFonts w:ascii="Times New Roman" w:cs="Times New Roman" w:eastAsia="Times New Roman" w:hAnsi="Times New Roman"/>
                <w:sz w:val="22"/>
                <w:szCs w:val="22"/>
                <w:b w:val="1"/>
                <w:bCs w:val="1"/>
                <w:color w:val="auto"/>
              </w:rPr>
              <w:t>Minimum Limits</w:t>
            </w:r>
          </w:p>
        </w:tc>
        <w:tc>
          <w:tcPr>
            <w:tcW w:w="4060" w:type="dxa"/>
            <w:vAlign w:val="bottom"/>
            <w:tcBorders>
              <w:top w:val="single" w:sz="8" w:color="auto"/>
              <w:right w:val="single" w:sz="8" w:color="auto"/>
            </w:tcBorders>
            <w:vMerge w:val="restart"/>
            <w:shd w:val="clear" w:color="auto" w:fill="BFBFBF"/>
          </w:tcPr>
          <w:p>
            <w:pPr>
              <w:ind w:left="1100"/>
              <w:spacing w:after="0"/>
              <w:rPr>
                <w:sz w:val="20"/>
                <w:szCs w:val="20"/>
                <w:color w:val="auto"/>
              </w:rPr>
            </w:pPr>
            <w:r>
              <w:rPr>
                <w:rFonts w:ascii="Times New Roman" w:cs="Times New Roman" w:eastAsia="Times New Roman" w:hAnsi="Times New Roman"/>
                <w:sz w:val="22"/>
                <w:szCs w:val="22"/>
                <w:b w:val="1"/>
                <w:bCs w:val="1"/>
                <w:color w:val="auto"/>
              </w:rPr>
              <w:t>Minimum Coverage</w:t>
            </w:r>
          </w:p>
        </w:tc>
        <w:tc>
          <w:tcPr>
            <w:tcW w:w="2520" w:type="dxa"/>
            <w:vAlign w:val="bottom"/>
            <w:tcBorders>
              <w:top w:val="single" w:sz="8" w:color="auto"/>
              <w:right w:val="single" w:sz="8" w:color="auto"/>
            </w:tcBorders>
            <w:shd w:val="clear" w:color="auto" w:fill="BFBFBF"/>
          </w:tcPr>
          <w:p>
            <w:pPr>
              <w:ind w:left="260"/>
              <w:spacing w:after="0" w:line="216" w:lineRule="exact"/>
              <w:rPr>
                <w:sz w:val="20"/>
                <w:szCs w:val="20"/>
                <w:color w:val="auto"/>
              </w:rPr>
            </w:pPr>
            <w:r>
              <w:rPr>
                <w:rFonts w:ascii="Times New Roman" w:cs="Times New Roman" w:eastAsia="Times New Roman" w:hAnsi="Times New Roman"/>
                <w:sz w:val="22"/>
                <w:szCs w:val="22"/>
                <w:b w:val="1"/>
                <w:bCs w:val="1"/>
                <w:color w:val="auto"/>
              </w:rPr>
              <w:t>Respectively Must Be</w:t>
            </w:r>
          </w:p>
        </w:tc>
        <w:tc>
          <w:tcPr>
            <w:tcW w:w="0" w:type="dxa"/>
            <w:vAlign w:val="bottom"/>
          </w:tcPr>
          <w:p>
            <w:pPr>
              <w:spacing w:after="0"/>
              <w:rPr>
                <w:sz w:val="1"/>
                <w:szCs w:val="1"/>
                <w:color w:val="auto"/>
              </w:rPr>
            </w:pPr>
          </w:p>
        </w:tc>
      </w:tr>
      <w:tr>
        <w:trPr>
          <w:trHeight w:val="174"/>
        </w:trPr>
        <w:tc>
          <w:tcPr>
            <w:tcW w:w="2480" w:type="dxa"/>
            <w:vAlign w:val="bottom"/>
            <w:tcBorders>
              <w:left w:val="single" w:sz="8" w:color="auto"/>
              <w:right w:val="single" w:sz="8" w:color="auto"/>
            </w:tcBorders>
            <w:vMerge w:val="continue"/>
            <w:shd w:val="clear" w:color="auto" w:fill="BFBFBF"/>
          </w:tcPr>
          <w:p>
            <w:pPr>
              <w:spacing w:after="0"/>
              <w:rPr>
                <w:sz w:val="15"/>
                <w:szCs w:val="15"/>
                <w:color w:val="auto"/>
              </w:rPr>
            </w:pPr>
          </w:p>
        </w:tc>
        <w:tc>
          <w:tcPr>
            <w:tcW w:w="2200" w:type="dxa"/>
            <w:vAlign w:val="bottom"/>
            <w:tcBorders>
              <w:right w:val="single" w:sz="8" w:color="auto"/>
            </w:tcBorders>
            <w:vMerge w:val="continue"/>
            <w:shd w:val="clear" w:color="auto" w:fill="BFBFBF"/>
          </w:tcPr>
          <w:p>
            <w:pPr>
              <w:spacing w:after="0"/>
              <w:rPr>
                <w:sz w:val="15"/>
                <w:szCs w:val="15"/>
                <w:color w:val="auto"/>
              </w:rPr>
            </w:pPr>
          </w:p>
        </w:tc>
        <w:tc>
          <w:tcPr>
            <w:tcW w:w="4060" w:type="dxa"/>
            <w:vAlign w:val="bottom"/>
            <w:tcBorders>
              <w:right w:val="single" w:sz="8" w:color="auto"/>
            </w:tcBorders>
            <w:vMerge w:val="continue"/>
            <w:shd w:val="clear" w:color="auto" w:fill="BFBFBF"/>
          </w:tcPr>
          <w:p>
            <w:pPr>
              <w:spacing w:after="0"/>
              <w:rPr>
                <w:sz w:val="15"/>
                <w:szCs w:val="15"/>
                <w:color w:val="auto"/>
              </w:rPr>
            </w:pPr>
          </w:p>
        </w:tc>
        <w:tc>
          <w:tcPr>
            <w:tcW w:w="2520" w:type="dxa"/>
            <w:vAlign w:val="bottom"/>
            <w:tcBorders>
              <w:right w:val="single" w:sz="8" w:color="auto"/>
            </w:tcBorders>
            <w:vMerge w:val="restart"/>
            <w:shd w:val="clear" w:color="auto" w:fill="BFBFBF"/>
          </w:tcPr>
          <w:p>
            <w:pPr>
              <w:ind w:left="560"/>
              <w:spacing w:after="0"/>
              <w:rPr>
                <w:sz w:val="20"/>
                <w:szCs w:val="20"/>
                <w:color w:val="auto"/>
              </w:rPr>
            </w:pPr>
            <w:r>
              <w:rPr>
                <w:rFonts w:ascii="Times New Roman" w:cs="Times New Roman" w:eastAsia="Times New Roman" w:hAnsi="Times New Roman"/>
                <w:sz w:val="22"/>
                <w:szCs w:val="22"/>
                <w:b w:val="1"/>
                <w:bCs w:val="1"/>
                <w:color w:val="auto"/>
              </w:rPr>
              <w:t>Maintained By</w:t>
            </w:r>
          </w:p>
        </w:tc>
        <w:tc>
          <w:tcPr>
            <w:tcW w:w="0" w:type="dxa"/>
            <w:vAlign w:val="bottom"/>
          </w:tcPr>
          <w:p>
            <w:pPr>
              <w:spacing w:after="0"/>
              <w:rPr>
                <w:sz w:val="1"/>
                <w:szCs w:val="1"/>
                <w:color w:val="auto"/>
              </w:rPr>
            </w:pPr>
          </w:p>
        </w:tc>
      </w:tr>
      <w:tr>
        <w:trPr>
          <w:trHeight w:val="109"/>
        </w:trPr>
        <w:tc>
          <w:tcPr>
            <w:tcW w:w="2480" w:type="dxa"/>
            <w:vAlign w:val="bottom"/>
            <w:tcBorders>
              <w:left w:val="single" w:sz="8" w:color="auto"/>
              <w:bottom w:val="single" w:sz="8" w:color="auto"/>
              <w:right w:val="single" w:sz="8" w:color="auto"/>
            </w:tcBorders>
            <w:shd w:val="clear" w:color="auto" w:fill="BFBFBF"/>
          </w:tcPr>
          <w:p>
            <w:pPr>
              <w:spacing w:after="0"/>
              <w:rPr>
                <w:sz w:val="9"/>
                <w:szCs w:val="9"/>
                <w:color w:val="auto"/>
              </w:rPr>
            </w:pPr>
          </w:p>
        </w:tc>
        <w:tc>
          <w:tcPr>
            <w:tcW w:w="2200" w:type="dxa"/>
            <w:vAlign w:val="bottom"/>
            <w:tcBorders>
              <w:bottom w:val="single" w:sz="8" w:color="auto"/>
              <w:right w:val="single" w:sz="8" w:color="auto"/>
            </w:tcBorders>
            <w:shd w:val="clear" w:color="auto" w:fill="BFBFBF"/>
          </w:tcPr>
          <w:p>
            <w:pPr>
              <w:spacing w:after="0"/>
              <w:rPr>
                <w:sz w:val="9"/>
                <w:szCs w:val="9"/>
                <w:color w:val="auto"/>
              </w:rPr>
            </w:pPr>
          </w:p>
        </w:tc>
        <w:tc>
          <w:tcPr>
            <w:tcW w:w="4060" w:type="dxa"/>
            <w:vAlign w:val="bottom"/>
            <w:tcBorders>
              <w:bottom w:val="single" w:sz="8" w:color="auto"/>
              <w:right w:val="single" w:sz="8" w:color="auto"/>
            </w:tcBorders>
            <w:shd w:val="clear" w:color="auto" w:fill="BFBFBF"/>
          </w:tcPr>
          <w:p>
            <w:pPr>
              <w:spacing w:after="0"/>
              <w:rPr>
                <w:sz w:val="9"/>
                <w:szCs w:val="9"/>
                <w:color w:val="auto"/>
              </w:rPr>
            </w:pPr>
          </w:p>
        </w:tc>
        <w:tc>
          <w:tcPr>
            <w:tcW w:w="2520" w:type="dxa"/>
            <w:vAlign w:val="bottom"/>
            <w:tcBorders>
              <w:bottom w:val="single" w:sz="8" w:color="auto"/>
              <w:right w:val="single" w:sz="8" w:color="auto"/>
            </w:tcBorders>
            <w:vMerge w:val="continue"/>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480" w:type="dxa"/>
            <w:vAlign w:val="bottom"/>
            <w:tcBorders>
              <w:left w:val="single" w:sz="8" w:color="auto"/>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rPr>
              <w:t>Network Security and</w:t>
            </w:r>
          </w:p>
        </w:tc>
        <w:tc>
          <w:tcPr>
            <w:tcW w:w="2200" w:type="dxa"/>
            <w:vAlign w:val="bottom"/>
            <w:tcBorders>
              <w:right w:val="single" w:sz="8" w:color="auto"/>
            </w:tcBorders>
          </w:tcPr>
          <w:p>
            <w:pPr>
              <w:ind w:left="40"/>
              <w:spacing w:after="0" w:line="196" w:lineRule="exact"/>
              <w:rPr>
                <w:sz w:val="20"/>
                <w:szCs w:val="20"/>
                <w:color w:val="auto"/>
              </w:rPr>
            </w:pPr>
            <w:r>
              <w:rPr>
                <w:rFonts w:ascii="Times New Roman" w:cs="Times New Roman" w:eastAsia="Times New Roman" w:hAnsi="Times New Roman"/>
                <w:sz w:val="22"/>
                <w:szCs w:val="22"/>
                <w:color w:val="auto"/>
              </w:rPr>
              <w:t>$[***] per claim/</w:t>
            </w:r>
          </w:p>
        </w:tc>
        <w:tc>
          <w:tcPr>
            <w:tcW w:w="4060" w:type="dxa"/>
            <w:vAlign w:val="bottom"/>
            <w:tcBorders>
              <w:right w:val="single" w:sz="8" w:color="auto"/>
            </w:tcBorders>
          </w:tcPr>
          <w:p>
            <w:pPr>
              <w:ind w:left="40"/>
              <w:spacing w:after="0" w:line="196" w:lineRule="exact"/>
              <w:rPr>
                <w:sz w:val="20"/>
                <w:szCs w:val="20"/>
                <w:color w:val="auto"/>
              </w:rPr>
            </w:pPr>
            <w:r>
              <w:rPr>
                <w:rFonts w:ascii="Times New Roman" w:cs="Times New Roman" w:eastAsia="Times New Roman" w:hAnsi="Times New Roman"/>
                <w:sz w:val="22"/>
                <w:szCs w:val="22"/>
                <w:color w:val="auto"/>
              </w:rPr>
              <w:t>Coverage for all acts, errors, omissions,</w:t>
            </w:r>
          </w:p>
        </w:tc>
        <w:tc>
          <w:tcPr>
            <w:tcW w:w="2520" w:type="dxa"/>
            <w:vAlign w:val="bottom"/>
            <w:tcBorders>
              <w:right w:val="single" w:sz="8" w:color="auto"/>
            </w:tcBorders>
          </w:tcPr>
          <w:p>
            <w:pPr>
              <w:ind w:left="40"/>
              <w:spacing w:after="0" w:line="196"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Privacy Liability</w:t>
            </w:r>
          </w:p>
        </w:tc>
        <w:tc>
          <w:tcPr>
            <w:tcW w:w="2200" w:type="dxa"/>
            <w:vAlign w:val="bottom"/>
            <w:tcBorders>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w w:val="99"/>
              </w:rPr>
              <w:t>$[***] annual aggregate</w:t>
            </w:r>
          </w:p>
        </w:tc>
        <w:tc>
          <w:tcPr>
            <w:tcW w:w="4060" w:type="dxa"/>
            <w:vAlign w:val="bottom"/>
            <w:tcBorders>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rPr>
              <w:t>negligence, network security and privacy</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4060" w:type="dxa"/>
            <w:vAlign w:val="bottom"/>
            <w:tcBorders>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rPr>
              <w:t>risks, including but not limited to</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4060" w:type="dxa"/>
            <w:vAlign w:val="bottom"/>
            <w:tcBorders>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rPr>
              <w:t>unauthorized access, failure of security,</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4060" w:type="dxa"/>
            <w:vAlign w:val="bottom"/>
            <w:tcBorders>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rPr>
              <w:t>breach of privacy perils, wrongful disclosure</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4060" w:type="dxa"/>
            <w:vAlign w:val="bottom"/>
            <w:tcBorders>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rPr>
              <w:t>of data, disclosure of HIPAA / GDPR</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4060" w:type="dxa"/>
            <w:vAlign w:val="bottom"/>
            <w:tcBorders>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rPr>
              <w:t>protected health information, collection, or</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4060" w:type="dxa"/>
            <w:vAlign w:val="bottom"/>
            <w:tcBorders>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rPr>
              <w:t>other negligence in the handling of</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4060" w:type="dxa"/>
            <w:vAlign w:val="bottom"/>
            <w:tcBorders>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rPr>
              <w:t>confidential information, privacy perils, and</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4060" w:type="dxa"/>
            <w:vAlign w:val="bottom"/>
            <w:tcBorders>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rPr>
              <w:t>including coverage for related regulatory</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480" w:type="dxa"/>
            <w:vAlign w:val="bottom"/>
            <w:tcBorders>
              <w:left w:val="single" w:sz="8" w:color="auto"/>
              <w:bottom w:val="single" w:sz="8" w:color="auto"/>
              <w:right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40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defense and penalties</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480" w:type="dxa"/>
            <w:vAlign w:val="bottom"/>
            <w:tcBorders>
              <w:left w:val="single" w:sz="8" w:color="auto"/>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Workers Compensation</w:t>
            </w:r>
          </w:p>
        </w:tc>
        <w:tc>
          <w:tcPr>
            <w:tcW w:w="2200" w:type="dxa"/>
            <w:vAlign w:val="bottom"/>
            <w:tcBorders>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Statutory</w:t>
            </w:r>
          </w:p>
        </w:tc>
        <w:tc>
          <w:tcPr>
            <w:tcW w:w="4060" w:type="dxa"/>
            <w:vAlign w:val="bottom"/>
            <w:tcBorders>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Statutory</w:t>
            </w:r>
          </w:p>
        </w:tc>
        <w:tc>
          <w:tcPr>
            <w:tcW w:w="2520" w:type="dxa"/>
            <w:vAlign w:val="bottom"/>
            <w:tcBorders>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Both Parties as of the</w:t>
            </w:r>
          </w:p>
        </w:tc>
        <w:tc>
          <w:tcPr>
            <w:tcW w:w="0" w:type="dxa"/>
            <w:vAlign w:val="bottom"/>
          </w:tcPr>
          <w:p>
            <w:pPr>
              <w:spacing w:after="0"/>
              <w:rPr>
                <w:sz w:val="1"/>
                <w:szCs w:val="1"/>
                <w:color w:val="auto"/>
              </w:rPr>
            </w:pPr>
          </w:p>
        </w:tc>
      </w:tr>
      <w:tr>
        <w:trPr>
          <w:trHeight w:val="283"/>
        </w:trPr>
        <w:tc>
          <w:tcPr>
            <w:tcW w:w="2480" w:type="dxa"/>
            <w:vAlign w:val="bottom"/>
            <w:tcBorders>
              <w:left w:val="single" w:sz="8" w:color="auto"/>
              <w:bottom w:val="single" w:sz="8" w:color="auto"/>
              <w:right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4060" w:type="dxa"/>
            <w:vAlign w:val="bottom"/>
            <w:tcBorders>
              <w:bottom w:val="single" w:sz="8" w:color="auto"/>
              <w:right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Effective Date</w:t>
            </w:r>
          </w:p>
        </w:tc>
        <w:tc>
          <w:tcPr>
            <w:tcW w:w="0" w:type="dxa"/>
            <w:vAlign w:val="bottom"/>
          </w:tcPr>
          <w:p>
            <w:pPr>
              <w:spacing w:after="0"/>
              <w:rPr>
                <w:sz w:val="1"/>
                <w:szCs w:val="1"/>
                <w:color w:val="auto"/>
              </w:rPr>
            </w:pPr>
          </w:p>
        </w:tc>
      </w:tr>
      <w:tr>
        <w:trPr>
          <w:trHeight w:val="197"/>
        </w:trPr>
        <w:tc>
          <w:tcPr>
            <w:tcW w:w="2480" w:type="dxa"/>
            <w:vAlign w:val="bottom"/>
            <w:tcBorders>
              <w:left w:val="single" w:sz="8" w:color="auto"/>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Commercial General</w:t>
            </w:r>
          </w:p>
        </w:tc>
        <w:tc>
          <w:tcPr>
            <w:tcW w:w="2200" w:type="dxa"/>
            <w:vAlign w:val="bottom"/>
            <w:tcBorders>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 per occurrence/</w:t>
            </w:r>
          </w:p>
        </w:tc>
        <w:tc>
          <w:tcPr>
            <w:tcW w:w="4060" w:type="dxa"/>
            <w:vAlign w:val="bottom"/>
            <w:tcBorders>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Coverage arising from premises, operations,</w:t>
            </w:r>
          </w:p>
        </w:tc>
        <w:tc>
          <w:tcPr>
            <w:tcW w:w="2520" w:type="dxa"/>
            <w:vAlign w:val="bottom"/>
            <w:tcBorders>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Both Parties as of the</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Liability</w:t>
            </w:r>
          </w:p>
        </w:tc>
        <w:tc>
          <w:tcPr>
            <w:tcW w:w="2200" w:type="dxa"/>
            <w:vAlign w:val="bottom"/>
            <w:tcBorders>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w w:val="99"/>
              </w:rPr>
              <w:t>$[***] annual aggregate</w:t>
            </w:r>
          </w:p>
        </w:tc>
        <w:tc>
          <w:tcPr>
            <w:tcW w:w="4060" w:type="dxa"/>
            <w:vAlign w:val="bottom"/>
            <w:tcBorders>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rPr>
              <w:t>personal injury, advertising injury, bodily</w:t>
            </w:r>
          </w:p>
        </w:tc>
        <w:tc>
          <w:tcPr>
            <w:tcW w:w="2520" w:type="dxa"/>
            <w:vAlign w:val="bottom"/>
            <w:tcBorders>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rPr>
              <w:t>Effective Date</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4060" w:type="dxa"/>
            <w:vAlign w:val="bottom"/>
            <w:tcBorders>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rPr>
              <w:t>injury and property damage, including</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480" w:type="dxa"/>
            <w:vAlign w:val="bottom"/>
            <w:tcBorders>
              <w:left w:val="single" w:sz="8" w:color="auto"/>
              <w:bottom w:val="single" w:sz="8" w:color="auto"/>
              <w:right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40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contractual liability</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480" w:type="dxa"/>
            <w:vAlign w:val="bottom"/>
            <w:tcBorders>
              <w:left w:val="single" w:sz="8" w:color="auto"/>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Clinical Trial / Products</w:t>
            </w:r>
          </w:p>
        </w:tc>
        <w:tc>
          <w:tcPr>
            <w:tcW w:w="2200" w:type="dxa"/>
            <w:vAlign w:val="bottom"/>
            <w:tcBorders>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 per occurrence/</w:t>
            </w:r>
          </w:p>
        </w:tc>
        <w:tc>
          <w:tcPr>
            <w:tcW w:w="4060" w:type="dxa"/>
            <w:vAlign w:val="bottom"/>
            <w:tcBorders>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Covering all participants screened or treated</w:t>
            </w:r>
          </w:p>
        </w:tc>
        <w:tc>
          <w:tcPr>
            <w:tcW w:w="2520" w:type="dxa"/>
            <w:vAlign w:val="bottom"/>
            <w:tcBorders>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Both Parties commencing</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Liability insurance</w:t>
            </w:r>
          </w:p>
        </w:tc>
        <w:tc>
          <w:tcPr>
            <w:tcW w:w="2200" w:type="dxa"/>
            <w:vAlign w:val="bottom"/>
            <w:tcBorders>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w w:val="99"/>
              </w:rPr>
              <w:t>$[***] annual aggregate</w:t>
            </w:r>
          </w:p>
        </w:tc>
        <w:tc>
          <w:tcPr>
            <w:tcW w:w="4060" w:type="dxa"/>
            <w:vAlign w:val="bottom"/>
            <w:tcBorders>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rPr>
              <w:t>as part of the relevant study and all claims</w:t>
            </w:r>
          </w:p>
        </w:tc>
        <w:tc>
          <w:tcPr>
            <w:tcW w:w="2520" w:type="dxa"/>
            <w:vAlign w:val="bottom"/>
            <w:tcBorders>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rPr>
              <w:t>prior to first Clinical Trial</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4060" w:type="dxa"/>
            <w:vAlign w:val="bottom"/>
            <w:tcBorders>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w w:val="99"/>
              </w:rPr>
              <w:t>relating to personal injury suffered as a result</w:t>
            </w:r>
          </w:p>
        </w:tc>
        <w:tc>
          <w:tcPr>
            <w:tcW w:w="2520" w:type="dxa"/>
            <w:vAlign w:val="bottom"/>
            <w:tcBorders>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rPr>
              <w:t>of a Product</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4060" w:type="dxa"/>
            <w:vAlign w:val="bottom"/>
            <w:tcBorders>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rPr>
              <w:t>of participation in the study and/or the study</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4060" w:type="dxa"/>
            <w:vAlign w:val="bottom"/>
            <w:tcBorders>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rPr>
              <w:t>screening process and not containing any</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4060" w:type="dxa"/>
            <w:vAlign w:val="bottom"/>
            <w:tcBorders>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rPr>
              <w:t>exclusions that would preclude claims by</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480" w:type="dxa"/>
            <w:vAlign w:val="bottom"/>
            <w:tcBorders>
              <w:left w:val="single" w:sz="8" w:color="auto"/>
              <w:bottom w:val="single" w:sz="8" w:color="auto"/>
              <w:right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40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participating study participants</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480" w:type="dxa"/>
            <w:vAlign w:val="bottom"/>
            <w:tcBorders>
              <w:left w:val="single" w:sz="8" w:color="auto"/>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Umbrella Liability</w:t>
            </w:r>
          </w:p>
        </w:tc>
        <w:tc>
          <w:tcPr>
            <w:tcW w:w="2200" w:type="dxa"/>
            <w:vAlign w:val="bottom"/>
            <w:tcBorders>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 per occurrence</w:t>
            </w:r>
          </w:p>
        </w:tc>
        <w:tc>
          <w:tcPr>
            <w:tcW w:w="4060" w:type="dxa"/>
            <w:vAlign w:val="bottom"/>
            <w:tcBorders>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Coverage provides excess, follow-form</w:t>
            </w:r>
          </w:p>
        </w:tc>
        <w:tc>
          <w:tcPr>
            <w:tcW w:w="2520" w:type="dxa"/>
            <w:vAlign w:val="bottom"/>
            <w:tcBorders>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Both Parties as of the</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rPr>
              <w:t>and $[***] annual</w:t>
            </w:r>
          </w:p>
        </w:tc>
        <w:tc>
          <w:tcPr>
            <w:tcW w:w="4060" w:type="dxa"/>
            <w:vAlign w:val="bottom"/>
            <w:tcBorders>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rPr>
              <w:t>coverage above all liability limits required</w:t>
            </w:r>
          </w:p>
        </w:tc>
        <w:tc>
          <w:tcPr>
            <w:tcW w:w="2520" w:type="dxa"/>
            <w:vAlign w:val="bottom"/>
            <w:tcBorders>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rPr>
              <w:t>Effective Date</w:t>
            </w:r>
          </w:p>
        </w:tc>
        <w:tc>
          <w:tcPr>
            <w:tcW w:w="0" w:type="dxa"/>
            <w:vAlign w:val="bottom"/>
          </w:tcPr>
          <w:p>
            <w:pPr>
              <w:spacing w:after="0"/>
              <w:rPr>
                <w:sz w:val="1"/>
                <w:szCs w:val="1"/>
                <w:color w:val="auto"/>
              </w:rPr>
            </w:pPr>
          </w:p>
        </w:tc>
      </w:tr>
      <w:tr>
        <w:trPr>
          <w:trHeight w:val="283"/>
        </w:trPr>
        <w:tc>
          <w:tcPr>
            <w:tcW w:w="2480" w:type="dxa"/>
            <w:vAlign w:val="bottom"/>
            <w:tcBorders>
              <w:left w:val="single" w:sz="8" w:color="auto"/>
              <w:bottom w:val="single" w:sz="8" w:color="auto"/>
              <w:right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aggregate</w:t>
            </w:r>
          </w:p>
        </w:tc>
        <w:tc>
          <w:tcPr>
            <w:tcW w:w="40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herein</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60"/>
          </w:cols>
          <w:pgMar w:left="320" w:top="1395" w:right="319" w:bottom="1440" w:gutter="0" w:footer="0" w:header="0"/>
        </w:sectPr>
      </w:pPr>
    </w:p>
    <w:bookmarkStart w:id="369" w:name="page370"/>
    <w:bookmarkEnd w:id="369"/>
    <w:p>
      <w:pPr>
        <w:spacing w:after="0" w:line="194"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9.3 </w:t>
      </w:r>
      <w:r>
        <w:rPr>
          <w:rFonts w:ascii="Times New Roman" w:cs="Times New Roman" w:eastAsia="Times New Roman" w:hAnsi="Times New Roman"/>
          <w:sz w:val="22"/>
          <w:szCs w:val="22"/>
          <w:b w:val="1"/>
          <w:bCs w:val="1"/>
          <w:u w:val="single" w:color="auto"/>
          <w:color w:val="auto"/>
        </w:rPr>
        <w:t>Limitation of Consequential Damages</w:t>
      </w:r>
      <w:r>
        <w:rPr>
          <w:rFonts w:ascii="Times New Roman" w:cs="Times New Roman" w:eastAsia="Times New Roman" w:hAnsi="Times New Roman"/>
          <w:sz w:val="22"/>
          <w:szCs w:val="22"/>
          <w:color w:val="auto"/>
        </w:rPr>
        <w:t>. Except for (a) claims of a Third Party that are subject to indemnification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ARTICLE 9, (b) claims arising out of a Party’s willful misconduct or intentional breach of this agreement or (c) any breach by a party of ARTICLE 11, neither Party nor any of its Affiliates will be liable to the other Party or its Affiliates for any incidental, consequential, special, punitive or other indirect damages or lost or imputed profits or royalties, whether liability is asserted in contract, tort (including negligence and strict product liability), indemnity or contribution, and irrespective of whether that Party or any representative of that Party has been advised of, or otherwise might have anticipated the possibility of, any such loss or damage.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10</w:t>
      </w:r>
    </w:p>
    <w:p>
      <w:pPr>
        <w:jc w:val="center"/>
        <w:spacing w:after="0"/>
        <w:rPr>
          <w:sz w:val="20"/>
          <w:szCs w:val="20"/>
          <w:color w:val="auto"/>
        </w:rPr>
      </w:pPr>
      <w:r>
        <w:rPr>
          <w:rFonts w:ascii="Times New Roman" w:cs="Times New Roman" w:eastAsia="Times New Roman" w:hAnsi="Times New Roman"/>
          <w:sz w:val="22"/>
          <w:szCs w:val="22"/>
          <w:b w:val="1"/>
          <w:bCs w:val="1"/>
          <w:color w:val="auto"/>
        </w:rPr>
        <w:t>TERM; TERMINATION</w:t>
      </w:r>
    </w:p>
    <w:p>
      <w:pPr>
        <w:spacing w:after="0" w:line="151"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10.1 </w:t>
      </w:r>
      <w:r>
        <w:rPr>
          <w:rFonts w:ascii="Times New Roman" w:cs="Times New Roman" w:eastAsia="Times New Roman" w:hAnsi="Times New Roman"/>
          <w:sz w:val="22"/>
          <w:szCs w:val="22"/>
          <w:b w:val="1"/>
          <w:bCs w:val="1"/>
          <w:u w:val="single" w:color="auto"/>
          <w:color w:val="auto"/>
        </w:rPr>
        <w:t>Term; Expiration</w:t>
      </w:r>
      <w:r>
        <w:rPr>
          <w:rFonts w:ascii="Times New Roman" w:cs="Times New Roman" w:eastAsia="Times New Roman" w:hAnsi="Times New Roman"/>
          <w:sz w:val="22"/>
          <w:szCs w:val="22"/>
          <w:color w:val="auto"/>
        </w:rPr>
        <w:t>. Except with respect to the rights and obligations set forth in ARTICLE 2, which will become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on the Execution Date, this Agreement is effective as of the Effective Date and, unless earlier terminated pursuant to the other provisions of this ARTICLE 10, will expire, in its entirety, upon the expiration of the last to expire Royalty Term under this Agreement with respect to all Products in all countries (such period,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10.2</w:t>
      </w:r>
      <w:r>
        <w:rPr>
          <w:sz w:val="20"/>
          <w:szCs w:val="20"/>
          <w:color w:val="auto"/>
        </w:rPr>
        <w:tab/>
      </w:r>
      <w:r>
        <w:rPr>
          <w:rFonts w:ascii="Times New Roman" w:cs="Times New Roman" w:eastAsia="Times New Roman" w:hAnsi="Times New Roman"/>
          <w:sz w:val="21"/>
          <w:szCs w:val="21"/>
          <w:b w:val="1"/>
          <w:bCs w:val="1"/>
          <w:u w:val="single" w:color="auto"/>
          <w:color w:val="auto"/>
        </w:rPr>
        <w:t>Termination of the Agreement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10.2.1 </w:t>
      </w:r>
      <w:r>
        <w:rPr>
          <w:rFonts w:ascii="Times New Roman" w:cs="Times New Roman" w:eastAsia="Times New Roman" w:hAnsi="Times New Roman"/>
          <w:sz w:val="22"/>
          <w:szCs w:val="22"/>
          <w:b w:val="1"/>
          <w:bCs w:val="1"/>
          <w:color w:val="auto"/>
        </w:rPr>
        <w:t>Termination of Collaboration Agreement</w:t>
      </w:r>
      <w:r>
        <w:rPr>
          <w:rFonts w:ascii="Times New Roman" w:cs="Times New Roman" w:eastAsia="Times New Roman" w:hAnsi="Times New Roman"/>
          <w:sz w:val="22"/>
          <w:szCs w:val="22"/>
          <w:color w:val="auto"/>
        </w:rPr>
        <w:t>. This Agreement will automatically terminate upon termination of the Collaboration Agreement in its entirety or as otherwise set forth in the Collaboration Agreement.</w:t>
      </w:r>
    </w:p>
    <w:p>
      <w:pPr>
        <w:spacing w:after="0" w:line="146"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color w:val="auto"/>
        </w:rPr>
        <w:t xml:space="preserve">10.2.2 </w:t>
      </w:r>
      <w:r>
        <w:rPr>
          <w:rFonts w:ascii="Times New Roman" w:cs="Times New Roman" w:eastAsia="Times New Roman" w:hAnsi="Times New Roman"/>
          <w:sz w:val="22"/>
          <w:szCs w:val="22"/>
          <w:b w:val="1"/>
          <w:bCs w:val="1"/>
          <w:color w:val="auto"/>
        </w:rPr>
        <w:t>Vertex’s Termination for Convenience</w:t>
      </w:r>
      <w:r>
        <w:rPr>
          <w:rFonts w:ascii="Times New Roman" w:cs="Times New Roman" w:eastAsia="Times New Roman" w:hAnsi="Times New Roman"/>
          <w:sz w:val="22"/>
          <w:szCs w:val="22"/>
          <w:color w:val="auto"/>
        </w:rPr>
        <w:t xml:space="preserve">. Vertex may terminate this Agreement (either in its entirety or on a Product-by-Product basis), for convenience by providing written notice of its intent to terminate to Company, in which case, such termination will be effective [***] after Company’s receipt of such written notice; </w:t>
      </w:r>
      <w:r>
        <w:rPr>
          <w:rFonts w:ascii="Times New Roman" w:cs="Times New Roman" w:eastAsia="Times New Roman" w:hAnsi="Times New Roman"/>
          <w:sz w:val="22"/>
          <w:szCs w:val="22"/>
          <w:i w:val="1"/>
          <w:iCs w:val="1"/>
          <w:color w:val="auto"/>
        </w:rPr>
        <w:t>except</w:t>
      </w:r>
      <w:r>
        <w:rPr>
          <w:rFonts w:ascii="Times New Roman" w:cs="Times New Roman" w:eastAsia="Times New Roman" w:hAnsi="Times New Roman"/>
          <w:sz w:val="22"/>
          <w:szCs w:val="22"/>
          <w:color w:val="auto"/>
        </w:rPr>
        <w:t xml:space="preserve"> that if any termination under this Section 10.2.1 applies to a Product for which Vertex has received Marketing Approval, such termination will be effective [***] after Company’s receipt of such written notice.</w:t>
      </w:r>
    </w:p>
    <w:p>
      <w:pPr>
        <w:spacing w:after="0" w:line="147"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22"/>
          <w:szCs w:val="22"/>
          <w:color w:val="auto"/>
        </w:rPr>
        <w:t>10.2.3</w:t>
      </w:r>
      <w:r>
        <w:rPr>
          <w:sz w:val="20"/>
          <w:szCs w:val="20"/>
          <w:color w:val="auto"/>
        </w:rPr>
        <w:tab/>
      </w:r>
      <w:r>
        <w:rPr>
          <w:rFonts w:ascii="Times New Roman" w:cs="Times New Roman" w:eastAsia="Times New Roman" w:hAnsi="Times New Roman"/>
          <w:sz w:val="21"/>
          <w:szCs w:val="21"/>
          <w:b w:val="1"/>
          <w:bCs w:val="1"/>
          <w:color w:val="auto"/>
        </w:rPr>
        <w:t>Termination for Material Breach</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left="1300" w:firstLine="652"/>
        <w:spacing w:after="0" w:line="209" w:lineRule="auto"/>
        <w:tabs>
          <w:tab w:leader="none" w:pos="2404"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Vertex’s Right to Terminate</w:t>
      </w:r>
      <w:r>
        <w:rPr>
          <w:rFonts w:ascii="Times New Roman" w:cs="Times New Roman" w:eastAsia="Times New Roman" w:hAnsi="Times New Roman"/>
          <w:sz w:val="22"/>
          <w:szCs w:val="22"/>
          <w:color w:val="auto"/>
        </w:rPr>
        <w:t>. If Vertex believes that Company is in material breach of this Agreement, Vertex may deliver written notice of such material breach to Company. If the breach is curable, Company will have [***] following its receipt of such written notice to cure such breach. If Company fails to cure such breach within such [***] period or the breach is not subject to cure (a “</w:t>
      </w:r>
      <w:r>
        <w:rPr>
          <w:rFonts w:ascii="Times New Roman" w:cs="Times New Roman" w:eastAsia="Times New Roman" w:hAnsi="Times New Roman"/>
          <w:sz w:val="22"/>
          <w:szCs w:val="22"/>
          <w:b w:val="1"/>
          <w:bCs w:val="1"/>
          <w:color w:val="auto"/>
        </w:rPr>
        <w:t>Company Breach Event</w:t>
      </w:r>
      <w:r>
        <w:rPr>
          <w:rFonts w:ascii="Times New Roman" w:cs="Times New Roman" w:eastAsia="Times New Roman" w:hAnsi="Times New Roman"/>
          <w:sz w:val="22"/>
          <w:szCs w:val="22"/>
          <w:color w:val="auto"/>
        </w:rPr>
        <w:t xml:space="preserve">”), (i) Vertex may terminate this Agreement by providing written notice to Company, in which case, this Agreement will terminate on the date on which Company receives such written notice or (ii) Vertex may elect to exercise the alternate remedy provisions set forth in Section 10.3;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(A) the relevant breach is curable, but not reasonably curable within [***], and (B) Company is making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effort to cure such breach, Vertex’s right to terminate this Agreement or elect to exercise the alternate remedy provisions set forth in Section 10.3 on account of such breach will be suspended for so long as Company is continuing to make such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effort to cure such breach (up to a maximum of [***] after receipt of the applicable written notice above) and if such breach is successfully cured within the foregoing [***] period, Vertex will no longer have the right to terminate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40" w:right="339" w:bottom="1440" w:gutter="0" w:footer="0" w:header="0"/>
        </w:sectPr>
      </w:pPr>
    </w:p>
    <w:bookmarkStart w:id="370" w:name="page371"/>
    <w:bookmarkEnd w:id="370"/>
    <w:p>
      <w:pPr>
        <w:ind w:left="1300"/>
        <w:spacing w:after="0"/>
        <w:rPr>
          <w:sz w:val="20"/>
          <w:szCs w:val="20"/>
          <w:color w:val="auto"/>
        </w:rPr>
      </w:pPr>
      <w:r>
        <w:rPr>
          <w:rFonts w:ascii="Times New Roman" w:cs="Times New Roman" w:eastAsia="Times New Roman" w:hAnsi="Times New Roman"/>
          <w:sz w:val="21"/>
          <w:szCs w:val="21"/>
          <w:color w:val="auto"/>
        </w:rPr>
        <w:t>Agreement or elect to exercise the alternate remedy provisions set forth in Section 10.3 on account of such breach.</w:t>
      </w:r>
    </w:p>
    <w:p>
      <w:pPr>
        <w:spacing w:after="0" w:line="191" w:lineRule="exact"/>
        <w:rPr>
          <w:sz w:val="20"/>
          <w:szCs w:val="20"/>
          <w:color w:val="auto"/>
        </w:rPr>
      </w:pPr>
    </w:p>
    <w:p>
      <w:pPr>
        <w:jc w:val="both"/>
        <w:ind w:left="1300" w:firstLine="652"/>
        <w:spacing w:after="0" w:line="209" w:lineRule="auto"/>
        <w:tabs>
          <w:tab w:leader="none" w:pos="2591"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Right to Terminate</w:t>
      </w:r>
      <w:r>
        <w:rPr>
          <w:rFonts w:ascii="Times New Roman" w:cs="Times New Roman" w:eastAsia="Times New Roman" w:hAnsi="Times New Roman"/>
          <w:sz w:val="22"/>
          <w:szCs w:val="22"/>
          <w:color w:val="auto"/>
        </w:rPr>
        <w:t xml:space="preserve">. If Company believes that Vertex is in material breach of this Agreement, Company may deliver written notice of such material breach to Vertex. If the breach is curable, Vertex will have [***] following its receipt of such written notice to cure such breach (except to the extent such breach involves the failure to make a payment when due, which breach must be cured within [***] following its receipt of such written notice). If Vertex fails to cure such breach within the [***] or [***] period, as applicable, or the breach is not subject to cure, Company may terminate this Agreement by providing written notice to Vertex, in which case, this Agreement will terminate on the date on which Vertex receives such written notice;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(i) the relevant breach (A) does not involve Vertex’s failure to make a payment when due and (B)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is curable, but not reasonably curable within [***], and (ii) Vertex is making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effort to cure such breach, Company’s right to terminate this Agreement on account of such breach will be suspended for so long as Vertex is continuing to make such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effort to cure such breach (up to a maximum of [***] after receipt of the applicable written notice above) and if such breach is successfully cured within the foregoing [***] period, Company will no longer have the right to terminate this Agreement on account of such breach.</w:t>
      </w:r>
    </w:p>
    <w:p>
      <w:pPr>
        <w:spacing w:after="0" w:line="156" w:lineRule="exact"/>
        <w:rPr>
          <w:sz w:val="20"/>
          <w:szCs w:val="20"/>
          <w:color w:val="auto"/>
        </w:rPr>
      </w:pPr>
    </w:p>
    <w:p>
      <w:pPr>
        <w:jc w:val="both"/>
        <w:ind w:firstLine="1296"/>
        <w:spacing w:after="0" w:line="214" w:lineRule="auto"/>
        <w:rPr>
          <w:sz w:val="20"/>
          <w:szCs w:val="20"/>
          <w:color w:val="auto"/>
        </w:rPr>
      </w:pPr>
      <w:r>
        <w:rPr>
          <w:rFonts w:ascii="Times New Roman" w:cs="Times New Roman" w:eastAsia="Times New Roman" w:hAnsi="Times New Roman"/>
          <w:sz w:val="22"/>
          <w:szCs w:val="22"/>
          <w:color w:val="auto"/>
        </w:rPr>
        <w:t xml:space="preserve">10.2.4 </w:t>
      </w:r>
      <w:r>
        <w:rPr>
          <w:rFonts w:ascii="Times New Roman" w:cs="Times New Roman" w:eastAsia="Times New Roman" w:hAnsi="Times New Roman"/>
          <w:sz w:val="22"/>
          <w:szCs w:val="22"/>
          <w:b w:val="1"/>
          <w:bCs w:val="1"/>
          <w:color w:val="auto"/>
        </w:rPr>
        <w:t>Disputes Regarding Material Breach</w:t>
      </w:r>
      <w:r>
        <w:rPr>
          <w:rFonts w:ascii="Times New Roman" w:cs="Times New Roman" w:eastAsia="Times New Roman" w:hAnsi="Times New Roman"/>
          <w:sz w:val="22"/>
          <w:szCs w:val="22"/>
          <w:color w:val="auto"/>
        </w:rPr>
        <w:t>. Notwithstanding the foregoing, if the Breaching Party in Section 10.2.3 disputes in good faith the existence, materiality, or failure to cure of any breach, and provides written notice to the Non-Breaching Party of such dispute within the relevant cure period, the Non-Breaching Party will not have the right to terminate this Agreement in accordance with Section 10.2.3, or the right to exercise the alternative remedy provisions of Section 10.3, as applicable, unless and until the relevant dispute has been resolved in accordance with Section 12.12. During the pendency of such dispute, the relevant cure period will be tolled, all the terms of this Agreement will remain in effect and the Parties will continue to perform all of their respective obligations hereunder.</w:t>
      </w:r>
    </w:p>
    <w:p>
      <w:pPr>
        <w:spacing w:after="0" w:line="149" w:lineRule="exact"/>
        <w:rPr>
          <w:sz w:val="20"/>
          <w:szCs w:val="20"/>
          <w:color w:val="auto"/>
        </w:rPr>
      </w:pPr>
    </w:p>
    <w:p>
      <w:pPr>
        <w:jc w:val="both"/>
        <w:ind w:firstLine="1296"/>
        <w:spacing w:after="0" w:line="223" w:lineRule="auto"/>
        <w:rPr>
          <w:sz w:val="20"/>
          <w:szCs w:val="20"/>
          <w:color w:val="auto"/>
        </w:rPr>
      </w:pPr>
      <w:r>
        <w:rPr>
          <w:rFonts w:ascii="Times New Roman" w:cs="Times New Roman" w:eastAsia="Times New Roman" w:hAnsi="Times New Roman"/>
          <w:sz w:val="21"/>
          <w:szCs w:val="21"/>
          <w:color w:val="auto"/>
        </w:rPr>
        <w:t xml:space="preserve">10.2.5 </w:t>
      </w:r>
      <w:r>
        <w:rPr>
          <w:rFonts w:ascii="Times New Roman" w:cs="Times New Roman" w:eastAsia="Times New Roman" w:hAnsi="Times New Roman"/>
          <w:sz w:val="21"/>
          <w:szCs w:val="21"/>
          <w:b w:val="1"/>
          <w:bCs w:val="1"/>
          <w:color w:val="auto"/>
        </w:rPr>
        <w:t>Termination for Insolvency</w:t>
      </w:r>
      <w:r>
        <w:rPr>
          <w:rFonts w:ascii="Times New Roman" w:cs="Times New Roman" w:eastAsia="Times New Roman" w:hAnsi="Times New Roman"/>
          <w:sz w:val="21"/>
          <w:szCs w:val="21"/>
          <w:color w:val="auto"/>
        </w:rPr>
        <w:t>. If either Party makes an assignment for the benefit of creditors, appoints or suffers appointment of a receiver or trustee over all or substantially all of its property, files a petition under any bankruptcy or insolvency act or code, including the U.S. Bankruptcy Code, or has any such petition filed against it that is not discharged within</w:t>
      </w:r>
    </w:p>
    <w:p>
      <w:pPr>
        <w:spacing w:after="0" w:line="3" w:lineRule="exact"/>
        <w:rPr>
          <w:sz w:val="20"/>
          <w:szCs w:val="20"/>
          <w:color w:val="auto"/>
        </w:rPr>
      </w:pPr>
    </w:p>
    <w:p>
      <w:pPr>
        <w:jc w:val="both"/>
        <w:ind w:firstLine="8"/>
        <w:spacing w:after="0" w:line="218" w:lineRule="auto"/>
        <w:tabs>
          <w:tab w:leader="none" w:pos="551"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filing thereof (each, an “</w:t>
      </w:r>
      <w:r>
        <w:rPr>
          <w:rFonts w:ascii="Times New Roman" w:cs="Times New Roman" w:eastAsia="Times New Roman" w:hAnsi="Times New Roman"/>
          <w:sz w:val="22"/>
          <w:szCs w:val="22"/>
          <w:b w:val="1"/>
          <w:bCs w:val="1"/>
          <w:color w:val="auto"/>
        </w:rPr>
        <w:t>Insolvency Event</w:t>
      </w:r>
      <w:r>
        <w:rPr>
          <w:rFonts w:ascii="Times New Roman" w:cs="Times New Roman" w:eastAsia="Times New Roman" w:hAnsi="Times New Roman"/>
          <w:sz w:val="22"/>
          <w:szCs w:val="22"/>
          <w:color w:val="auto"/>
        </w:rPr>
        <w:t>”), the other Party may terminate this Agreement in its entirety by providing written notice of its intent to terminate this Agreement to such Party, in which case, this Agreement will terminate on the date on which such Party receives such written notice.</w:t>
      </w:r>
    </w:p>
    <w:p>
      <w:pPr>
        <w:spacing w:after="0" w:line="147"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10.3 </w:t>
      </w:r>
      <w:r>
        <w:rPr>
          <w:rFonts w:ascii="Times New Roman" w:cs="Times New Roman" w:eastAsia="Times New Roman" w:hAnsi="Times New Roman"/>
          <w:sz w:val="22"/>
          <w:szCs w:val="22"/>
          <w:b w:val="1"/>
          <w:bCs w:val="1"/>
          <w:u w:val="single" w:color="auto"/>
          <w:color w:val="auto"/>
        </w:rPr>
        <w:t>Alternative Remedies to Termination</w:t>
      </w:r>
      <w:r>
        <w:rPr>
          <w:rFonts w:ascii="Times New Roman" w:cs="Times New Roman" w:eastAsia="Times New Roman" w:hAnsi="Times New Roman"/>
          <w:sz w:val="22"/>
          <w:szCs w:val="22"/>
          <w:color w:val="auto"/>
        </w:rPr>
        <w:t>. If Vertex has the right to terminate this Agreement pursuant to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10.2.3(a), in addition to any other remedies available to Vertex in law or equity, in lieu of terminating this Agreement, Vertex may elect, upon written notice to Company, to reduce the milestone payments under Section 6.2 by [***]% and royalty payments under Section 6.3 by [***]% (after giving effect to all other applicable deductions and credits available under such Section 6.3). Company stipulates and agrees that such reductions would be a reasonable remedy in such circumstance and not a penalty. For clarity, if Vertex exercises the alternative remedy set forth above in this Section 10.3, such remedy will be Vertex’s sole remedy for such breach.</w:t>
      </w:r>
    </w:p>
    <w:p>
      <w:pPr>
        <w:spacing w:after="0" w:line="14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10.4 </w:t>
      </w:r>
      <w:r>
        <w:rPr>
          <w:rFonts w:ascii="Times New Roman" w:cs="Times New Roman" w:eastAsia="Times New Roman" w:hAnsi="Times New Roman"/>
          <w:sz w:val="22"/>
          <w:szCs w:val="22"/>
          <w:b w:val="1"/>
          <w:bCs w:val="1"/>
          <w:u w:val="single" w:color="auto"/>
          <w:color w:val="auto"/>
        </w:rPr>
        <w:t>Patent Challenge</w:t>
      </w:r>
      <w:r>
        <w:rPr>
          <w:rFonts w:ascii="Times New Roman" w:cs="Times New Roman" w:eastAsia="Times New Roman" w:hAnsi="Times New Roman"/>
          <w:sz w:val="22"/>
          <w:szCs w:val="22"/>
          <w:color w:val="auto"/>
        </w:rPr>
        <w:t>. Company has the right to terminate this Agreement upon written notice to Vertex in the event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Vertex or any of its Affiliates or Sublicensees directly or indirectly challenges in a legal or administrative proceeding the patentability, enforceability,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395" w:right="339" w:bottom="1440" w:gutter="0" w:footer="0" w:header="0"/>
        </w:sectPr>
      </w:pPr>
    </w:p>
    <w:bookmarkStart w:id="371" w:name="page372"/>
    <w:bookmarkEnd w:id="371"/>
    <w:p>
      <w:pPr>
        <w:jc w:val="both"/>
        <w:spacing w:after="0" w:line="208" w:lineRule="auto"/>
        <w:rPr>
          <w:sz w:val="20"/>
          <w:szCs w:val="20"/>
          <w:color w:val="auto"/>
        </w:rPr>
      </w:pPr>
      <w:r>
        <w:rPr>
          <w:rFonts w:ascii="Times New Roman" w:cs="Times New Roman" w:eastAsia="Times New Roman" w:hAnsi="Times New Roman"/>
          <w:sz w:val="22"/>
          <w:szCs w:val="22"/>
          <w:color w:val="auto"/>
        </w:rPr>
        <w:t>or validity of any OSIF Patent (a “</w:t>
      </w:r>
      <w:r>
        <w:rPr>
          <w:rFonts w:ascii="Times New Roman" w:cs="Times New Roman" w:eastAsia="Times New Roman" w:hAnsi="Times New Roman"/>
          <w:sz w:val="22"/>
          <w:szCs w:val="22"/>
          <w:b w:val="1"/>
          <w:bCs w:val="1"/>
          <w:color w:val="auto"/>
        </w:rPr>
        <w:t>Patent Challenge</w:t>
      </w:r>
      <w:r>
        <w:rPr>
          <w:rFonts w:ascii="Times New Roman" w:cs="Times New Roman" w:eastAsia="Times New Roman" w:hAnsi="Times New Roman"/>
          <w:sz w:val="22"/>
          <w:szCs w:val="22"/>
          <w:color w:val="auto"/>
        </w:rPr>
        <w:t xml:space="preserve">”). In the event of such a Patent Challenge, Company will provide written notice of such Patent Challenge to Vertex, and if Vertex (a) with respect to a patent challenge brought by Vertex or an Affiliate of Vertex, fails to withdraw such Patent Challenge within [***] after such receipt of such notice or (b) with respect to a Patent Challenge brought by a Sublicensee, fails to cause the Sublicensee to withdraw such Patent Challenge within [***] after such receipt of such notice or to terminate the applicable sublicense agreement for such Sublicensee within [***] after receipt of such notice, then, in either case of (a) or (b), Company may terminate this Agreement by providing written notice of such termination to Vertex. As used herein, a Patent Challenge includes: (i) filing an action under 28 U.S.C. §§ 2201-2202 seeking a declaration of invalidity or unenforceability of any such Patent; (ii) filing, or joining in, a petition under 35 U.S.C. § 311 to institute </w:t>
      </w:r>
      <w:r>
        <w:rPr>
          <w:rFonts w:ascii="Times New Roman" w:cs="Times New Roman" w:eastAsia="Times New Roman" w:hAnsi="Times New Roman"/>
          <w:sz w:val="22"/>
          <w:szCs w:val="22"/>
          <w:i w:val="1"/>
          <w:iCs w:val="1"/>
          <w:color w:val="auto"/>
        </w:rPr>
        <w:t>inter partes</w:t>
      </w:r>
      <w:r>
        <w:rPr>
          <w:rFonts w:ascii="Times New Roman" w:cs="Times New Roman" w:eastAsia="Times New Roman" w:hAnsi="Times New Roman"/>
          <w:sz w:val="22"/>
          <w:szCs w:val="22"/>
          <w:color w:val="auto"/>
        </w:rPr>
        <w:t xml:space="preserve"> review of any such Patent; (iii) filing, or joining in, a petition under 35 U.S.C. § 321 to institute post-grant review of any such Patent or any portion thereof; (iv) filing or commencing any opposition, nullity, or similar proceedings challenging the validity of any such Patent in any country or region; or (v) any foreign equivalent of clauses (i), (ii), (iii) or (iv), including under Applicable Law. Notwithstanding the foregoing, Company will not have the right to terminate this Agreement under this Section 10.4 (x) with respect to any Patent Challenge in which Vertex or its Affiliate or Sublicensee has been compelled to participate in such Patent Challenges by a court or patent office or (y) if a Patent Challenge is necessary or reasonably required to assert a cross claim or a counterclaim or to respond to a court request or order or administrative law request or order, including asserting any defense or counterclaim in, or otherwise responding to, any Patent infringement suit filed by Company or any of its Affiliates, licensors, licensees or sublicensees against Vertex or any of its Affiliates or Sublicensees. In addition, Company will not have the right to terminate this Agreement pursuant to this Section 10.4 if any Affiliate that first becomes an Affiliate of Vertex pursuant to a Change of Control of Vertex after the Effective Date was undertaking activities in connection with a Patent Challenge prior to such Affiliate first becoming an Affiliate of Vertex.</w:t>
      </w:r>
    </w:p>
    <w:p>
      <w:pPr>
        <w:spacing w:after="0" w:line="15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10.5</w:t>
      </w:r>
      <w:r>
        <w:rPr>
          <w:sz w:val="20"/>
          <w:szCs w:val="20"/>
          <w:color w:val="auto"/>
        </w:rPr>
        <w:tab/>
      </w:r>
      <w:r>
        <w:rPr>
          <w:rFonts w:ascii="Times New Roman" w:cs="Times New Roman" w:eastAsia="Times New Roman" w:hAnsi="Times New Roman"/>
          <w:sz w:val="21"/>
          <w:szCs w:val="21"/>
          <w:b w:val="1"/>
          <w:bCs w:val="1"/>
          <w:u w:val="single" w:color="auto"/>
          <w:color w:val="auto"/>
        </w:rPr>
        <w:t>Consequences of Expiration or Termination of the Agreement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color w:val="auto"/>
        </w:rPr>
        <w:t xml:space="preserve">10.5.1 </w:t>
      </w:r>
      <w:r>
        <w:rPr>
          <w:rFonts w:ascii="Times New Roman" w:cs="Times New Roman" w:eastAsia="Times New Roman" w:hAnsi="Times New Roman"/>
          <w:sz w:val="22"/>
          <w:szCs w:val="22"/>
          <w:b w:val="1"/>
          <w:bCs w:val="1"/>
          <w:color w:val="auto"/>
        </w:rPr>
        <w:t>In General</w:t>
      </w:r>
      <w:r>
        <w:rPr>
          <w:rFonts w:ascii="Times New Roman" w:cs="Times New Roman" w:eastAsia="Times New Roman" w:hAnsi="Times New Roman"/>
          <w:sz w:val="22"/>
          <w:szCs w:val="22"/>
          <w:color w:val="auto"/>
        </w:rPr>
        <w:t>. If this Agreement expires or is terminated in whole or in part with respect to one or more Products by a Party pursuant to this ARTICLE 10, the following terms will apply to this Agreement, either in its entirety or with respect to the Product that is the subject of such termination, as the case may be:</w:t>
      </w:r>
    </w:p>
    <w:p>
      <w:pPr>
        <w:spacing w:after="0" w:line="150" w:lineRule="exact"/>
        <w:rPr>
          <w:sz w:val="20"/>
          <w:szCs w:val="20"/>
          <w:color w:val="auto"/>
        </w:rPr>
      </w:pPr>
    </w:p>
    <w:p>
      <w:pPr>
        <w:ind w:left="2400" w:hanging="448"/>
        <w:spacing w:after="0"/>
        <w:tabs>
          <w:tab w:leader="none" w:pos="2400"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will take all action required under Section 11.3 if requested by the other Party;</w:t>
      </w:r>
    </w:p>
    <w:p>
      <w:pPr>
        <w:spacing w:after="0" w:line="179" w:lineRule="exact"/>
        <w:rPr>
          <w:rFonts w:ascii="Times New Roman" w:cs="Times New Roman" w:eastAsia="Times New Roman" w:hAnsi="Times New Roman"/>
          <w:sz w:val="22"/>
          <w:szCs w:val="22"/>
          <w:color w:val="auto"/>
        </w:rPr>
      </w:pPr>
    </w:p>
    <w:p>
      <w:pPr>
        <w:ind w:left="1300" w:firstLine="652"/>
        <w:spacing w:after="0" w:line="236" w:lineRule="auto"/>
        <w:tabs>
          <w:tab w:leader="none" w:pos="2448"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or expiration of this Agreement for any reason will be without prejudice to any rights or financial compensation that will have accrued to the benefit of a Party prior to such expiration or termination;</w:t>
      </w:r>
    </w:p>
    <w:p>
      <w:pPr>
        <w:spacing w:after="0" w:line="150" w:lineRule="exact"/>
        <w:rPr>
          <w:rFonts w:ascii="Times New Roman" w:cs="Times New Roman" w:eastAsia="Times New Roman" w:hAnsi="Times New Roman"/>
          <w:sz w:val="22"/>
          <w:szCs w:val="22"/>
          <w:color w:val="auto"/>
        </w:rPr>
      </w:pPr>
    </w:p>
    <w:p>
      <w:pPr>
        <w:ind w:left="1300" w:right="20" w:firstLine="652"/>
        <w:spacing w:after="0" w:line="236" w:lineRule="auto"/>
        <w:tabs>
          <w:tab w:leader="none" w:pos="2418"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expiration or termination will not relieve a Party from obligations that are expressly indicated to survive the termination or expiration of this Agreement; and</w:t>
      </w:r>
    </w:p>
    <w:p>
      <w:pPr>
        <w:spacing w:after="0" w:line="150" w:lineRule="exact"/>
        <w:rPr>
          <w:rFonts w:ascii="Times New Roman" w:cs="Times New Roman" w:eastAsia="Times New Roman" w:hAnsi="Times New Roman"/>
          <w:sz w:val="22"/>
          <w:szCs w:val="22"/>
          <w:color w:val="auto"/>
        </w:rPr>
      </w:pPr>
    </w:p>
    <w:p>
      <w:pPr>
        <w:jc w:val="both"/>
        <w:ind w:left="1300" w:firstLine="652"/>
        <w:spacing w:after="0" w:line="215" w:lineRule="auto"/>
        <w:tabs>
          <w:tab w:leader="none" w:pos="2622"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of this Agreement will survive the expiration or termination of this Agreement: ARTICLE 1, Section 5.3, Sections 6.5 through 6.7 (inclusive, solely to the extent applicable and with respect to any amounts due prior to expiration or termination), Section 7.4 (with respect to proceedings to the extent relating to events occurring prior to the effective date of termination), Section 8.5, ARTICLE 9 (with respect to Section 9.2, for the time period set forth therein), this Section 10.5, Sections 11.1 through 11.5 (inclusive,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391" w:right="339" w:bottom="1440" w:gutter="0" w:footer="0" w:header="0"/>
        </w:sectPr>
      </w:pPr>
    </w:p>
    <w:bookmarkStart w:id="372" w:name="page373"/>
    <w:bookmarkEnd w:id="372"/>
    <w:p>
      <w:pPr>
        <w:ind w:left="1300"/>
        <w:spacing w:after="0"/>
        <w:rPr>
          <w:sz w:val="20"/>
          <w:szCs w:val="20"/>
          <w:color w:val="auto"/>
        </w:rPr>
      </w:pPr>
      <w:r>
        <w:rPr>
          <w:rFonts w:ascii="Times New Roman" w:cs="Times New Roman" w:eastAsia="Times New Roman" w:hAnsi="Times New Roman"/>
          <w:sz w:val="22"/>
          <w:szCs w:val="22"/>
          <w:color w:val="auto"/>
        </w:rPr>
        <w:t>for the time period set forth therein), and ARTICLE 12 (but not including Section 12.2).</w:t>
      </w:r>
    </w:p>
    <w:p>
      <w:pPr>
        <w:spacing w:after="0" w:line="175"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color w:val="auto"/>
        </w:rPr>
        <w:t xml:space="preserve">10.5.2 </w:t>
      </w:r>
      <w:r>
        <w:rPr>
          <w:rFonts w:ascii="Times New Roman" w:cs="Times New Roman" w:eastAsia="Times New Roman" w:hAnsi="Times New Roman"/>
          <w:sz w:val="22"/>
          <w:szCs w:val="22"/>
          <w:b w:val="1"/>
          <w:bCs w:val="1"/>
          <w:color w:val="auto"/>
        </w:rPr>
        <w:t>Early Termination</w:t>
      </w:r>
      <w:r>
        <w:rPr>
          <w:rFonts w:ascii="Times New Roman" w:cs="Times New Roman" w:eastAsia="Times New Roman" w:hAnsi="Times New Roman"/>
          <w:sz w:val="22"/>
          <w:szCs w:val="22"/>
          <w:color w:val="auto"/>
        </w:rPr>
        <w:t>. If this Agreement is terminated in its entirety or in part by a Party pursuant to Sections 10.2.1, 10.2.3, 10.2.5, or 10.4, the following terms will apply with respect to any Product that is the subject of such termination (i.e., all Products worldwide in the case of termination of this Agreement in its entirety or the applicable Product in the Territory in the case of termination of this Agreement for a particular Product, as the case may be):</w:t>
      </w:r>
    </w:p>
    <w:p>
      <w:pPr>
        <w:spacing w:after="0" w:line="152" w:lineRule="exact"/>
        <w:rPr>
          <w:sz w:val="20"/>
          <w:szCs w:val="20"/>
          <w:color w:val="auto"/>
        </w:rPr>
      </w:pPr>
    </w:p>
    <w:p>
      <w:pPr>
        <w:ind w:left="1300" w:firstLine="652"/>
        <w:spacing w:after="0" w:line="236" w:lineRule="auto"/>
        <w:tabs>
          <w:tab w:leader="none" w:pos="2466"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Section 10.5.2(d), the applicable licenses granted by Company to Vertex with respect to such Product(s) in the Territory under this Agreement will terminate;</w:t>
      </w:r>
    </w:p>
    <w:p>
      <w:pPr>
        <w:spacing w:after="0" w:line="150" w:lineRule="exact"/>
        <w:rPr>
          <w:rFonts w:ascii="Times New Roman" w:cs="Times New Roman" w:eastAsia="Times New Roman" w:hAnsi="Times New Roman"/>
          <w:sz w:val="22"/>
          <w:szCs w:val="22"/>
          <w:color w:val="auto"/>
        </w:rPr>
      </w:pPr>
    </w:p>
    <w:p>
      <w:pPr>
        <w:ind w:left="1300" w:firstLine="652"/>
        <w:spacing w:after="0" w:line="236" w:lineRule="auto"/>
        <w:tabs>
          <w:tab w:leader="none" w:pos="2445"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this Section 10.5, Vertex will have no further rights and Company will have no further obligations with respect to such Product(s) in the Territory;</w:t>
      </w:r>
    </w:p>
    <w:p>
      <w:pPr>
        <w:spacing w:after="0" w:line="150" w:lineRule="exact"/>
        <w:rPr>
          <w:rFonts w:ascii="Times New Roman" w:cs="Times New Roman" w:eastAsia="Times New Roman" w:hAnsi="Times New Roman"/>
          <w:sz w:val="22"/>
          <w:szCs w:val="22"/>
          <w:color w:val="auto"/>
        </w:rPr>
      </w:pPr>
    </w:p>
    <w:p>
      <w:pPr>
        <w:ind w:left="1300" w:firstLine="652"/>
        <w:spacing w:after="0" w:line="236" w:lineRule="auto"/>
        <w:tabs>
          <w:tab w:leader="none" w:pos="2554"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terminated with respect to a particular Product or Products, the definition of Product will be automatically amended to exclude the relevant Product or Products; and</w:t>
      </w:r>
    </w:p>
    <w:p>
      <w:pPr>
        <w:spacing w:after="0" w:line="150" w:lineRule="exact"/>
        <w:rPr>
          <w:rFonts w:ascii="Times New Roman" w:cs="Times New Roman" w:eastAsia="Times New Roman" w:hAnsi="Times New Roman"/>
          <w:sz w:val="22"/>
          <w:szCs w:val="22"/>
          <w:color w:val="auto"/>
        </w:rPr>
      </w:pPr>
    </w:p>
    <w:p>
      <w:pPr>
        <w:jc w:val="both"/>
        <w:ind w:left="1300" w:firstLine="652"/>
        <w:spacing w:after="0" w:line="213" w:lineRule="auto"/>
        <w:tabs>
          <w:tab w:leader="none" w:pos="2625"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permitted Sublicense of Vertex will, at the applicable Sublicensee’s option, survive such termination on the condition that the relevant Sublicensee is not in material breach of any of its obligations under such Sublicense. In order to effect this provision, at the request of the Sublicensee, Company will enter into a direct license with the Sublicensee on terms that are substantially the same terms as the applicable terms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Company will not be required to undertake obligations in addition to those required by this Agreement, and Company’s rights under such direct license will be consistent with its rights under this Agreement, taking into account the scope of the license granted under such direct license;</w:t>
      </w:r>
    </w:p>
    <w:p>
      <w:pPr>
        <w:spacing w:after="0" w:line="152"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color w:val="auto"/>
        </w:rPr>
        <w:t xml:space="preserve">10.5.3 </w:t>
      </w:r>
      <w:r>
        <w:rPr>
          <w:rFonts w:ascii="Times New Roman" w:cs="Times New Roman" w:eastAsia="Times New Roman" w:hAnsi="Times New Roman"/>
          <w:sz w:val="22"/>
          <w:szCs w:val="22"/>
          <w:b w:val="1"/>
          <w:bCs w:val="1"/>
          <w:u w:val="single" w:color="auto"/>
          <w:color w:val="auto"/>
        </w:rPr>
        <w:t>Relationship to Collaboration Agreement</w:t>
      </w:r>
      <w:r>
        <w:rPr>
          <w:rFonts w:ascii="Times New Roman" w:cs="Times New Roman" w:eastAsia="Times New Roman" w:hAnsi="Times New Roman"/>
          <w:sz w:val="22"/>
          <w:szCs w:val="22"/>
          <w:color w:val="auto"/>
        </w:rPr>
        <w:t>. Neither Party will be permitted to terminate this Agreement, and Vertex will not be permitted to exercise its rights under Section 10.3, unless in each case the terminating Party (or Vertex in the case of Section 10.3) exercises the corresponding right under the Collaboration Agreement. For the avoidance of doubt, a material breach of the Collaboration Agreement will be deemed to be a material breach of this Agreement, and vice versa.</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11</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CONFIDENTIALITY</w:t>
      </w:r>
    </w:p>
    <w:p>
      <w:pPr>
        <w:spacing w:after="0" w:line="151"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11.1 </w:t>
      </w: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color w:val="auto"/>
        </w:rPr>
        <w:t>. During the Term and for [***] thereafter, each Party (the “</w:t>
      </w:r>
      <w:r>
        <w:rPr>
          <w:rFonts w:ascii="Times New Roman" w:cs="Times New Roman" w:eastAsia="Times New Roman" w:hAnsi="Times New Roman"/>
          <w:sz w:val="22"/>
          <w:szCs w:val="22"/>
          <w:b w:val="1"/>
          <w:bCs w:val="1"/>
          <w:color w:val="auto"/>
        </w:rPr>
        <w:t>Receiving Party</w:t>
      </w:r>
      <w:r>
        <w:rPr>
          <w:rFonts w:ascii="Times New Roman" w:cs="Times New Roman" w:eastAsia="Times New Roman" w:hAnsi="Times New Roman"/>
          <w:sz w:val="22"/>
          <w:szCs w:val="22"/>
          <w:color w:val="auto"/>
        </w:rPr>
        <w:t>”) receiving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Confidential Information of the other Party (the “</w:t>
      </w:r>
      <w:r>
        <w:rPr>
          <w:rFonts w:ascii="Times New Roman" w:cs="Times New Roman" w:eastAsia="Times New Roman" w:hAnsi="Times New Roman"/>
          <w:sz w:val="22"/>
          <w:szCs w:val="22"/>
          <w:b w:val="1"/>
          <w:bCs w:val="1"/>
          <w:color w:val="auto"/>
        </w:rPr>
        <w:t>Disclosing Party</w:t>
      </w:r>
      <w:r>
        <w:rPr>
          <w:rFonts w:ascii="Times New Roman" w:cs="Times New Roman" w:eastAsia="Times New Roman" w:hAnsi="Times New Roman"/>
          <w:sz w:val="22"/>
          <w:szCs w:val="22"/>
          <w:color w:val="auto"/>
        </w:rPr>
        <w:t>”) hereunder will: (a) keep the Disclosing Party’s Confidential Information confidential; (b) not publish, or allow to be published, and will not otherwise disclose, or permit the disclosure of, the Disclosing Party’s Confidential Information; and (c) not use, or permit to be used, the Disclosing Party’s Confidential Information for any purpose, except, in each case, to the extent expressly permitted under this Agreement or the Collaboration Agreement (including, for clarity, to exercise any of its rights and perform any of its obligations) or otherwise agreed in writing. Without limiting the generality of the foregoing, to the extent that either Party provides the other Party any Confidential Information owned by any Third Party, the Receiving Party will handle such Confidential Information in accordance with the terms of this ARTICLE 11 applicable to a Receiving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395" w:right="339" w:bottom="1440" w:gutter="0" w:footer="0" w:header="0"/>
        </w:sectPr>
      </w:pPr>
    </w:p>
    <w:bookmarkStart w:id="373" w:name="page374"/>
    <w:bookmarkEnd w:id="373"/>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11.2 </w:t>
      </w:r>
      <w:r>
        <w:rPr>
          <w:rFonts w:ascii="Times New Roman" w:cs="Times New Roman" w:eastAsia="Times New Roman" w:hAnsi="Times New Roman"/>
          <w:sz w:val="22"/>
          <w:szCs w:val="22"/>
          <w:b w:val="1"/>
          <w:bCs w:val="1"/>
          <w:u w:val="single" w:color="auto"/>
          <w:color w:val="auto"/>
        </w:rPr>
        <w:t>Authorized Disclosure</w:t>
      </w:r>
      <w:r>
        <w:rPr>
          <w:rFonts w:ascii="Times New Roman" w:cs="Times New Roman" w:eastAsia="Times New Roman" w:hAnsi="Times New Roman"/>
          <w:sz w:val="22"/>
          <w:szCs w:val="22"/>
          <w:color w:val="auto"/>
        </w:rPr>
        <w:t>. Notwithstanding Section 11.1, each Party may disclose the other Party’s Confidential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to the extent such disclosure is reasonably necessary to:</w:t>
      </w:r>
    </w:p>
    <w:p>
      <w:pPr>
        <w:spacing w:after="0" w:line="150" w:lineRule="exact"/>
        <w:rPr>
          <w:sz w:val="20"/>
          <w:szCs w:val="20"/>
          <w:color w:val="auto"/>
        </w:rPr>
      </w:pPr>
    </w:p>
    <w:p>
      <w:pPr>
        <w:ind w:left="1300" w:firstLine="652"/>
        <w:spacing w:after="0" w:line="236" w:lineRule="auto"/>
        <w:tabs>
          <w:tab w:leader="none" w:pos="2582"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discussion between the Parties of such disclosure through the IP Committee, file or prosecute patent applications as contemplated by this Agreement or the Collaboration Agreement;</w:t>
      </w:r>
    </w:p>
    <w:p>
      <w:pPr>
        <w:spacing w:after="0" w:line="150"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remainder of this Section 11.2, prosecute or defend litigation;</w:t>
      </w:r>
    </w:p>
    <w:p>
      <w:pPr>
        <w:spacing w:after="0" w:line="175" w:lineRule="exact"/>
        <w:rPr>
          <w:rFonts w:ascii="Times New Roman" w:cs="Times New Roman" w:eastAsia="Times New Roman" w:hAnsi="Times New Roman"/>
          <w:sz w:val="22"/>
          <w:szCs w:val="22"/>
          <w:color w:val="auto"/>
        </w:rPr>
      </w:pPr>
    </w:p>
    <w:p>
      <w:pPr>
        <w:jc w:val="both"/>
        <w:ind w:left="1300" w:firstLine="652"/>
        <w:spacing w:after="0" w:line="227" w:lineRule="auto"/>
        <w:tabs>
          <w:tab w:leader="none" w:pos="244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exercise its rights and perform its obligations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disclosure is covered by terms of confidentiality similar to those set forth herein (except with respect to the duration of such terms which will be commercially reasonable under the circumstances);</w:t>
      </w:r>
    </w:p>
    <w:p>
      <w:pPr>
        <w:spacing w:after="0" w:line="150" w:lineRule="exact"/>
        <w:rPr>
          <w:rFonts w:ascii="Times New Roman" w:cs="Times New Roman" w:eastAsia="Times New Roman" w:hAnsi="Times New Roman"/>
          <w:sz w:val="22"/>
          <w:szCs w:val="22"/>
          <w:color w:val="auto"/>
        </w:rPr>
      </w:pPr>
    </w:p>
    <w:p>
      <w:pPr>
        <w:jc w:val="both"/>
        <w:ind w:left="1300" w:firstLine="652"/>
        <w:spacing w:after="0" w:line="217" w:lineRule="auto"/>
        <w:tabs>
          <w:tab w:leader="none" w:pos="2446"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remainder of this Section 11.2, its advisors (including financial advisors, attorneys and accountants), actual or potential acquisition partners, financing sources, investors, underwriters or sub(licensees) on a need to know basis;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disclosure is covered by terms of confidentiality similar to those set forth herein (except with respect to the duration of such terms which will be commercially reasonable under the circumstances) which may include professional ethical obligations;</w:t>
      </w:r>
    </w:p>
    <w:p>
      <w:pPr>
        <w:spacing w:after="0" w:line="152"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remainder of this Section 11.2, comply with Applicable Law; or</w:t>
      </w:r>
    </w:p>
    <w:p>
      <w:pPr>
        <w:spacing w:after="0" w:line="179"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 such Confidential Information in Regulatory Filings.</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In addition to the foregoing, each Party may disclose the other Party’s Confidential Information to Third Parties (other than an actual or potential competitor of such Party) in connection with its obligations under this Agreement or the Collaboration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disclosure is covered by terms of confidentiality similar to those set forth herein.</w:t>
      </w:r>
    </w:p>
    <w:p>
      <w:pPr>
        <w:spacing w:after="0" w:line="15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If a Party deems it reasonably necessary to disclose Confidential Information belonging to the other Party pursuant to Sections 11.2(b) or 11.2(e), the disclosing Party will, to the extent possible, give reasonable advance notice of such disclosure to the other Party and take reasonable measures to ensure confidential treatment of such information.</w:t>
      </w:r>
    </w:p>
    <w:p>
      <w:pPr>
        <w:spacing w:after="0" w:line="148"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11.3 </w:t>
      </w:r>
      <w:r>
        <w:rPr>
          <w:rFonts w:ascii="Times New Roman" w:cs="Times New Roman" w:eastAsia="Times New Roman" w:hAnsi="Times New Roman"/>
          <w:sz w:val="22"/>
          <w:szCs w:val="22"/>
          <w:b w:val="1"/>
          <w:bCs w:val="1"/>
          <w:u w:val="single" w:color="auto"/>
          <w:color w:val="auto"/>
        </w:rPr>
        <w:t>Expiration or Termination of this Agreement</w:t>
      </w:r>
      <w:r>
        <w:rPr>
          <w:rFonts w:ascii="Times New Roman" w:cs="Times New Roman" w:eastAsia="Times New Roman" w:hAnsi="Times New Roman"/>
          <w:sz w:val="22"/>
          <w:szCs w:val="22"/>
          <w:color w:val="auto"/>
        </w:rPr>
        <w:t>. Following the expiration or termination of this Agreement,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requested by the Disclosing Party, the Receiving Party will return or destroy, at the Receiving Party’s election, all data, files, records and other materials containing or comprising the Disclosing Party’s Confidential Information, except to the extent such Confidential Information is necessary or useful to conduct surviving obligations or exercise surviving rights. Notwithstanding the foregoing, (a) the Receiving Party will be permitted to retain one copy of such data, files, records, and other materials for archival and legal compliance purposes and (b) the Receiving Party will not be required to delete or destroy any electronic back-up tapes or other electronic back-up files that have been created solely by the Receiving Party’s or its Affiliate’s automatic or routine archiving and back-up procedures, to the extent created and retained in a manner consistent with its or their standard archiving and back-up procedures.</w:t>
      </w:r>
    </w:p>
    <w:p>
      <w:pPr>
        <w:spacing w:after="0" w:line="14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11.4 </w:t>
      </w:r>
      <w:r>
        <w:rPr>
          <w:rFonts w:ascii="Times New Roman" w:cs="Times New Roman" w:eastAsia="Times New Roman" w:hAnsi="Times New Roman"/>
          <w:sz w:val="22"/>
          <w:szCs w:val="22"/>
          <w:b w:val="1"/>
          <w:bCs w:val="1"/>
          <w:u w:val="single" w:color="auto"/>
          <w:color w:val="auto"/>
        </w:rPr>
        <w:t>Applicable Law; SEC Filings and Other Disclosures</w:t>
      </w:r>
      <w:r>
        <w:rPr>
          <w:rFonts w:ascii="Times New Roman" w:cs="Times New Roman" w:eastAsia="Times New Roman" w:hAnsi="Times New Roman"/>
          <w:sz w:val="22"/>
          <w:szCs w:val="22"/>
          <w:color w:val="auto"/>
        </w:rPr>
        <w:t>. Either Party may disclose the terms of this Agreement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activities performed hereunder to the extent required to comply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391" w:right="339" w:bottom="1440" w:gutter="0" w:footer="0" w:header="0"/>
        </w:sectPr>
      </w:pPr>
    </w:p>
    <w:bookmarkStart w:id="374" w:name="page375"/>
    <w:bookmarkEnd w:id="374"/>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with Applicable Law, including the rules and regulations promulgated by the United States Securities and Exchange Commission or any equivalent governmental agency in any country in the Territory;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such disclosure includes terms or information that have not previously been so disclosed, such Party will provide the other Party a reasonable opportunity to review such disclosure and reasonably consider the other Party’s comments regarding confidential treatment sought for such disclosure.</w:t>
      </w:r>
    </w:p>
    <w:p>
      <w:pPr>
        <w:spacing w:after="0" w:line="148"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b w:val="1"/>
          <w:bCs w:val="1"/>
          <w:color w:val="auto"/>
        </w:rPr>
        <w:t>11.5</w:t>
      </w:r>
      <w:r>
        <w:rPr>
          <w:sz w:val="20"/>
          <w:szCs w:val="20"/>
          <w:color w:val="auto"/>
        </w:rPr>
        <w:tab/>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12</w:t>
      </w: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51"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b w:val="1"/>
          <w:bCs w:val="1"/>
          <w:color w:val="auto"/>
        </w:rPr>
        <w:t xml:space="preserve">12.1 </w:t>
      </w:r>
      <w:r>
        <w:rPr>
          <w:rFonts w:ascii="Times New Roman" w:cs="Times New Roman" w:eastAsia="Times New Roman" w:hAnsi="Times New Roman"/>
          <w:sz w:val="21"/>
          <w:szCs w:val="21"/>
          <w:b w:val="1"/>
          <w:bCs w:val="1"/>
          <w:u w:val="single" w:color="auto"/>
          <w:color w:val="auto"/>
        </w:rPr>
        <w:t>Assignment</w:t>
      </w:r>
      <w:r>
        <w:rPr>
          <w:rFonts w:ascii="Times New Roman" w:cs="Times New Roman" w:eastAsia="Times New Roman" w:hAnsi="Times New Roman"/>
          <w:sz w:val="21"/>
          <w:szCs w:val="21"/>
          <w:color w:val="auto"/>
        </w:rPr>
        <w:t>. This Agreement will not be assignable by either Party to any Third Party without the written consent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of the non-assigning Party. Notwithstanding the foregoing, either Party may assign this Agreement or its rights and obligations under this Agreement, without the written consent of the other Party, to an Affiliate or to a Third Party that acquires all or substantially all of the business or assets of such Party to which this Agreement relates (whether by merger, reorganization, acquisition, sale or otherwise), and agrees in writing to be bound by the terms of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Affiliate or Third Party maintains the rights and abilities to perform the obligations of the assigning Party under this Agreement. The Parties agree that this Agreement and the Collaboration Agreement will always be assigned together to the same assignee;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upon termination of the OSIF Agreement, this Agreement may be assigned to OSIF pursuant to Section 8.6(a)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OSIF Agreement. This Agreement will be binding upon the successors and permitted assigns of the Parties and the name of a Party appearing herein will be deemed to include the names of such Party’s successors and permitted assigns to the extent necessary to carry out the intent of this Agreement. Any assignment not in accordance with this Section 12.1 will be void. Notwithstanding anything to the contrary in this Agreement and subject to prior written notice by Company to Vertex, Company may sell, assign or otherwise transfer or pledge as a security all or any part of its rights to receive royalties and other related payments under this Agreement (collectively, “</w:t>
      </w:r>
      <w:r>
        <w:rPr>
          <w:rFonts w:ascii="Times New Roman" w:cs="Times New Roman" w:eastAsia="Times New Roman" w:hAnsi="Times New Roman"/>
          <w:sz w:val="21"/>
          <w:szCs w:val="21"/>
          <w:b w:val="1"/>
          <w:bCs w:val="1"/>
          <w:color w:val="auto"/>
        </w:rPr>
        <w:t>Rights</w:t>
      </w:r>
      <w:r>
        <w:rPr>
          <w:rFonts w:ascii="Times New Roman" w:cs="Times New Roman" w:eastAsia="Times New Roman" w:hAnsi="Times New Roman"/>
          <w:sz w:val="21"/>
          <w:szCs w:val="21"/>
          <w:color w:val="auto"/>
        </w:rPr>
        <w:t>”) without the prior consent of Vertex, and any permitted assignee, pledgee or other transferee of such Rights may likewise sell, assign or otherwise transfer or pledge as a security all or any part of such assignee, pledgee or other transferee’s Rights without the prior written consent of Vertex, and Company or such assignee, pledgee or other transferee may disclose Royalty Information (as defined under the Collaboration Agreement) in accordance with Section 10.8 of the Collaboration Agreement as if such permitted assignee, pledgee or other transferee were Company.</w:t>
      </w:r>
    </w:p>
    <w:p>
      <w:pPr>
        <w:spacing w:after="0" w:line="15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12.2 </w:t>
      </w:r>
      <w:r>
        <w:rPr>
          <w:rFonts w:ascii="Times New Roman" w:cs="Times New Roman" w:eastAsia="Times New Roman" w:hAnsi="Times New Roman"/>
          <w:sz w:val="22"/>
          <w:szCs w:val="22"/>
          <w:b w:val="1"/>
          <w:bCs w:val="1"/>
          <w:u w:val="single" w:color="auto"/>
          <w:color w:val="auto"/>
        </w:rPr>
        <w:t>Change of Control of Company</w:t>
      </w:r>
      <w:r>
        <w:rPr>
          <w:rFonts w:ascii="Times New Roman" w:cs="Times New Roman" w:eastAsia="Times New Roman" w:hAnsi="Times New Roman"/>
          <w:sz w:val="22"/>
          <w:szCs w:val="22"/>
          <w:color w:val="auto"/>
        </w:rPr>
        <w:t>. Company will notify Vertex in writing promptly (and in any event within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the execution of a definitive agreement by Company, its Affiliates or its equity holders that could reasonably be expected to result in a Change of Control of Company.</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12.3 </w:t>
      </w:r>
      <w:r>
        <w:rPr>
          <w:rFonts w:ascii="Times New Roman" w:cs="Times New Roman" w:eastAsia="Times New Roman" w:hAnsi="Times New Roman"/>
          <w:sz w:val="22"/>
          <w:szCs w:val="22"/>
          <w:b w:val="1"/>
          <w:bCs w:val="1"/>
          <w:u w:val="single" w:color="auto"/>
          <w:color w:val="auto"/>
        </w:rPr>
        <w:t>Force Majeure</w:t>
      </w:r>
      <w:r>
        <w:rPr>
          <w:rFonts w:ascii="Times New Roman" w:cs="Times New Roman" w:eastAsia="Times New Roman" w:hAnsi="Times New Roman"/>
          <w:sz w:val="22"/>
          <w:szCs w:val="22"/>
          <w:color w:val="auto"/>
        </w:rPr>
        <w:t>. Each Party will be excused from the performance of its obligations under this Agreement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extent that such performance is prevented by Force Majeure and the nonperforming Party promptly provides written notice of the Force Majeure to the other Party. Such excuse will continue for so long as the condition constituting a Force Majeure continues, on the condition that the nonperforming Party continues to use Commercially Reasonable Efforts to resume performance of its obligations under this Agreement.</w:t>
      </w:r>
    </w:p>
    <w:p>
      <w:pPr>
        <w:spacing w:after="0" w:line="14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12.4 </w:t>
      </w:r>
      <w:r>
        <w:rPr>
          <w:rFonts w:ascii="Times New Roman" w:cs="Times New Roman" w:eastAsia="Times New Roman" w:hAnsi="Times New Roman"/>
          <w:sz w:val="22"/>
          <w:szCs w:val="22"/>
          <w:b w:val="1"/>
          <w:bCs w:val="1"/>
          <w:u w:val="single" w:color="auto"/>
          <w:color w:val="auto"/>
        </w:rPr>
        <w:t>Representation by Legal Counsel</w:t>
      </w:r>
      <w:r>
        <w:rPr>
          <w:rFonts w:ascii="Times New Roman" w:cs="Times New Roman" w:eastAsia="Times New Roman" w:hAnsi="Times New Roman"/>
          <w:sz w:val="22"/>
          <w:szCs w:val="22"/>
          <w:color w:val="auto"/>
        </w:rPr>
        <w:t>. Each Party hereto represents that it has been represented by legal counsel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connection with this Agreement and acknowledges that it has participated in the drafting hereof. In interpreting and applying the terms and provisions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395" w:right="339"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22"/>
          <w:szCs w:val="22"/>
          <w:color w:val="auto"/>
        </w:rPr>
        <w:t>Agreement, no presumption will exist or be implied against the Party that drafted such terms and provisions.</w:t>
      </w:r>
    </w:p>
    <w:p>
      <w:pPr>
        <w:spacing w:after="0" w:line="17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12.5 </w:t>
      </w: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All written notices which are required or permitted hereunder will be in writing and sufficient if delivered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personally or sent by nationally-recognized overnight courier, or through email to the applicable email address, addressed as follows: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Vertex:</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Vertex Pharmaceuticals Incorporated</w:t>
      </w:r>
    </w:p>
    <w:p>
      <w:pPr>
        <w:ind w:left="660"/>
        <w:spacing w:after="0" w:line="204" w:lineRule="auto"/>
        <w:rPr>
          <w:sz w:val="20"/>
          <w:szCs w:val="20"/>
          <w:color w:val="auto"/>
        </w:rPr>
      </w:pPr>
      <w:r>
        <w:rPr>
          <w:rFonts w:ascii="Times New Roman" w:cs="Times New Roman" w:eastAsia="Times New Roman" w:hAnsi="Times New Roman"/>
          <w:sz w:val="22"/>
          <w:szCs w:val="22"/>
          <w:color w:val="auto"/>
        </w:rPr>
        <w:t>Attn: Business Development</w:t>
      </w:r>
    </w:p>
    <w:p>
      <w:pPr>
        <w:ind w:left="660"/>
        <w:spacing w:after="0" w:line="205" w:lineRule="auto"/>
        <w:rPr>
          <w:sz w:val="20"/>
          <w:szCs w:val="20"/>
          <w:color w:val="auto"/>
        </w:rPr>
      </w:pPr>
      <w:r>
        <w:rPr>
          <w:rFonts w:ascii="Times New Roman" w:cs="Times New Roman" w:eastAsia="Times New Roman" w:hAnsi="Times New Roman"/>
          <w:sz w:val="22"/>
          <w:szCs w:val="22"/>
          <w:color w:val="auto"/>
        </w:rPr>
        <w:t>50 Northern Avenue</w:t>
      </w:r>
    </w:p>
    <w:p>
      <w:pPr>
        <w:ind w:left="660"/>
        <w:spacing w:after="0" w:line="205" w:lineRule="auto"/>
        <w:rPr>
          <w:sz w:val="20"/>
          <w:szCs w:val="20"/>
          <w:color w:val="auto"/>
        </w:rPr>
      </w:pPr>
      <w:r>
        <w:rPr>
          <w:rFonts w:ascii="Times New Roman" w:cs="Times New Roman" w:eastAsia="Times New Roman" w:hAnsi="Times New Roman"/>
          <w:sz w:val="22"/>
          <w:szCs w:val="22"/>
          <w:color w:val="auto"/>
        </w:rPr>
        <w:t>Boston, Massachusetts 02210</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Email: [***]</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to:</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Vertex Pharmaceuticals Incorporated</w:t>
      </w:r>
    </w:p>
    <w:p>
      <w:pPr>
        <w:ind w:left="660"/>
        <w:spacing w:after="0" w:line="204" w:lineRule="auto"/>
        <w:rPr>
          <w:sz w:val="20"/>
          <w:szCs w:val="20"/>
          <w:color w:val="auto"/>
        </w:rPr>
      </w:pPr>
      <w:r>
        <w:rPr>
          <w:rFonts w:ascii="Times New Roman" w:cs="Times New Roman" w:eastAsia="Times New Roman" w:hAnsi="Times New Roman"/>
          <w:sz w:val="22"/>
          <w:szCs w:val="22"/>
          <w:color w:val="auto"/>
        </w:rPr>
        <w:t>Attn: Corporate Legal</w:t>
      </w:r>
    </w:p>
    <w:p>
      <w:pPr>
        <w:ind w:left="660"/>
        <w:spacing w:after="0" w:line="205" w:lineRule="auto"/>
        <w:rPr>
          <w:sz w:val="20"/>
          <w:szCs w:val="20"/>
          <w:color w:val="auto"/>
        </w:rPr>
      </w:pPr>
      <w:r>
        <w:rPr>
          <w:rFonts w:ascii="Times New Roman" w:cs="Times New Roman" w:eastAsia="Times New Roman" w:hAnsi="Times New Roman"/>
          <w:sz w:val="22"/>
          <w:szCs w:val="22"/>
          <w:color w:val="auto"/>
        </w:rPr>
        <w:t>50 Northern Avenue</w:t>
      </w:r>
    </w:p>
    <w:p>
      <w:pPr>
        <w:ind w:left="660"/>
        <w:spacing w:after="0" w:line="205" w:lineRule="auto"/>
        <w:rPr>
          <w:sz w:val="20"/>
          <w:szCs w:val="20"/>
          <w:color w:val="auto"/>
        </w:rPr>
      </w:pPr>
      <w:r>
        <w:rPr>
          <w:rFonts w:ascii="Times New Roman" w:cs="Times New Roman" w:eastAsia="Times New Roman" w:hAnsi="Times New Roman"/>
          <w:sz w:val="22"/>
          <w:szCs w:val="22"/>
          <w:color w:val="auto"/>
        </w:rPr>
        <w:t>Boston, Massachusetts 02210</w:t>
      </w:r>
    </w:p>
    <w:p>
      <w:pPr>
        <w:ind w:left="660"/>
        <w:spacing w:after="0" w:line="205" w:lineRule="auto"/>
        <w:rPr>
          <w:sz w:val="20"/>
          <w:szCs w:val="20"/>
          <w:color w:val="auto"/>
        </w:rPr>
      </w:pPr>
      <w:r>
        <w:rPr>
          <w:rFonts w:ascii="Times New Roman" w:cs="Times New Roman" w:eastAsia="Times New Roman" w:hAnsi="Times New Roman"/>
          <w:sz w:val="22"/>
          <w:szCs w:val="22"/>
          <w:color w:val="auto"/>
        </w:rPr>
        <w:t>Email: [***] &amp;</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and:</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Ropes &amp; Gray LLP</w:t>
      </w:r>
    </w:p>
    <w:p>
      <w:pPr>
        <w:ind w:left="660"/>
        <w:spacing w:after="0" w:line="204" w:lineRule="auto"/>
        <w:rPr>
          <w:sz w:val="20"/>
          <w:szCs w:val="20"/>
          <w:color w:val="auto"/>
        </w:rPr>
      </w:pPr>
      <w:r>
        <w:rPr>
          <w:rFonts w:ascii="Times New Roman" w:cs="Times New Roman" w:eastAsia="Times New Roman" w:hAnsi="Times New Roman"/>
          <w:sz w:val="22"/>
          <w:szCs w:val="22"/>
          <w:color w:val="auto"/>
        </w:rPr>
        <w:t>Attn: [***]</w:t>
      </w:r>
    </w:p>
    <w:p>
      <w:pPr>
        <w:ind w:left="660"/>
        <w:spacing w:after="0" w:line="205" w:lineRule="auto"/>
        <w:rPr>
          <w:sz w:val="20"/>
          <w:szCs w:val="20"/>
          <w:color w:val="auto"/>
        </w:rPr>
      </w:pPr>
      <w:r>
        <w:rPr>
          <w:rFonts w:ascii="Times New Roman" w:cs="Times New Roman" w:eastAsia="Times New Roman" w:hAnsi="Times New Roman"/>
          <w:sz w:val="22"/>
          <w:szCs w:val="22"/>
          <w:color w:val="auto"/>
        </w:rPr>
        <w:t>Prudential Tower</w:t>
      </w:r>
    </w:p>
    <w:p>
      <w:pPr>
        <w:ind w:left="660"/>
        <w:spacing w:after="0" w:line="205" w:lineRule="auto"/>
        <w:rPr>
          <w:sz w:val="20"/>
          <w:szCs w:val="20"/>
          <w:color w:val="auto"/>
        </w:rPr>
      </w:pPr>
      <w:r>
        <w:rPr>
          <w:rFonts w:ascii="Times New Roman" w:cs="Times New Roman" w:eastAsia="Times New Roman" w:hAnsi="Times New Roman"/>
          <w:sz w:val="22"/>
          <w:szCs w:val="22"/>
          <w:color w:val="auto"/>
        </w:rPr>
        <w:t>800 Boylston Street</w:t>
      </w:r>
    </w:p>
    <w:p>
      <w:pPr>
        <w:ind w:left="660"/>
        <w:spacing w:after="0" w:line="205" w:lineRule="auto"/>
        <w:rPr>
          <w:sz w:val="20"/>
          <w:szCs w:val="20"/>
          <w:color w:val="auto"/>
        </w:rPr>
      </w:pPr>
      <w:r>
        <w:rPr>
          <w:rFonts w:ascii="Times New Roman" w:cs="Times New Roman" w:eastAsia="Times New Roman" w:hAnsi="Times New Roman"/>
          <w:sz w:val="22"/>
          <w:szCs w:val="22"/>
          <w:color w:val="auto"/>
        </w:rPr>
        <w:t>Boston, Massachusetts 02199</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Email: [***]</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Company:</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Entrada Therapeutics, Inc.</w:t>
      </w:r>
    </w:p>
    <w:p>
      <w:pPr>
        <w:ind w:left="660"/>
        <w:spacing w:after="0" w:line="204" w:lineRule="auto"/>
        <w:rPr>
          <w:sz w:val="20"/>
          <w:szCs w:val="20"/>
          <w:color w:val="auto"/>
        </w:rPr>
      </w:pPr>
      <w:r>
        <w:rPr>
          <w:rFonts w:ascii="Times New Roman" w:cs="Times New Roman" w:eastAsia="Times New Roman" w:hAnsi="Times New Roman"/>
          <w:sz w:val="22"/>
          <w:szCs w:val="22"/>
          <w:color w:val="auto"/>
        </w:rPr>
        <w:t>Attn: Chief Operating Officer</w:t>
      </w:r>
    </w:p>
    <w:p>
      <w:pPr>
        <w:ind w:left="660"/>
        <w:spacing w:after="0" w:line="205" w:lineRule="auto"/>
        <w:rPr>
          <w:sz w:val="20"/>
          <w:szCs w:val="20"/>
          <w:color w:val="auto"/>
        </w:rPr>
      </w:pPr>
      <w:r>
        <w:rPr>
          <w:rFonts w:ascii="Times New Roman" w:cs="Times New Roman" w:eastAsia="Times New Roman" w:hAnsi="Times New Roman"/>
          <w:sz w:val="22"/>
          <w:szCs w:val="22"/>
          <w:color w:val="auto"/>
        </w:rPr>
        <w:t>6 Tide Street</w:t>
      </w:r>
    </w:p>
    <w:p>
      <w:pPr>
        <w:ind w:left="660"/>
        <w:spacing w:after="0" w:line="205" w:lineRule="auto"/>
        <w:rPr>
          <w:sz w:val="20"/>
          <w:szCs w:val="20"/>
          <w:color w:val="auto"/>
        </w:rPr>
      </w:pPr>
      <w:r>
        <w:rPr>
          <w:rFonts w:ascii="Times New Roman" w:cs="Times New Roman" w:eastAsia="Times New Roman" w:hAnsi="Times New Roman"/>
          <w:sz w:val="22"/>
          <w:szCs w:val="22"/>
          <w:color w:val="auto"/>
        </w:rPr>
        <w:t>Boston, Massachusetts 02210</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Email: [***]</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to:</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Entrada Therapeutics, Inc.</w:t>
      </w:r>
    </w:p>
    <w:p>
      <w:pPr>
        <w:ind w:left="660"/>
        <w:spacing w:after="0" w:line="204" w:lineRule="auto"/>
        <w:rPr>
          <w:sz w:val="20"/>
          <w:szCs w:val="20"/>
          <w:color w:val="auto"/>
        </w:rPr>
      </w:pPr>
      <w:r>
        <w:rPr>
          <w:rFonts w:ascii="Times New Roman" w:cs="Times New Roman" w:eastAsia="Times New Roman" w:hAnsi="Times New Roman"/>
          <w:sz w:val="22"/>
          <w:szCs w:val="22"/>
          <w:color w:val="auto"/>
        </w:rPr>
        <w:t>Attn: Legal Notice</w:t>
      </w:r>
    </w:p>
    <w:p>
      <w:pPr>
        <w:ind w:left="660"/>
        <w:spacing w:after="0" w:line="205" w:lineRule="auto"/>
        <w:rPr>
          <w:sz w:val="20"/>
          <w:szCs w:val="20"/>
          <w:color w:val="auto"/>
        </w:rPr>
      </w:pPr>
      <w:r>
        <w:rPr>
          <w:rFonts w:ascii="Times New Roman" w:cs="Times New Roman" w:eastAsia="Times New Roman" w:hAnsi="Times New Roman"/>
          <w:sz w:val="22"/>
          <w:szCs w:val="22"/>
          <w:color w:val="auto"/>
        </w:rPr>
        <w:t>6 Tide Street</w:t>
      </w:r>
    </w:p>
    <w:p>
      <w:pPr>
        <w:ind w:left="660"/>
        <w:spacing w:after="0" w:line="205" w:lineRule="auto"/>
        <w:rPr>
          <w:sz w:val="20"/>
          <w:szCs w:val="20"/>
          <w:color w:val="auto"/>
        </w:rPr>
      </w:pPr>
      <w:r>
        <w:rPr>
          <w:rFonts w:ascii="Times New Roman" w:cs="Times New Roman" w:eastAsia="Times New Roman" w:hAnsi="Times New Roman"/>
          <w:sz w:val="22"/>
          <w:szCs w:val="22"/>
          <w:color w:val="auto"/>
        </w:rPr>
        <w:t>Boston, Massachusetts 02210</w:t>
      </w:r>
    </w:p>
    <w:p>
      <w:pPr>
        <w:ind w:left="660"/>
        <w:spacing w:after="0" w:line="205" w:lineRule="auto"/>
        <w:rPr>
          <w:sz w:val="20"/>
          <w:szCs w:val="20"/>
          <w:color w:val="auto"/>
        </w:rPr>
      </w:pPr>
      <w:r>
        <w:rPr>
          <w:rFonts w:ascii="Times New Roman" w:cs="Times New Roman" w:eastAsia="Times New Roman" w:hAnsi="Times New Roman"/>
          <w:sz w:val="22"/>
          <w:szCs w:val="22"/>
          <w:color w:val="auto"/>
        </w:rPr>
        <w:t>Email: [***] &amp;</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and:</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Goodwin Procter LLP</w:t>
      </w:r>
    </w:p>
    <w:p>
      <w:pPr>
        <w:ind w:left="660"/>
        <w:spacing w:after="0"/>
        <w:rPr>
          <w:sz w:val="20"/>
          <w:szCs w:val="20"/>
          <w:color w:val="auto"/>
        </w:rPr>
      </w:pPr>
      <w:r>
        <w:rPr>
          <w:rFonts w:ascii="Times New Roman" w:cs="Times New Roman" w:eastAsia="Times New Roman" w:hAnsi="Times New Roman"/>
          <w:sz w:val="22"/>
          <w:szCs w:val="22"/>
          <w:color w:val="auto"/>
        </w:rPr>
        <w:t>Attn: [***]</w:t>
      </w: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395" w:right="339" w:bottom="1440" w:gutter="0" w:footer="0" w:header="0"/>
          <w:type w:val="continuous"/>
        </w:sectPr>
      </w:pPr>
    </w:p>
    <w:bookmarkStart w:id="376" w:name="page377"/>
    <w:bookmarkEnd w:id="376"/>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601 Marshall Street</w:t>
      </w:r>
    </w:p>
    <w:p>
      <w:pPr>
        <w:ind w:left="660"/>
        <w:spacing w:after="0" w:line="204" w:lineRule="auto"/>
        <w:rPr>
          <w:sz w:val="20"/>
          <w:szCs w:val="20"/>
          <w:color w:val="auto"/>
        </w:rPr>
      </w:pPr>
      <w:r>
        <w:rPr>
          <w:rFonts w:ascii="Times New Roman" w:cs="Times New Roman" w:eastAsia="Times New Roman" w:hAnsi="Times New Roman"/>
          <w:sz w:val="22"/>
          <w:szCs w:val="22"/>
          <w:color w:val="auto"/>
        </w:rPr>
        <w:t>Redwood City, CA 94063</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Email: [***]</w:t>
      </w:r>
    </w:p>
    <w:p>
      <w:pPr>
        <w:spacing w:after="0" w:line="155"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or to such other address as the Party to whom written notice is to be given may have furnished to the other Party in writing in accordance herewith. In addition, each Party will deliver a courtesy copy to the other Party’s Alliance Manager (as defined under the Collaboration Agreement) concurrently with such notice. Any such written notice will be deemed to have been given and received by the other Party: (a) when delivered if personally delivered; or (b) on receipt if sent by overnight courier or email. Prior to any assignment of this Agreement to OSIF, all notice required under this Agreement will be deemed given if provided to Company for substantially the same purpose or pursuant to any corresponding Section under the Collaboration Agreement and in accordance with Section 11.5 thereof.</w:t>
      </w:r>
    </w:p>
    <w:p>
      <w:pPr>
        <w:spacing w:after="0" w:line="152"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12.6 </w:t>
      </w: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color w:val="auto"/>
        </w:rPr>
        <w:t>. No amendment, modification or supplement of any provision of this Agreement will be valid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unless made in writing and signed by a duly authorized officer of each of Vertex and Company.</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12.7 </w:t>
      </w:r>
      <w:r>
        <w:rPr>
          <w:rFonts w:ascii="Times New Roman" w:cs="Times New Roman" w:eastAsia="Times New Roman" w:hAnsi="Times New Roman"/>
          <w:sz w:val="22"/>
          <w:szCs w:val="22"/>
          <w:b w:val="1"/>
          <w:bCs w:val="1"/>
          <w:u w:val="single" w:color="auto"/>
          <w:color w:val="auto"/>
        </w:rPr>
        <w:t>Waiver</w:t>
      </w:r>
      <w:r>
        <w:rPr>
          <w:rFonts w:ascii="Times New Roman" w:cs="Times New Roman" w:eastAsia="Times New Roman" w:hAnsi="Times New Roman"/>
          <w:sz w:val="22"/>
          <w:szCs w:val="22"/>
          <w:color w:val="auto"/>
        </w:rPr>
        <w:t>. No provision of this Agreement will be waived by any act, omission or knowledge of a Party or its agents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employees except by an instrument in writing expressly waiving such provision and signed by a duly authorized officer of the waiving Party. The waiver by either Party of any breach of any provision hereof by the other Party will not be construed to be a waiver of any succeeding breach of such provision or a waiver of the provision itself.</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12.8 </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clause or portion thereof in this Agreement is for any reason held to be invalid, illegal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unenforceable, the same will not affect any other portion of this Agreement, as it is the intent of the Parties that this Agreement will be construed in such fashion as to maintain its existence, validity and enforceability to the greatest extent possible. In any such event, this Agreement will be construed as if such clause of portion thereof had never been contained in this Agreement, and there will be deemed substituted therefor such provision as will most nearly carry out the intent of the Parties as expressed in this Agreement to the fullest extent permitted by Applicable Law.</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12.9 </w:t>
      </w:r>
      <w:r>
        <w:rPr>
          <w:rFonts w:ascii="Times New Roman" w:cs="Times New Roman" w:eastAsia="Times New Roman" w:hAnsi="Times New Roman"/>
          <w:sz w:val="22"/>
          <w:szCs w:val="22"/>
          <w:b w:val="1"/>
          <w:bCs w:val="1"/>
          <w:u w:val="single" w:color="auto"/>
          <w:color w:val="auto"/>
        </w:rPr>
        <w:t>Descriptive Headings</w:t>
      </w:r>
      <w:r>
        <w:rPr>
          <w:rFonts w:ascii="Times New Roman" w:cs="Times New Roman" w:eastAsia="Times New Roman" w:hAnsi="Times New Roman"/>
          <w:sz w:val="22"/>
          <w:szCs w:val="22"/>
          <w:color w:val="auto"/>
        </w:rPr>
        <w:t>. The descriptive headings of this Agreement are for convenience only and will be of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force or effect in construing or interpreting any of the provisions of this Agreement.</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12.10 </w:t>
      </w:r>
      <w:r>
        <w:rPr>
          <w:rFonts w:ascii="Times New Roman" w:cs="Times New Roman" w:eastAsia="Times New Roman" w:hAnsi="Times New Roman"/>
          <w:sz w:val="22"/>
          <w:szCs w:val="22"/>
          <w:b w:val="1"/>
          <w:bCs w:val="1"/>
          <w:u w:val="single" w:color="auto"/>
          <w:color w:val="auto"/>
        </w:rPr>
        <w:t>Export Control</w:t>
      </w:r>
      <w:r>
        <w:rPr>
          <w:rFonts w:ascii="Times New Roman" w:cs="Times New Roman" w:eastAsia="Times New Roman" w:hAnsi="Times New Roman"/>
          <w:sz w:val="22"/>
          <w:szCs w:val="22"/>
          <w:color w:val="auto"/>
        </w:rPr>
        <w:t>. This Agreement is made subject to any restrictions concerning the export of products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technical information from the United States of America or other countries that may be imposed upon or related to Company or Vertex from time to time. Each Party agrees that it will not export, directly or indirectly, any technical information acquired from the other Party under this Agreement or any products using such technical information to a location or in a manner that at the time of export requires an export license or other governmental approval, without first obtaining the written consent to do so from the appropriate Governmental Authority.</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12.11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Agreement, and all claims arising under or in connection therewith, will be governed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interpreted in accordance with the substantive laws of The Commonwealth of Massachusetts, without regard to conflict of law principles thereof.</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12.12 </w:t>
      </w:r>
      <w:r>
        <w:rPr>
          <w:rFonts w:ascii="Times New Roman" w:cs="Times New Roman" w:eastAsia="Times New Roman" w:hAnsi="Times New Roman"/>
          <w:sz w:val="22"/>
          <w:szCs w:val="22"/>
          <w:b w:val="1"/>
          <w:bCs w:val="1"/>
          <w:u w:val="single" w:color="auto"/>
          <w:color w:val="auto"/>
        </w:rPr>
        <w:t>Dispute Resolution</w:t>
      </w:r>
      <w:r>
        <w:rPr>
          <w:rFonts w:ascii="Times New Roman" w:cs="Times New Roman" w:eastAsia="Times New Roman" w:hAnsi="Times New Roman"/>
          <w:sz w:val="22"/>
          <w:szCs w:val="22"/>
          <w:color w:val="auto"/>
        </w:rPr>
        <w:t>. Subject to Section 12.12.4 regarding the resolution of certain Patent and Know-How-related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disputes, if a dispute arises between the Parties in connection with or relating to this Agreement or any document or instrument delivered in connection herewith (a “</w:t>
      </w:r>
      <w:r>
        <w:rPr>
          <w:rFonts w:ascii="Times New Roman" w:cs="Times New Roman" w:eastAsia="Times New Roman" w:hAnsi="Times New Roman"/>
          <w:sz w:val="22"/>
          <w:szCs w:val="22"/>
          <w:b w:val="1"/>
          <w:bCs w:val="1"/>
          <w:color w:val="auto"/>
        </w:rPr>
        <w:t>Dispute</w:t>
      </w:r>
      <w:r>
        <w:rPr>
          <w:rFonts w:ascii="Times New Roman" w:cs="Times New Roman" w:eastAsia="Times New Roman" w:hAnsi="Times New Roman"/>
          <w:sz w:val="22"/>
          <w:szCs w:val="22"/>
          <w:color w:val="auto"/>
        </w:rPr>
        <w:t>”), it will be resolved pursuant to Sections 12.12.1, 12.12.2, and 12.12.3.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440" w:right="339" w:bottom="1440" w:gutter="0" w:footer="0" w:header="0"/>
        </w:sectPr>
      </w:pPr>
    </w:p>
    <w:bookmarkStart w:id="377" w:name="page378"/>
    <w:bookmarkEnd w:id="377"/>
    <w:p>
      <w:pPr>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12.12.1 </w:t>
      </w:r>
      <w:r>
        <w:rPr>
          <w:rFonts w:ascii="Times New Roman" w:cs="Times New Roman" w:eastAsia="Times New Roman" w:hAnsi="Times New Roman"/>
          <w:sz w:val="22"/>
          <w:szCs w:val="22"/>
          <w:b w:val="1"/>
          <w:bCs w:val="1"/>
          <w:color w:val="auto"/>
        </w:rPr>
        <w:t>Escalation to Executive Officers</w:t>
      </w:r>
      <w:r>
        <w:rPr>
          <w:rFonts w:ascii="Times New Roman" w:cs="Times New Roman" w:eastAsia="Times New Roman" w:hAnsi="Times New Roman"/>
          <w:sz w:val="22"/>
          <w:szCs w:val="22"/>
          <w:color w:val="auto"/>
        </w:rPr>
        <w:t>. Either Party may refer any Dispute to the Executive Officers of the Parties, who will confer in good faith on the resolution of the issue, by delivering written notice to the other Party.</w:t>
      </w:r>
    </w:p>
    <w:p>
      <w:pPr>
        <w:spacing w:after="0" w:line="133" w:lineRule="exact"/>
        <w:rPr>
          <w:sz w:val="20"/>
          <w:szCs w:val="20"/>
          <w:color w:val="auto"/>
        </w:rPr>
      </w:pPr>
    </w:p>
    <w:p>
      <w:pPr>
        <w:ind w:left="1300"/>
        <w:spacing w:after="0"/>
        <w:tabs>
          <w:tab w:leader="none" w:pos="2200" w:val="left"/>
        </w:tabs>
        <w:rPr>
          <w:sz w:val="20"/>
          <w:szCs w:val="20"/>
          <w:color w:val="auto"/>
        </w:rPr>
      </w:pPr>
      <w:r>
        <w:rPr>
          <w:rFonts w:ascii="Times New Roman" w:cs="Times New Roman" w:eastAsia="Times New Roman" w:hAnsi="Times New Roman"/>
          <w:sz w:val="22"/>
          <w:szCs w:val="22"/>
          <w:color w:val="auto"/>
        </w:rPr>
        <w:t>12.12.2</w:t>
      </w:r>
      <w:r>
        <w:rPr>
          <w:sz w:val="20"/>
          <w:szCs w:val="20"/>
          <w:color w:val="auto"/>
        </w:rPr>
        <w:tab/>
      </w:r>
      <w:r>
        <w:rPr>
          <w:rFonts w:ascii="Times New Roman" w:cs="Times New Roman" w:eastAsia="Times New Roman" w:hAnsi="Times New Roman"/>
          <w:sz w:val="22"/>
          <w:szCs w:val="22"/>
          <w:b w:val="1"/>
          <w:bCs w:val="1"/>
          <w:color w:val="auto"/>
        </w:rPr>
        <w:t>Mediation</w:t>
      </w:r>
      <w:r>
        <w:rPr>
          <w:rFonts w:ascii="Times New Roman" w:cs="Times New Roman" w:eastAsia="Times New Roman" w:hAnsi="Times New Roman"/>
          <w:sz w:val="22"/>
          <w:szCs w:val="22"/>
          <w:color w:val="auto"/>
        </w:rPr>
        <w:t>. If the Executive Officers are unable to agree on the resolution of any such Dispute within</w:t>
      </w:r>
    </w:p>
    <w:p>
      <w:pPr>
        <w:jc w:val="both"/>
        <w:ind w:firstLine="8"/>
        <w:spacing w:after="0" w:line="212" w:lineRule="auto"/>
        <w:tabs>
          <w:tab w:leader="none" w:pos="535"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such other period of time as mutually agreed by the Executive Officers) after such Dispute was first referred to them, then within [***] after the end of such [***] period or such other mutually-agreed period of time, either Party may serve notice to the other Party referring the matter to confidential mediation administered by the American Arbitration Association (“</w:t>
      </w:r>
      <w:r>
        <w:rPr>
          <w:rFonts w:ascii="Times New Roman" w:cs="Times New Roman" w:eastAsia="Times New Roman" w:hAnsi="Times New Roman"/>
          <w:sz w:val="22"/>
          <w:szCs w:val="22"/>
          <w:b w:val="1"/>
          <w:bCs w:val="1"/>
          <w:color w:val="auto"/>
        </w:rPr>
        <w:t>AAA</w:t>
      </w:r>
      <w:r>
        <w:rPr>
          <w:rFonts w:ascii="Times New Roman" w:cs="Times New Roman" w:eastAsia="Times New Roman" w:hAnsi="Times New Roman"/>
          <w:sz w:val="22"/>
          <w:szCs w:val="22"/>
          <w:color w:val="auto"/>
        </w:rPr>
        <w:t>”) under its Mediation Procedures (subject to this Section 12.12.2). Such mediation will begin within [***] following the service of such mediation notice.</w:t>
      </w:r>
    </w:p>
    <w:p>
      <w:pPr>
        <w:spacing w:after="0" w:line="155"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If the Parties are unable to agree on a mediator within [***] after service of the mediation notice, a mediator will be appointed by the AAA. The mediation session will last for at least [***] before any Party has the option to withdraw from the process. The Parties may agree to continue the mediation process beyond [***], until there is a settlement agreement, or one Party or the mediator states that there is no reason to continue. The Parties agree to have their respective principals participate in the mediation process, including being present throughout the mediation session(s). Any period of limitations that would otherwise expire between the reference of the Disputes to the Executive Officers of the Parties and the conclusion of the mediation will be extended until [***] after the conclusion of mediation.</w:t>
      </w:r>
    </w:p>
    <w:p>
      <w:pPr>
        <w:spacing w:after="0" w:line="15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If the Dispute is not resolved through mediation, then either Party may by written notice to the other Party, elect to initiate an arbitration proceeding pursuant to the procedures set forth in Section 12.12.3 for purposes of having the matter settled (the “</w:t>
      </w:r>
      <w:r>
        <w:rPr>
          <w:rFonts w:ascii="Times New Roman" w:cs="Times New Roman" w:eastAsia="Times New Roman" w:hAnsi="Times New Roman"/>
          <w:sz w:val="22"/>
          <w:szCs w:val="22"/>
          <w:b w:val="1"/>
          <w:bCs w:val="1"/>
          <w:color w:val="auto"/>
        </w:rPr>
        <w:t>Arbitration Notice</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color w:val="auto"/>
        </w:rPr>
        <w:t xml:space="preserve">12.12.3 </w:t>
      </w:r>
      <w:r>
        <w:rPr>
          <w:rFonts w:ascii="Times New Roman" w:cs="Times New Roman" w:eastAsia="Times New Roman" w:hAnsi="Times New Roman"/>
          <w:sz w:val="22"/>
          <w:szCs w:val="22"/>
          <w:b w:val="1"/>
          <w:bCs w:val="1"/>
          <w:color w:val="auto"/>
        </w:rPr>
        <w:t>Arbitration</w:t>
      </w:r>
      <w:r>
        <w:rPr>
          <w:rFonts w:ascii="Times New Roman" w:cs="Times New Roman" w:eastAsia="Times New Roman" w:hAnsi="Times New Roman"/>
          <w:sz w:val="22"/>
          <w:szCs w:val="22"/>
          <w:color w:val="auto"/>
        </w:rPr>
        <w:t>. A Party may elect to resolve any Dispute pursuant to arbitration only after the Parties have escalated the Dispute to the Executive Officers pursuant to Section 12.12.1 and attempted to mediate the Dispute pursuant to Section 12.12.2, which process will be a condition precedent to arbitration. The Parties will follow the following procedures to resolve such Dispute under arbitration:</w:t>
      </w:r>
    </w:p>
    <w:p>
      <w:pPr>
        <w:spacing w:after="0" w:line="152" w:lineRule="exact"/>
        <w:rPr>
          <w:sz w:val="20"/>
          <w:szCs w:val="20"/>
          <w:color w:val="auto"/>
        </w:rPr>
      </w:pPr>
    </w:p>
    <w:p>
      <w:pPr>
        <w:jc w:val="both"/>
        <w:ind w:left="1300" w:firstLine="652"/>
        <w:spacing w:after="0" w:line="209" w:lineRule="auto"/>
        <w:tabs>
          <w:tab w:leader="none" w:pos="2485" w:val="left"/>
        </w:tabs>
        <w:numPr>
          <w:ilvl w:val="1"/>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Arbitration</w:t>
      </w:r>
      <w:r>
        <w:rPr>
          <w:rFonts w:ascii="Times New Roman" w:cs="Times New Roman" w:eastAsia="Times New Roman" w:hAnsi="Times New Roman"/>
          <w:sz w:val="22"/>
          <w:szCs w:val="22"/>
          <w:color w:val="auto"/>
        </w:rPr>
        <w:t>. Within [***] following a Party’s receipt of the Arbitration Notice, the Parties will submit such Dispute to, and such Dispute will be finally resolved by, binding arbitration in accordance with the Commercial Arbitration Rules (the “</w:t>
      </w:r>
      <w:r>
        <w:rPr>
          <w:rFonts w:ascii="Times New Roman" w:cs="Times New Roman" w:eastAsia="Times New Roman" w:hAnsi="Times New Roman"/>
          <w:sz w:val="22"/>
          <w:szCs w:val="22"/>
          <w:b w:val="1"/>
          <w:bCs w:val="1"/>
          <w:color w:val="auto"/>
        </w:rPr>
        <w:t>Rules</w:t>
      </w:r>
      <w:r>
        <w:rPr>
          <w:rFonts w:ascii="Times New Roman" w:cs="Times New Roman" w:eastAsia="Times New Roman" w:hAnsi="Times New Roman"/>
          <w:sz w:val="22"/>
          <w:szCs w:val="22"/>
          <w:color w:val="auto"/>
        </w:rPr>
        <w:t>”) of the AAA by an arbitral tribunal composed of [***] impartial arbitrators bound by The Code of Ethics for Arbitrators in Commercial Disputes, all of whom will have relevant experience in the pharmaceutical industry (and the field of pharmaceutical development, commercialization or any other relevant area, as applicable), [***] appointed by each of the Parties within [***] after the Arbitration Notice, and the [***] who will chair the arbitral tribunal appointed by the Party-appointed arbitrators within [***] after the appointment of the [***] arbitrator, or, failing agreement by the Party-appointed arbitrators, by the AAA in accordance with the Rules. If, at the time of the arbitration, the Parties agree in writing to submit the Dispute to a single arbitrator, said single arbitrator will (i) have relevant experience in the pharmaceutical industry (and the field of pharmaceutical development, commercialization or any other relevant area, as applicable) and (ii) be appointed by agreement of the Parties within [***] after the Arbitration Notice, or, failing such agreement, by the AAA in accordance with the Rules. In no case will any arbitrator have participated in a prior mediation involving either Party unless explicitly agreed to by the Parties. Unless otherwise agreed by the Parties hereto, all such arbitration proceedings will be held in Boston, MA, U.S.A. All arbitration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390" w:right="339" w:bottom="1440" w:gutter="0" w:footer="0" w:header="0"/>
        </w:sectPr>
      </w:pPr>
    </w:p>
    <w:bookmarkStart w:id="378" w:name="page379"/>
    <w:bookmarkEnd w:id="378"/>
    <w:p>
      <w:pPr>
        <w:jc w:val="both"/>
        <w:ind w:left="1300"/>
        <w:spacing w:after="0" w:line="225" w:lineRule="auto"/>
        <w:rPr>
          <w:sz w:val="20"/>
          <w:szCs w:val="20"/>
          <w:color w:val="auto"/>
        </w:rPr>
      </w:pPr>
      <w:r>
        <w:rPr>
          <w:rFonts w:ascii="Times New Roman" w:cs="Times New Roman" w:eastAsia="Times New Roman" w:hAnsi="Times New Roman"/>
          <w:sz w:val="22"/>
          <w:szCs w:val="22"/>
          <w:color w:val="auto"/>
        </w:rPr>
        <w:t>proceedings will be conducted in the English language. The Dispute will not be subject to the Commercial Arbitration Rules’ Expedited Procedures, regardless of the amount in controversy, unless otherwise agreed by the Parties in writing.</w:t>
      </w:r>
    </w:p>
    <w:p>
      <w:pPr>
        <w:spacing w:after="0" w:line="153" w:lineRule="exact"/>
        <w:rPr>
          <w:sz w:val="20"/>
          <w:szCs w:val="20"/>
          <w:color w:val="auto"/>
        </w:rPr>
      </w:pPr>
    </w:p>
    <w:p>
      <w:pPr>
        <w:jc w:val="both"/>
        <w:ind w:left="1300" w:firstLine="652"/>
        <w:spacing w:after="0" w:line="211" w:lineRule="auto"/>
        <w:tabs>
          <w:tab w:leader="none" w:pos="247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Limited Discovery</w:t>
      </w:r>
      <w:r>
        <w:rPr>
          <w:rFonts w:ascii="Times New Roman" w:cs="Times New Roman" w:eastAsia="Times New Roman" w:hAnsi="Times New Roman"/>
          <w:sz w:val="22"/>
          <w:szCs w:val="22"/>
          <w:color w:val="auto"/>
        </w:rPr>
        <w:t xml:space="preserve">. Documentary discovery may be conducted at the discretion of the arbitrator(s);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any such discovery will (i) be limited to documents directly relating to the Dispute, (ii) be conducted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pursuant to document discovery procedures as set forth under the laws of the International Bar Association Rules of Evidence, and (iii) be conducted subject to the schedule stipulated by the Parties, or in the absence of stipulation, the schedule ordered by the arbitrator(s). At the request of a Party, the arbitrator(s) may at their discretion order the deposition of witnesses. Depositions will be limited to a maximum of [***] depositions per Party, each of a maximum of [***] hours duration, unless the arbitrator(s) otherwise determine. Notwithstanding any provision of this Section 12.12.3 to the contrary, all discovery must be completed within [***] after the appointment of the arbitrator(s).</w:t>
      </w:r>
    </w:p>
    <w:p>
      <w:pPr>
        <w:spacing w:after="0" w:line="158" w:lineRule="exact"/>
        <w:rPr>
          <w:rFonts w:ascii="Times New Roman" w:cs="Times New Roman" w:eastAsia="Times New Roman" w:hAnsi="Times New Roman"/>
          <w:sz w:val="22"/>
          <w:szCs w:val="22"/>
          <w:color w:val="auto"/>
        </w:rPr>
      </w:pPr>
    </w:p>
    <w:p>
      <w:pPr>
        <w:jc w:val="both"/>
        <w:ind w:left="1300" w:firstLine="652"/>
        <w:spacing w:after="0" w:line="215" w:lineRule="auto"/>
        <w:tabs>
          <w:tab w:leader="none" w:pos="2552"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Awards and Fees</w:t>
      </w:r>
      <w:r>
        <w:rPr>
          <w:rFonts w:ascii="Times New Roman" w:cs="Times New Roman" w:eastAsia="Times New Roman" w:hAnsi="Times New Roman"/>
          <w:sz w:val="22"/>
          <w:szCs w:val="22"/>
          <w:color w:val="auto"/>
        </w:rPr>
        <w:t>. The arbitrator(s) have the authority to make awards of declaratory relief and monetary damages, but they may not award damages excluded under Section 9.3, and will not under any circumstances have the authority or power to grant (i) equitable relief or (ii) orders for specific performance. The allocation of expenses of the arbitration, including reasonable attorney’s fees, will be determined by the arbitrator(s), or, in the absence of such determination, each Party will pay its own expenses, including attorney’s fees.</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13" w:lineRule="auto"/>
        <w:tabs>
          <w:tab w:leader="none" w:pos="2416"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Rulings</w:t>
      </w:r>
      <w:r>
        <w:rPr>
          <w:rFonts w:ascii="Times New Roman" w:cs="Times New Roman" w:eastAsia="Times New Roman" w:hAnsi="Times New Roman"/>
          <w:sz w:val="22"/>
          <w:szCs w:val="22"/>
          <w:color w:val="auto"/>
        </w:rPr>
        <w:t>. All arbitration proceedings must be completed within [***] after the Arbitration Notice. The Parties hereby agree that, subject to the provisions of this Section 12.12.3, the arbitrator(s) has authority to issue rulings and orders regarding all procedural and evidentiary matters that the arbitrator(s) deem reasonable and necessary with or without petition therefor by the Parties as well as the final award. The final award will be issued no more than [***] after the final submissions of the Parties, or as soon thereafter as practicable. All rulings by the arbitrator(s) will be final and binding on the Parties. The arbitrator(s) will issue a reasoned decision that accompanies the final award.</w:t>
      </w:r>
    </w:p>
    <w:p>
      <w:pPr>
        <w:spacing w:after="0" w:line="156" w:lineRule="exact"/>
        <w:rPr>
          <w:rFonts w:ascii="Times New Roman" w:cs="Times New Roman" w:eastAsia="Times New Roman" w:hAnsi="Times New Roman"/>
          <w:sz w:val="22"/>
          <w:szCs w:val="22"/>
          <w:color w:val="auto"/>
        </w:rPr>
      </w:pPr>
    </w:p>
    <w:p>
      <w:pPr>
        <w:jc w:val="both"/>
        <w:ind w:left="1300" w:right="20" w:firstLine="652"/>
        <w:spacing w:after="0" w:line="225" w:lineRule="auto"/>
        <w:tabs>
          <w:tab w:leader="none" w:pos="2458"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 of Rulings by Courts of Competent Jurisdiction</w:t>
      </w:r>
      <w:r>
        <w:rPr>
          <w:rFonts w:ascii="Times New Roman" w:cs="Times New Roman" w:eastAsia="Times New Roman" w:hAnsi="Times New Roman"/>
          <w:sz w:val="22"/>
          <w:szCs w:val="22"/>
          <w:color w:val="auto"/>
        </w:rPr>
        <w:t>. Any ruling issued by the arbitrator(s) pursuant to Section 12.12.3(b) may be enforced, to the extent that such ruling complies with the provisions of Section 12.12.3(a), in any court having jurisdiction over any of the Parties or any of their respective assets.</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15" w:lineRule="auto"/>
        <w:tabs>
          <w:tab w:leader="none" w:pos="2461"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All activities undertaken by the arbitrator(s) or the Parties pursuant to this Section 12.12.3 will be conducted subject to obligations of confidentiality no less restrictive than those set forth in ARTICLE 11. Further, the Parties acknowledge and agree that their respective conduct during the course of the arbitration, their respective statements and all information exchanged in connection with the arbitration, and the conduct of the arbitration and any information produced thereunder is Confidential Information under this Agreement and subject to the provisions of ARTICLE 11.</w:t>
      </w:r>
    </w:p>
    <w:p>
      <w:pPr>
        <w:spacing w:after="0" w:line="148"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color w:val="auto"/>
        </w:rPr>
        <w:t xml:space="preserve">12.12.4 </w:t>
      </w:r>
      <w:r>
        <w:rPr>
          <w:rFonts w:ascii="Times New Roman" w:cs="Times New Roman" w:eastAsia="Times New Roman" w:hAnsi="Times New Roman"/>
          <w:sz w:val="22"/>
          <w:szCs w:val="22"/>
          <w:b w:val="1"/>
          <w:bCs w:val="1"/>
          <w:color w:val="auto"/>
        </w:rPr>
        <w:t>Patent and Know-How Disputes</w:t>
      </w:r>
      <w:r>
        <w:rPr>
          <w:rFonts w:ascii="Times New Roman" w:cs="Times New Roman" w:eastAsia="Times New Roman" w:hAnsi="Times New Roman"/>
          <w:sz w:val="22"/>
          <w:szCs w:val="22"/>
          <w:color w:val="auto"/>
        </w:rPr>
        <w:t>. Notwithstanding the foregoing in this Section 12.12, if a dispute arises between the Parties under this Agreement with respect to the interpretation, scope, validity, enforceability, applicability or term of any Patent or inventorship or ownership of any Know-How, then such dispute will not be resolved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394" w:right="339" w:bottom="1440" w:gutter="0" w:footer="0" w:header="0"/>
        </w:sectPr>
      </w:pPr>
    </w:p>
    <w:bookmarkStart w:id="379" w:name="page380"/>
    <w:bookmarkEnd w:id="379"/>
    <w:p>
      <w:pPr>
        <w:jc w:val="both"/>
        <w:spacing w:after="0" w:line="220" w:lineRule="auto"/>
        <w:rPr>
          <w:sz w:val="20"/>
          <w:szCs w:val="20"/>
          <w:color w:val="auto"/>
        </w:rPr>
      </w:pPr>
      <w:r>
        <w:rPr>
          <w:rFonts w:ascii="Times New Roman" w:cs="Times New Roman" w:eastAsia="Times New Roman" w:hAnsi="Times New Roman"/>
          <w:sz w:val="22"/>
          <w:szCs w:val="22"/>
          <w:color w:val="auto"/>
        </w:rPr>
        <w:t>Sections 12.12.1, 12.12.2 and 12.12.3, but instead may be brought by either Party in the federal courts of Massachusetts, in each case, (a) unless the Parties agree in writing to submit such claim to arbitration pursuant to Sections 12.12.1, 12.12.2 and 12.12.3 or (b) except to the extent federal jurisdiction cannot be maintained, in which case such claim will be submitted to arbitration pursuant to Sections 12.12.1, 12.12.2 and 12.12.3.</w:t>
      </w:r>
    </w:p>
    <w:p>
      <w:pPr>
        <w:spacing w:after="0" w:line="148"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 xml:space="preserve">12.12.5 </w:t>
      </w:r>
      <w:r>
        <w:rPr>
          <w:rFonts w:ascii="Times New Roman" w:cs="Times New Roman" w:eastAsia="Times New Roman" w:hAnsi="Times New Roman"/>
          <w:sz w:val="22"/>
          <w:szCs w:val="22"/>
          <w:b w:val="1"/>
          <w:bCs w:val="1"/>
          <w:color w:val="auto"/>
        </w:rPr>
        <w:t>Equitable Relief</w:t>
      </w:r>
      <w:r>
        <w:rPr>
          <w:rFonts w:ascii="Times New Roman" w:cs="Times New Roman" w:eastAsia="Times New Roman" w:hAnsi="Times New Roman"/>
          <w:sz w:val="22"/>
          <w:szCs w:val="22"/>
          <w:color w:val="auto"/>
        </w:rPr>
        <w:t>. Notwithstanding the foregoing in this Section 12.12, nothing contained in this Agreement will in any way limit or preclude a Party from, at any time, seeking or obtaining equitable relief hereunder, whether preliminary or permanent, including a temporary or permanent restraining order, preliminary or permanent injunction, specific performance or any other form of equitable relief, from any United States court of competent jurisdiction if necessary to protect the interests of such Party. Each Party agrees that its unauthorized release of the other Party’s Confidential Information will cause irreparable damage to other Party for which recovery of damages would be inadequate, and that such other Party will be entitled to seek timely injunctive relief with respect to such breach, without the need to show irreparable harm or the inadequacy of monetary damages as a remedy, and without the requirement of having to post bond or other security, as well as any further relief that may be granted by a court of competent jurisdiction.</w:t>
      </w:r>
    </w:p>
    <w:p>
      <w:pPr>
        <w:spacing w:after="0" w:line="14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12.13 </w:t>
      </w: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Agreement constitutes and contains the complete, final and exclusive understanding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of the Parties and cancels and supersedes all prior negotiations, correspondence, understandings and agreements, whether oral or written, between the Parties respecting the subject matter hereof, including the CDA, which is hereby superseded and replaced in its entirety as of the Execution Date.</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12.14 </w:t>
      </w:r>
      <w:r>
        <w:rPr>
          <w:rFonts w:ascii="Times New Roman" w:cs="Times New Roman" w:eastAsia="Times New Roman" w:hAnsi="Times New Roman"/>
          <w:sz w:val="22"/>
          <w:szCs w:val="22"/>
          <w:b w:val="1"/>
          <w:bCs w:val="1"/>
          <w:u w:val="single" w:color="auto"/>
          <w:color w:val="auto"/>
        </w:rPr>
        <w:t>Independent Contractors</w:t>
      </w:r>
      <w:r>
        <w:rPr>
          <w:rFonts w:ascii="Times New Roman" w:cs="Times New Roman" w:eastAsia="Times New Roman" w:hAnsi="Times New Roman"/>
          <w:sz w:val="22"/>
          <w:szCs w:val="22"/>
          <w:color w:val="auto"/>
        </w:rPr>
        <w:t>. Both Parties are independent contractors under this Agreement. Nothing contained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will be deemed to create an employment, agency, joint venture or partnership relationship between the Parties or any of their agents or employees, or any other legal arrangement that would impose liability upon one Party for the act or failure to act of the other Party. Neither Party will have any express or implied power to enter into any contracts or commitments or to incur any liabilities in the name of, or on behalf of, the other Party, or to bind the other Party in any respect whatsoever.</w:t>
      </w:r>
    </w:p>
    <w:p>
      <w:pPr>
        <w:spacing w:after="0" w:line="147"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12.15 </w:t>
      </w:r>
      <w:r>
        <w:rPr>
          <w:rFonts w:ascii="Times New Roman" w:cs="Times New Roman" w:eastAsia="Times New Roman" w:hAnsi="Times New Roman"/>
          <w:sz w:val="22"/>
          <w:szCs w:val="22"/>
          <w:b w:val="1"/>
          <w:bCs w:val="1"/>
          <w:u w:val="single" w:color="auto"/>
          <w:color w:val="auto"/>
        </w:rPr>
        <w:t>Transparency Laws</w:t>
      </w:r>
      <w:r>
        <w:rPr>
          <w:rFonts w:ascii="Times New Roman" w:cs="Times New Roman" w:eastAsia="Times New Roman" w:hAnsi="Times New Roman"/>
          <w:sz w:val="22"/>
          <w:szCs w:val="22"/>
          <w:color w:val="auto"/>
        </w:rPr>
        <w:t>. Company agrees that Vertex may publicly disclose any information related to (a)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 or transfer of value made to Company by Vertex hereunder, or (b) any payment or transfer of value made by Company to any Third Party or Affiliate in connection with this Agreement, in each case (a)-(b), to the extent reasonably required by Transparency Laws and by any means, including reporting through any government platform or system, Vertex’s and its Affiliates’ websites or any other platform or system. Company will promptly (and in any event within [***]) provide Vertex with any such information as reasonably requested by Vertex to enable compliance with Transparency Laws.</w:t>
      </w:r>
    </w:p>
    <w:p>
      <w:pPr>
        <w:spacing w:after="0" w:line="146"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22"/>
          <w:szCs w:val="22"/>
          <w:b w:val="1"/>
          <w:bCs w:val="1"/>
          <w:u w:val="single" w:color="auto"/>
          <w:color w:val="auto"/>
        </w:rPr>
        <w:t>Interpretation</w:t>
      </w:r>
      <w:r>
        <w:rPr>
          <w:rFonts w:ascii="Times New Roman" w:cs="Times New Roman" w:eastAsia="Times New Roman" w:hAnsi="Times New Roman"/>
          <w:sz w:val="22"/>
          <w:szCs w:val="22"/>
          <w:color w:val="auto"/>
        </w:rPr>
        <w:t>. Except where the context expressly requires otherwise, (a) the use of any gender herein will be deemed to encompass references to either or both genders, and the use of the singular will be deemed to include the plural (and vice versa), (b) the words “include,” “includes” and “including” will be deemed to be followed by the phrase “without limitation,” (c) the word “will” will be construed to have the same meaning and effect as the word “shall,” (d)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(e) any reference herein to any Person will be construed to include the Person’s successors and assigns, (f) the words “herein,” “hereof” and “hereunder,” and words of similar import, will be construed to refer to this Agreement in its entirety and not to any particular provision hereof, (g) all references herein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394" w:right="339" w:bottom="1440" w:gutter="0" w:footer="0" w:header="0"/>
        </w:sectPr>
      </w:pPr>
    </w:p>
    <w:bookmarkStart w:id="380" w:name="page381"/>
    <w:bookmarkEnd w:id="380"/>
    <w:p>
      <w:pPr>
        <w:jc w:val="both"/>
        <w:spacing w:after="0" w:line="222" w:lineRule="auto"/>
        <w:rPr>
          <w:sz w:val="20"/>
          <w:szCs w:val="20"/>
          <w:color w:val="auto"/>
        </w:rPr>
      </w:pPr>
      <w:r>
        <w:rPr>
          <w:rFonts w:ascii="Times New Roman" w:cs="Times New Roman" w:eastAsia="Times New Roman" w:hAnsi="Times New Roman"/>
          <w:sz w:val="21"/>
          <w:szCs w:val="21"/>
          <w:color w:val="auto"/>
        </w:rPr>
        <w:t>Sections, Schedules or Exhibits will be construed to refer to Sections, Schedules or Exhibits of this Agreement, and references to this Agreement include all Schedules and Exhibits hereto, (h) provisions that require that a Party, the Parties or any committee hereunder “agree,” “consent” or “approve” or the like will require that such agreement, consent or approval be specific and in writing, whether by written agreement, letter, approved minutes, e-mail or otherwise (but excluding text messaging or instant messaging), (i) references to any specific law, rule or regulation, or article, section or other division thereof, will be deemed to include the then-current amendments thereto or any replacement or successor law, rule or regulation thereof, (j) any action or occurrence deemed to be effective as of a particular date will be deemed to be effective as of 11:59 PM ET on such date and (k) the term “or” will be interpreted in the inclusive sense commonly associated with the term “and/or.”</w:t>
      </w:r>
    </w:p>
    <w:p>
      <w:pPr>
        <w:spacing w:after="0" w:line="15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12.17 </w:t>
      </w:r>
      <w:r>
        <w:rPr>
          <w:rFonts w:ascii="Times New Roman" w:cs="Times New Roman" w:eastAsia="Times New Roman" w:hAnsi="Times New Roman"/>
          <w:sz w:val="22"/>
          <w:szCs w:val="22"/>
          <w:b w:val="1"/>
          <w:bCs w:val="1"/>
          <w:u w:val="single" w:color="auto"/>
          <w:color w:val="auto"/>
        </w:rPr>
        <w:t>No Third Party Rights or Obligations</w:t>
      </w:r>
      <w:r>
        <w:rPr>
          <w:rFonts w:ascii="Times New Roman" w:cs="Times New Roman" w:eastAsia="Times New Roman" w:hAnsi="Times New Roman"/>
          <w:sz w:val="22"/>
          <w:szCs w:val="22"/>
          <w:color w:val="auto"/>
        </w:rPr>
        <w:t>. No provision of this Agreement will be deemed or construed in any way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result in the creation of any rights or obligations in any Person not a Party to this Agreement.</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12.18 </w:t>
      </w:r>
      <w:r>
        <w:rPr>
          <w:rFonts w:ascii="Times New Roman" w:cs="Times New Roman" w:eastAsia="Times New Roman" w:hAnsi="Times New Roman"/>
          <w:sz w:val="22"/>
          <w:szCs w:val="22"/>
          <w:b w:val="1"/>
          <w:bCs w:val="1"/>
          <w:u w:val="single" w:color="auto"/>
          <w:color w:val="auto"/>
        </w:rPr>
        <w:t>Further Actions</w:t>
      </w:r>
      <w:r>
        <w:rPr>
          <w:rFonts w:ascii="Times New Roman" w:cs="Times New Roman" w:eastAsia="Times New Roman" w:hAnsi="Times New Roman"/>
          <w:sz w:val="22"/>
          <w:szCs w:val="22"/>
          <w:color w:val="auto"/>
        </w:rPr>
        <w:t>. Each Party agrees to execute, acknowledge and deliver such further instruments, and to do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other acts, as may be necessary or appropriate in order to carry out the purposes and intent of this Agreement.</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12.19 </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two counterparts, each of which will be an original and both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which will constitute together the same document. Counterparts may be signed and delivered by digital transmission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w:t>
      </w:r>
    </w:p>
    <w:p>
      <w:pPr>
        <w:jc w:val="both"/>
        <w:spacing w:after="0" w:line="218" w:lineRule="auto"/>
        <w:rPr>
          <w:sz w:val="20"/>
          <w:szCs w:val="20"/>
          <w:color w:val="auto"/>
        </w:rPr>
      </w:pPr>
      <w:r>
        <w:rPr>
          <w:rFonts w:ascii="Times New Roman" w:cs="Times New Roman" w:eastAsia="Times New Roman" w:hAnsi="Times New Roman"/>
          <w:sz w:val="22"/>
          <w:szCs w:val="22"/>
          <w:color w:val="auto"/>
        </w:rPr>
        <w:t>.pdf), each of which will be binding when received by the applicable Party. The Parties may execute this Agreement by electronically transmitted signature and such electronically transmitted signature will be as effective as an original executed signature page.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ectPr>
          <w:pgSz w:w="11900" w:h="16838" w:orient="portrait"/>
          <w:cols w:equalWidth="0" w:num="1">
            <w:col w:w="11240"/>
          </w:cols>
          <w:pgMar w:left="320" w:top="13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394" w:right="339" w:bottom="1440" w:gutter="0" w:footer="0" w:header="0"/>
          <w:type w:val="continuous"/>
        </w:sectPr>
      </w:pPr>
    </w:p>
    <w:bookmarkStart w:id="381" w:name="page382"/>
    <w:bookmarkEnd w:id="381"/>
    <w:p>
      <w:pPr>
        <w:spacing w:after="0" w:line="200" w:lineRule="exact"/>
        <w:rPr>
          <w:sz w:val="20"/>
          <w:szCs w:val="20"/>
          <w:color w:val="auto"/>
        </w:rPr>
      </w:pPr>
    </w:p>
    <w:p>
      <w:pPr>
        <w:spacing w:after="0" w:line="210"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caused this Agreement to be executed by their representatives thereunto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duly authorized as of the Execution Date.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VERTEX PHARMACEUTICALS INCORPORATED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Reshma Kewalramani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Reshma Kewalramani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ENTRADA THERAPEUTICS, INC.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Dipal Doshi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Dipal Doshi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440" w:right="339" w:bottom="1440" w:gutter="0" w:footer="0" w:header="0"/>
        </w:sectPr>
      </w:pPr>
    </w:p>
    <w:bookmarkStart w:id="382" w:name="page383"/>
    <w:bookmarkEnd w:id="38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1.8</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Baseball Arbitration Procedures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t>
      </w:r>
    </w:p>
    <w:p>
      <w:pPr>
        <w:sectPr>
          <w:pgSz w:w="11900" w:h="16838" w:orient="portrait"/>
          <w:cols w:equalWidth="0" w:num="1">
            <w:col w:w="9019"/>
          </w:cols>
          <w:pgMar w:left="1440" w:top="1390" w:right="1440" w:bottom="1440" w:gutter="0" w:footer="0" w:header="0"/>
        </w:sectPr>
      </w:pPr>
    </w:p>
    <w:bookmarkStart w:id="383" w:name="page384"/>
    <w:bookmarkEnd w:id="383"/>
    <w:p>
      <w:pPr>
        <w:jc w:val="center"/>
        <w:ind w:right="-900"/>
        <w:spacing w:after="0"/>
        <w:rPr>
          <w:sz w:val="20"/>
          <w:szCs w:val="20"/>
          <w:color w:val="auto"/>
        </w:rPr>
      </w:pPr>
      <w:r>
        <w:rPr>
          <w:rFonts w:ascii="Times New Roman" w:cs="Times New Roman" w:eastAsia="Times New Roman" w:hAnsi="Times New Roman"/>
          <w:sz w:val="22"/>
          <w:szCs w:val="22"/>
          <w:b w:val="1"/>
          <w:bCs w:val="1"/>
          <w:color w:val="auto"/>
        </w:rPr>
        <w:t>Schedule 1.71</w:t>
      </w:r>
    </w:p>
    <w:p>
      <w:pPr>
        <w:spacing w:after="0" w:line="17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1"/>
          <w:szCs w:val="21"/>
          <w:b w:val="1"/>
          <w:bCs w:val="1"/>
          <w:color w:val="auto"/>
        </w:rPr>
        <w:t>Licensed Agent</w:t>
      </w:r>
    </w:p>
    <w:p>
      <w:pPr>
        <w:spacing w:after="0" w:line="19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9919"/>
          </w:cols>
          <w:pgMar w:left="540" w:top="1390" w:right="1440" w:bottom="1440" w:gutter="0" w:footer="0" w:header="0"/>
        </w:sectPr>
      </w:pPr>
    </w:p>
    <w:bookmarkStart w:id="384" w:name="page385"/>
    <w:bookmarkEnd w:id="384"/>
    <w:p>
      <w:pPr>
        <w:ind w:left="4780"/>
        <w:spacing w:after="0"/>
        <w:rPr>
          <w:sz w:val="20"/>
          <w:szCs w:val="20"/>
          <w:color w:val="auto"/>
        </w:rPr>
      </w:pPr>
      <w:r>
        <w:rPr>
          <w:rFonts w:ascii="Times New Roman" w:cs="Times New Roman" w:eastAsia="Times New Roman" w:hAnsi="Times New Roman"/>
          <w:sz w:val="22"/>
          <w:szCs w:val="22"/>
          <w:b w:val="1"/>
          <w:bCs w:val="1"/>
          <w:color w:val="auto"/>
        </w:rPr>
        <w:t>Schedule 1.84</w:t>
      </w:r>
    </w:p>
    <w:p>
      <w:pPr>
        <w:spacing w:after="0" w:line="17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OSIF Patents</w:t>
      </w:r>
    </w:p>
    <w:p>
      <w:pPr>
        <w:jc w:val="center"/>
        <w:ind w:right="-900"/>
        <w:spacing w:after="0"/>
        <w:rPr>
          <w:sz w:val="20"/>
          <w:szCs w:val="20"/>
          <w:color w:val="auto"/>
        </w:rPr>
      </w:pPr>
      <w:r>
        <w:rPr>
          <w:rFonts w:ascii="Times New Roman" w:cs="Times New Roman" w:eastAsia="Times New Roman" w:hAnsi="Times New Roman"/>
          <w:sz w:val="21"/>
          <w:szCs w:val="21"/>
          <w:b w:val="1"/>
          <w:bCs w:val="1"/>
          <w:color w:val="auto"/>
        </w:rPr>
        <w:t>(as of the Execution Date)</w:t>
      </w:r>
    </w:p>
    <w:p>
      <w:pPr>
        <w:spacing w:after="0" w:line="163"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9919"/>
          </w:cols>
          <w:pgMar w:left="540" w:top="1390" w:right="1440" w:bottom="1440" w:gutter="0" w:footer="0" w:header="0"/>
        </w:sectPr>
      </w:pPr>
    </w:p>
    <w:bookmarkStart w:id="385" w:name="page386"/>
    <w:bookmarkEnd w:id="385"/>
    <w:p>
      <w:pPr>
        <w:jc w:val="center"/>
        <w:ind w:right="-880"/>
        <w:spacing w:after="0"/>
        <w:rPr>
          <w:sz w:val="20"/>
          <w:szCs w:val="20"/>
          <w:color w:val="auto"/>
        </w:rPr>
      </w:pPr>
      <w:r>
        <w:rPr>
          <w:rFonts w:ascii="Times New Roman" w:cs="Times New Roman" w:eastAsia="Times New Roman" w:hAnsi="Times New Roman"/>
          <w:sz w:val="22"/>
          <w:szCs w:val="22"/>
          <w:b w:val="1"/>
          <w:bCs w:val="1"/>
          <w:color w:val="auto"/>
        </w:rPr>
        <w:t>Schedule 8.2</w:t>
      </w:r>
    </w:p>
    <w:p>
      <w:pPr>
        <w:spacing w:after="0" w:line="179"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21"/>
          <w:szCs w:val="21"/>
          <w:b w:val="1"/>
          <w:bCs w:val="1"/>
          <w:color w:val="auto"/>
        </w:rPr>
        <w:t>Disclosure Schedule</w:t>
      </w:r>
    </w:p>
    <w:p>
      <w:pPr>
        <w:spacing w:after="0" w:line="195"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919"/>
          </w:cols>
          <w:pgMar w:left="540" w:top="1390" w:right="1440" w:bottom="4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9919"/>
          </w:cols>
          <w:pgMar w:left="540" w:top="1390" w:right="1440" w:bottom="451" w:gutter="0" w:footer="0" w:header="0"/>
          <w:type w:val="continuous"/>
        </w:sectPr>
      </w:pPr>
    </w:p>
    <w:bookmarkStart w:id="386" w:name="page387"/>
    <w:bookmarkEnd w:id="386"/>
    <w:p>
      <w:pPr>
        <w:ind w:right="80"/>
        <w:spacing w:after="0" w:line="227" w:lineRule="auto"/>
        <w:rPr>
          <w:sz w:val="20"/>
          <w:szCs w:val="20"/>
          <w:color w:val="auto"/>
        </w:rPr>
      </w:pPr>
      <w:r>
        <w:rPr>
          <w:rFonts w:ascii="Times New Roman" w:cs="Times New Roman" w:eastAsia="Times New Roman" w:hAnsi="Times New Roman"/>
          <w:sz w:val="22"/>
          <w:szCs w:val="22"/>
          <w:b w:val="1"/>
          <w:bCs w:val="1"/>
          <w:color w:val="auto"/>
        </w:rPr>
        <w:t>CERTAIN CONFIDENTIAL INFORMATION, MARKED BY [***] HAS BEEN EXCLUDED FROM THIS EXHIBIT BECAUSE IT IS BOTH NOT MATERIAL AND IS THE TYPE THAT THE REGISTRANT TREATS AS PRIVATE OR CONFIDENTIAL.</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TO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SUBLICENSE AGREEMENT</w:t>
      </w:r>
    </w:p>
    <w:p>
      <w:pPr>
        <w:spacing w:after="0" w:line="151"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This AMENDMENT NO. 1 TO THE SUBLICENSE AGREEMENT (this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is entered into as of October 26, 2023 (the “</w:t>
      </w:r>
      <w:r>
        <w:rPr>
          <w:rFonts w:ascii="Times New Roman" w:cs="Times New Roman" w:eastAsia="Times New Roman" w:hAnsi="Times New Roman"/>
          <w:sz w:val="22"/>
          <w:szCs w:val="22"/>
          <w:b w:val="1"/>
          <w:bCs w:val="1"/>
          <w:color w:val="auto"/>
        </w:rPr>
        <w:t>Amendment Effective Date</w:t>
      </w:r>
      <w:r>
        <w:rPr>
          <w:rFonts w:ascii="Times New Roman" w:cs="Times New Roman" w:eastAsia="Times New Roman" w:hAnsi="Times New Roman"/>
          <w:sz w:val="22"/>
          <w:szCs w:val="22"/>
          <w:color w:val="auto"/>
        </w:rPr>
        <w:t xml:space="preserve">”) by and between, on the one hand, </w:t>
      </w:r>
      <w:r>
        <w:rPr>
          <w:rFonts w:ascii="Times New Roman" w:cs="Times New Roman" w:eastAsia="Times New Roman" w:hAnsi="Times New Roman"/>
          <w:sz w:val="22"/>
          <w:szCs w:val="22"/>
          <w:b w:val="1"/>
          <w:bCs w:val="1"/>
          <w:color w:val="auto"/>
        </w:rPr>
        <w:t>VERTEX PHARMACEUTICALS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INCORPORATED</w:t>
      </w:r>
      <w:r>
        <w:rPr>
          <w:rFonts w:ascii="Times New Roman" w:cs="Times New Roman" w:eastAsia="Times New Roman" w:hAnsi="Times New Roman"/>
          <w:sz w:val="22"/>
          <w:szCs w:val="22"/>
          <w:color w:val="auto"/>
        </w:rPr>
        <w:t>, a corporation organized and existing under the laws of the Commonwealth of Massachusetts (“</w:t>
      </w:r>
      <w:r>
        <w:rPr>
          <w:rFonts w:ascii="Times New Roman" w:cs="Times New Roman" w:eastAsia="Times New Roman" w:hAnsi="Times New Roman"/>
          <w:sz w:val="22"/>
          <w:szCs w:val="22"/>
          <w:b w:val="1"/>
          <w:bCs w:val="1"/>
          <w:color w:val="auto"/>
        </w:rPr>
        <w:t>Vertex</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on the other hand, </w:t>
      </w:r>
      <w:r>
        <w:rPr>
          <w:rFonts w:ascii="Times New Roman" w:cs="Times New Roman" w:eastAsia="Times New Roman" w:hAnsi="Times New Roman"/>
          <w:sz w:val="22"/>
          <w:szCs w:val="22"/>
          <w:b w:val="1"/>
          <w:bCs w:val="1"/>
          <w:color w:val="auto"/>
        </w:rPr>
        <w:t>ENTRADA THERAPEUTICS, INC.</w:t>
      </w:r>
      <w:r>
        <w:rPr>
          <w:rFonts w:ascii="Times New Roman" w:cs="Times New Roman" w:eastAsia="Times New Roman" w:hAnsi="Times New Roman"/>
          <w:sz w:val="22"/>
          <w:szCs w:val="22"/>
          <w:color w:val="auto"/>
        </w:rPr>
        <w:t>, a corporation organized under the laws of the State of Delaware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Vertex and Company each may be referred to herein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or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This Amendment amends the Sublicense Agreement, entered into as of December 7, 2022, between Vertex and Company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Capitalized terms used but not defined in this Amendment shall have the meanings ascribed to such terms in the Agreement.</w:t>
      </w:r>
    </w:p>
    <w:p>
      <w:pPr>
        <w:spacing w:after="0" w:line="14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Vertex and Company desire to amend Section 1.117 and Section 6.2.1 of the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has [***] as defined under the original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Parties have agreed [***] to amend the Agreement [***].</w:t>
      </w:r>
    </w:p>
    <w:p>
      <w:pPr>
        <w:spacing w:after="0" w:line="179"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respective covenants and agreements set forth herein, the Parties hereto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as follows: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13</w:t>
      </w: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AMENDMENTS</w:t>
      </w:r>
    </w:p>
    <w:p>
      <w:pPr>
        <w:spacing w:after="0" w:line="151"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b w:val="1"/>
          <w:bCs w:val="1"/>
          <w:u w:val="single" w:color="auto"/>
          <w:color w:val="auto"/>
        </w:rPr>
        <w:t>Amendment Date</w:t>
      </w:r>
      <w:r>
        <w:rPr>
          <w:rFonts w:ascii="Times New Roman" w:cs="Times New Roman" w:eastAsia="Times New Roman" w:hAnsi="Times New Roman"/>
          <w:sz w:val="21"/>
          <w:szCs w:val="21"/>
          <w:color w:val="auto"/>
        </w:rPr>
        <w:t>. This Amendment will be effective as of the Amendment Effective Date.</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b w:val="1"/>
          <w:bCs w:val="1"/>
          <w:u w:val="single" w:color="auto"/>
          <w:color w:val="auto"/>
        </w:rPr>
        <w:t>Successful Completion of Ongoing Study Definition</w:t>
      </w:r>
      <w:r>
        <w:rPr>
          <w:rFonts w:ascii="Times New Roman" w:cs="Times New Roman" w:eastAsia="Times New Roman" w:hAnsi="Times New Roman"/>
          <w:sz w:val="22"/>
          <w:szCs w:val="22"/>
          <w:color w:val="auto"/>
        </w:rPr>
        <w:t>. Section 1.117 of the Agreement is hereby amended by deleting it in its entirety and replacing it with the following text:</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1.117.        ”</w:t>
      </w:r>
      <w:r>
        <w:rPr>
          <w:rFonts w:ascii="Times New Roman" w:cs="Times New Roman" w:eastAsia="Times New Roman" w:hAnsi="Times New Roman"/>
          <w:sz w:val="22"/>
          <w:szCs w:val="22"/>
          <w:b w:val="1"/>
          <w:bCs w:val="1"/>
          <w:color w:val="auto"/>
        </w:rPr>
        <w:t>Successful Completion of Ongoing Study</w:t>
      </w:r>
      <w:r>
        <w:rPr>
          <w:rFonts w:ascii="Times New Roman" w:cs="Times New Roman" w:eastAsia="Times New Roman" w:hAnsi="Times New Roman"/>
          <w:sz w:val="22"/>
          <w:szCs w:val="22"/>
          <w:color w:val="auto"/>
        </w:rPr>
        <w:t>” means [***]</w:t>
      </w:r>
    </w:p>
    <w:p>
      <w:pPr>
        <w:spacing w:after="0" w:line="179" w:lineRule="exact"/>
        <w:rPr>
          <w:sz w:val="20"/>
          <w:szCs w:val="20"/>
          <w:color w:val="auto"/>
        </w:rPr>
      </w:pPr>
    </w:p>
    <w:p>
      <w:pPr>
        <w:jc w:val="both"/>
        <w:ind w:right="20" w:firstLine="648"/>
        <w:spacing w:after="0" w:line="227"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b w:val="1"/>
          <w:bCs w:val="1"/>
          <w:u w:val="single" w:color="auto"/>
          <w:color w:val="auto"/>
        </w:rPr>
        <w:t>Milestone Payment Section</w:t>
      </w:r>
      <w:r>
        <w:rPr>
          <w:rFonts w:ascii="Times New Roman" w:cs="Times New Roman" w:eastAsia="Times New Roman" w:hAnsi="Times New Roman"/>
          <w:sz w:val="22"/>
          <w:szCs w:val="22"/>
          <w:color w:val="auto"/>
        </w:rPr>
        <w:t>. Section 6.2.1 of the Agreement is hereby amended (i) by deleting the table contained in Section 6.2.1 of the Agreement and replacing it with the table set forth below and (ii) adding a final sentence to Section 6.2.1 of the Agreement after the table as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390" w:right="339" w:bottom="1440" w:gutter="0" w:footer="0" w:header="0"/>
        </w:sectPr>
      </w:pPr>
    </w:p>
    <w:bookmarkStart w:id="387" w:name="page388"/>
    <w:bookmarkEnd w:id="38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0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486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Milestone Event</w:t>
            </w:r>
          </w:p>
        </w:tc>
        <w:tc>
          <w:tcPr>
            <w:tcW w:w="53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Milestone Payment</w:t>
            </w:r>
          </w:p>
        </w:tc>
      </w:tr>
      <w:tr>
        <w:trPr>
          <w:trHeight w:val="263"/>
        </w:trPr>
        <w:tc>
          <w:tcPr>
            <w:tcW w:w="1020" w:type="dxa"/>
            <w:vAlign w:val="bottom"/>
            <w:tcBorders>
              <w:left w:val="single" w:sz="8" w:color="auto"/>
              <w:bottom w:val="single" w:sz="8" w:color="auto"/>
              <w:right w:val="single" w:sz="8" w:color="auto"/>
            </w:tcBorders>
          </w:tcPr>
          <w:p>
            <w:pPr>
              <w:jc w:val="right"/>
              <w:ind w:right="712"/>
              <w:spacing w:after="0"/>
              <w:rPr>
                <w:sz w:val="20"/>
                <w:szCs w:val="20"/>
                <w:color w:val="auto"/>
              </w:rPr>
            </w:pPr>
            <w:r>
              <w:rPr>
                <w:rFonts w:ascii="Times New Roman" w:cs="Times New Roman" w:eastAsia="Times New Roman" w:hAnsi="Times New Roman"/>
                <w:sz w:val="22"/>
                <w:szCs w:val="22"/>
                <w:color w:val="auto"/>
              </w:rPr>
              <w:t>1</w:t>
            </w:r>
          </w:p>
        </w:tc>
        <w:tc>
          <w:tcPr>
            <w:tcW w:w="4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5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r>
      <w:tr>
        <w:trPr>
          <w:trHeight w:val="263"/>
        </w:trPr>
        <w:tc>
          <w:tcPr>
            <w:tcW w:w="1020" w:type="dxa"/>
            <w:vAlign w:val="bottom"/>
            <w:tcBorders>
              <w:left w:val="single" w:sz="8" w:color="auto"/>
              <w:bottom w:val="single" w:sz="8" w:color="auto"/>
              <w:right w:val="single" w:sz="8" w:color="auto"/>
            </w:tcBorders>
          </w:tcPr>
          <w:p>
            <w:pPr>
              <w:jc w:val="right"/>
              <w:ind w:right="712"/>
              <w:spacing w:after="0"/>
              <w:rPr>
                <w:sz w:val="20"/>
                <w:szCs w:val="20"/>
                <w:color w:val="auto"/>
              </w:rPr>
            </w:pPr>
            <w:r>
              <w:rPr>
                <w:rFonts w:ascii="Times New Roman" w:cs="Times New Roman" w:eastAsia="Times New Roman" w:hAnsi="Times New Roman"/>
                <w:sz w:val="22"/>
                <w:szCs w:val="22"/>
                <w:color w:val="auto"/>
              </w:rPr>
              <w:t>2</w:t>
            </w:r>
          </w:p>
        </w:tc>
        <w:tc>
          <w:tcPr>
            <w:tcW w:w="4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5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r>
      <w:tr>
        <w:trPr>
          <w:trHeight w:val="263"/>
        </w:trPr>
        <w:tc>
          <w:tcPr>
            <w:tcW w:w="1020" w:type="dxa"/>
            <w:vAlign w:val="bottom"/>
            <w:tcBorders>
              <w:left w:val="single" w:sz="8" w:color="auto"/>
              <w:bottom w:val="single" w:sz="8" w:color="auto"/>
              <w:right w:val="single" w:sz="8" w:color="auto"/>
            </w:tcBorders>
          </w:tcPr>
          <w:p>
            <w:pPr>
              <w:jc w:val="right"/>
              <w:ind w:right="712"/>
              <w:spacing w:after="0"/>
              <w:rPr>
                <w:sz w:val="20"/>
                <w:szCs w:val="20"/>
                <w:color w:val="auto"/>
              </w:rPr>
            </w:pPr>
            <w:r>
              <w:rPr>
                <w:rFonts w:ascii="Times New Roman" w:cs="Times New Roman" w:eastAsia="Times New Roman" w:hAnsi="Times New Roman"/>
                <w:sz w:val="22"/>
                <w:szCs w:val="22"/>
                <w:color w:val="auto"/>
              </w:rPr>
              <w:t>3</w:t>
            </w:r>
          </w:p>
        </w:tc>
        <w:tc>
          <w:tcPr>
            <w:tcW w:w="4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5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r>
      <w:tr>
        <w:trPr>
          <w:trHeight w:val="263"/>
        </w:trPr>
        <w:tc>
          <w:tcPr>
            <w:tcW w:w="1020" w:type="dxa"/>
            <w:vAlign w:val="bottom"/>
            <w:tcBorders>
              <w:left w:val="single" w:sz="8" w:color="auto"/>
              <w:bottom w:val="single" w:sz="8" w:color="auto"/>
              <w:right w:val="single" w:sz="8" w:color="auto"/>
            </w:tcBorders>
          </w:tcPr>
          <w:p>
            <w:pPr>
              <w:jc w:val="right"/>
              <w:ind w:right="712"/>
              <w:spacing w:after="0"/>
              <w:rPr>
                <w:sz w:val="20"/>
                <w:szCs w:val="20"/>
                <w:color w:val="auto"/>
              </w:rPr>
            </w:pPr>
            <w:r>
              <w:rPr>
                <w:rFonts w:ascii="Times New Roman" w:cs="Times New Roman" w:eastAsia="Times New Roman" w:hAnsi="Times New Roman"/>
                <w:sz w:val="22"/>
                <w:szCs w:val="22"/>
                <w:color w:val="auto"/>
              </w:rPr>
              <w:t>4</w:t>
            </w:r>
          </w:p>
        </w:tc>
        <w:tc>
          <w:tcPr>
            <w:tcW w:w="4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5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r>
      <w:tr>
        <w:trPr>
          <w:trHeight w:val="264"/>
        </w:trPr>
        <w:tc>
          <w:tcPr>
            <w:tcW w:w="1020" w:type="dxa"/>
            <w:vAlign w:val="bottom"/>
            <w:tcBorders>
              <w:left w:val="single" w:sz="8" w:color="auto"/>
              <w:bottom w:val="single" w:sz="8" w:color="auto"/>
              <w:right w:val="single" w:sz="8" w:color="auto"/>
            </w:tcBorders>
          </w:tcPr>
          <w:p>
            <w:pPr>
              <w:jc w:val="right"/>
              <w:ind w:right="712"/>
              <w:spacing w:after="0"/>
              <w:rPr>
                <w:sz w:val="20"/>
                <w:szCs w:val="20"/>
                <w:color w:val="auto"/>
              </w:rPr>
            </w:pPr>
            <w:r>
              <w:rPr>
                <w:rFonts w:ascii="Times New Roman" w:cs="Times New Roman" w:eastAsia="Times New Roman" w:hAnsi="Times New Roman"/>
                <w:sz w:val="22"/>
                <w:szCs w:val="22"/>
                <w:color w:val="auto"/>
              </w:rPr>
              <w:t>5</w:t>
            </w:r>
          </w:p>
        </w:tc>
        <w:tc>
          <w:tcPr>
            <w:tcW w:w="4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5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r>
    </w:tbl>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As of the Amendment Effective Date, the Parties agree and acknowledge [***].</w:t>
      </w:r>
    </w:p>
    <w:p>
      <w:pPr>
        <w:spacing w:after="0" w:line="16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ARTICLE 14</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51" w:lineRule="exact"/>
        <w:rPr>
          <w:sz w:val="20"/>
          <w:szCs w:val="20"/>
          <w:color w:val="auto"/>
        </w:rPr>
      </w:pPr>
    </w:p>
    <w:p>
      <w:pPr>
        <w:jc w:val="both"/>
        <w:ind w:right="20" w:firstLine="648"/>
        <w:spacing w:after="0" w:line="216"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b w:val="1"/>
          <w:bCs w:val="1"/>
          <w:u w:val="single" w:color="auto"/>
          <w:color w:val="auto"/>
        </w:rPr>
        <w:t>Effect of Amendment</w:t>
      </w:r>
      <w:r>
        <w:rPr>
          <w:rFonts w:ascii="Times New Roman" w:cs="Times New Roman" w:eastAsia="Times New Roman" w:hAnsi="Times New Roman"/>
          <w:sz w:val="22"/>
          <w:szCs w:val="22"/>
          <w:color w:val="auto"/>
        </w:rPr>
        <w:t xml:space="preserve">. The amendments set forth in this Amendment shall be deemed to be incorporated in, and made a part of, the Agreement, and the Agreement and this Amendment shall be read, taken and construed as one and the same agreement (including with respect to the provisions set forth in Article 12 (Miscellaneous) of the Agreement which shall, as applicable, be deemed to apply to this Amendment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This Amendment shall not be deemed to be an amendment to any other terms and conditions of the Agreement. Except as expressly amended by this Amendment, the Agreement remains unchanged and in full force and effect.</w:t>
      </w:r>
    </w:p>
    <w:p>
      <w:pPr>
        <w:spacing w:after="0" w:line="146" w:lineRule="exact"/>
        <w:rPr>
          <w:sz w:val="20"/>
          <w:szCs w:val="20"/>
          <w:color w:val="auto"/>
        </w:rPr>
      </w:pPr>
    </w:p>
    <w:p>
      <w:pPr>
        <w:jc w:val="both"/>
        <w:ind w:right="20" w:firstLine="648"/>
        <w:spacing w:after="0" w:line="218"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Amendment may be executed in one or more counterparts, each of which will be an original and all of which will constitute together the same document. Counterparts may be signed and delivered by digital transmission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.pdf), each of which will be binding when received by the applicable Party. The Parties may execute this Agreement by electronically transmitted signature and such electronically transmitted signature will be as effective as an original executed signature page.</w:t>
      </w:r>
    </w:p>
    <w:p>
      <w:pPr>
        <w:spacing w:after="0" w:line="1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60"/>
          </w:cols>
          <w:pgMar w:left="320" w:top="1440" w:right="319" w:bottom="1440" w:gutter="0" w:footer="0" w:header="0"/>
        </w:sectPr>
      </w:pPr>
    </w:p>
    <w:bookmarkStart w:id="388" w:name="page389"/>
    <w:bookmarkEnd w:id="388"/>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caused this Amendment to be executed by their representatives thereunto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duly authorized as of the Amendment Effective Date.</w:t>
      </w:r>
    </w:p>
    <w:p>
      <w:pPr>
        <w:spacing w:after="0" w:line="200" w:lineRule="exact"/>
        <w:rPr>
          <w:sz w:val="20"/>
          <w:szCs w:val="20"/>
          <w:color w:val="auto"/>
        </w:rPr>
      </w:pPr>
    </w:p>
    <w:tbl>
      <w:tblPr>
        <w:tblLayout w:type="fixed"/>
        <w:tblInd w:w="80" w:type="dxa"/>
        <w:tblCellMar>
          <w:top w:w="0" w:type="dxa"/>
          <w:left w:w="0" w:type="dxa"/>
          <w:bottom w:w="0" w:type="dxa"/>
          <w:right w:w="0" w:type="dxa"/>
        </w:tblCellMar>
      </w:tblPr>
      <w:tr>
        <w:trPr>
          <w:trHeight w:val="274"/>
        </w:trPr>
        <w:tc>
          <w:tcPr>
            <w:tcW w:w="54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VERTEX PHARMACEUTICALS INCORPORATED</w:t>
            </w:r>
          </w:p>
        </w:tc>
        <w:tc>
          <w:tcPr>
            <w:tcW w:w="3860" w:type="dxa"/>
            <w:vAlign w:val="bottom"/>
            <w:gridSpan w:val="3"/>
          </w:tcPr>
          <w:p>
            <w:pPr>
              <w:ind w:left="480"/>
              <w:spacing w:after="0"/>
              <w:rPr>
                <w:sz w:val="20"/>
                <w:szCs w:val="20"/>
                <w:color w:val="auto"/>
              </w:rPr>
            </w:pPr>
            <w:r>
              <w:rPr>
                <w:rFonts w:ascii="Times New Roman" w:cs="Times New Roman" w:eastAsia="Times New Roman" w:hAnsi="Times New Roman"/>
                <w:sz w:val="22"/>
                <w:szCs w:val="22"/>
                <w:b w:val="1"/>
                <w:bCs w:val="1"/>
                <w:color w:val="auto"/>
                <w:w w:val="97"/>
              </w:rPr>
              <w:t>ENTRADA THERAPEUTICS, INC.</w:t>
            </w:r>
          </w:p>
        </w:tc>
      </w:tr>
      <w:tr>
        <w:trPr>
          <w:trHeight w:val="230"/>
        </w:trPr>
        <w:tc>
          <w:tcPr>
            <w:tcW w:w="5460" w:type="dxa"/>
            <w:vAlign w:val="bottom"/>
            <w:gridSpan w:val="3"/>
          </w:tcPr>
          <w:p>
            <w:pPr>
              <w:spacing w:after="0" w:line="230" w:lineRule="exact"/>
              <w:rPr>
                <w:sz w:val="20"/>
                <w:szCs w:val="20"/>
                <w:color w:val="auto"/>
              </w:rPr>
            </w:pPr>
            <w:r>
              <w:rPr>
                <w:rFonts w:ascii="Times New Roman" w:cs="Times New Roman" w:eastAsia="Times New Roman" w:hAnsi="Times New Roman"/>
                <w:sz w:val="22"/>
                <w:szCs w:val="22"/>
                <w:color w:val="auto"/>
              </w:rPr>
              <w:t>By: /s/ Charles Wagner</w:t>
            </w:r>
          </w:p>
        </w:tc>
        <w:tc>
          <w:tcPr>
            <w:tcW w:w="3860" w:type="dxa"/>
            <w:vAlign w:val="bottom"/>
            <w:gridSpan w:val="3"/>
          </w:tcPr>
          <w:p>
            <w:pPr>
              <w:ind w:left="480"/>
              <w:spacing w:after="0" w:line="230" w:lineRule="exact"/>
              <w:rPr>
                <w:sz w:val="20"/>
                <w:szCs w:val="20"/>
                <w:color w:val="auto"/>
              </w:rPr>
            </w:pPr>
            <w:r>
              <w:rPr>
                <w:rFonts w:ascii="Times New Roman" w:cs="Times New Roman" w:eastAsia="Times New Roman" w:hAnsi="Times New Roman"/>
                <w:sz w:val="22"/>
                <w:szCs w:val="22"/>
                <w:color w:val="auto"/>
              </w:rPr>
              <w:t>By: /s/ Dipal Doshi</w:t>
            </w:r>
          </w:p>
        </w:tc>
      </w:tr>
      <w:tr>
        <w:trPr>
          <w:trHeight w:val="20"/>
        </w:trPr>
        <w:tc>
          <w:tcPr>
            <w:tcW w:w="36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90"/>
        </w:trPr>
        <w:tc>
          <w:tcPr>
            <w:tcW w:w="5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Name: Charles Wagner</w:t>
            </w:r>
          </w:p>
        </w:tc>
        <w:tc>
          <w:tcPr>
            <w:tcW w:w="386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auto"/>
              </w:rPr>
              <w:t>Name: Dipal Doshi</w:t>
            </w:r>
          </w:p>
        </w:tc>
      </w:tr>
      <w:tr>
        <w:trPr>
          <w:trHeight w:val="282"/>
        </w:trPr>
        <w:tc>
          <w:tcPr>
            <w:tcW w:w="5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CFO</w:t>
            </w:r>
          </w:p>
        </w:tc>
        <w:tc>
          <w:tcPr>
            <w:tcW w:w="386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auto"/>
              </w:rPr>
              <w:t>Title: CEO</w:t>
            </w:r>
          </w:p>
        </w:tc>
      </w:tr>
    </w:tbl>
    <w:p>
      <w:pPr>
        <w:sectPr>
          <w:pgSz w:w="11900" w:h="16838" w:orient="portrait"/>
          <w:cols w:equalWidth="0" w:num="1">
            <w:col w:w="11240"/>
          </w:cols>
          <w:pgMar w:left="320" w:top="1390" w:right="339" w:bottom="1440" w:gutter="0" w:footer="0" w:header="0"/>
        </w:sectPr>
      </w:pPr>
    </w:p>
    <w:bookmarkStart w:id="389" w:name="page390"/>
    <w:bookmarkEnd w:id="38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9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SUBSIDIARIES</w:t>
      </w:r>
    </w:p>
    <w:p>
      <w:pPr>
        <w:sectPr>
          <w:pgSz w:w="11900" w:h="16838" w:orient="portrait"/>
          <w:cols w:equalWidth="0" w:num="1">
            <w:col w:w="10120"/>
          </w:cols>
          <w:pgMar w:left="1440" w:top="1238" w:right="339" w:bottom="1440" w:gutter="0" w:footer="0" w:header="0"/>
        </w:sectPr>
      </w:pPr>
    </w:p>
    <w:p>
      <w:pPr>
        <w:spacing w:after="0" w:line="2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Subsidiary</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p>
      <w:pPr>
        <w:spacing w:after="0" w:line="42" w:lineRule="exact"/>
        <w:rPr>
          <w:sz w:val="20"/>
          <w:szCs w:val="20"/>
          <w:color w:val="auto"/>
        </w:rPr>
      </w:pPr>
    </w:p>
    <w:p>
      <w:pPr>
        <w:sectPr>
          <w:pgSz w:w="11900" w:h="16838" w:orient="portrait"/>
          <w:cols w:equalWidth="0" w:num="2">
            <w:col w:w="5480" w:space="720"/>
            <w:col w:w="3920"/>
          </w:cols>
          <w:pgMar w:left="1440" w:top="1238" w:right="3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8"/>
          <w:szCs w:val="18"/>
          <w:color w:val="auto"/>
        </w:rPr>
        <w:t>Entrada Securities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Massachusetts</w:t>
      </w:r>
    </w:p>
    <w:p>
      <w:pPr>
        <w:sectPr>
          <w:pgSz w:w="11900" w:h="16838" w:orient="portrait"/>
          <w:cols w:equalWidth="0" w:num="2">
            <w:col w:w="6080" w:space="720"/>
            <w:col w:w="3320"/>
          </w:cols>
          <w:pgMar w:left="1440" w:top="1238" w:right="339" w:bottom="1440" w:gutter="0" w:footer="0" w:header="0"/>
          <w:type w:val="continuous"/>
        </w:sectPr>
      </w:pPr>
    </w:p>
    <w:bookmarkStart w:id="390" w:name="page391"/>
    <w:bookmarkEnd w:id="390"/>
    <w:p>
      <w:pPr>
        <w:ind w:left="10120"/>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4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b w:val="1"/>
          <w:bCs w:val="1"/>
          <w:color w:val="333333"/>
        </w:rPr>
        <w:t>Consent of Independent Registered Public Accounting Firm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333333"/>
        </w:rPr>
        <w:t>We consent to the incorporation by reference in the following Registration Statements:</w:t>
      </w:r>
    </w:p>
    <w:p>
      <w:pPr>
        <w:spacing w:after="0" w:line="206" w:lineRule="exact"/>
        <w:rPr>
          <w:sz w:val="20"/>
          <w:szCs w:val="20"/>
          <w:color w:val="auto"/>
        </w:rPr>
      </w:pPr>
    </w:p>
    <w:p>
      <w:pPr>
        <w:ind w:left="660" w:hanging="328"/>
        <w:spacing w:after="0" w:line="216" w:lineRule="auto"/>
        <w:tabs>
          <w:tab w:leader="none" w:pos="655" w:val="left"/>
        </w:tabs>
        <w:numPr>
          <w:ilvl w:val="0"/>
          <w:numId w:val="222"/>
        </w:numPr>
        <w:rPr>
          <w:rFonts w:ascii="Times New Roman" w:cs="Times New Roman" w:eastAsia="Times New Roman" w:hAnsi="Times New Roman"/>
          <w:sz w:val="22"/>
          <w:szCs w:val="22"/>
          <w:color w:val="333333"/>
        </w:rPr>
      </w:pPr>
      <w:r>
        <w:rPr>
          <w:rFonts w:ascii="Times New Roman" w:cs="Times New Roman" w:eastAsia="Times New Roman" w:hAnsi="Times New Roman"/>
          <w:sz w:val="22"/>
          <w:szCs w:val="22"/>
          <w:color w:val="333333"/>
        </w:rPr>
        <w:t>Registration Statement (Form S-8 No. 333-260563) pertaining to the 2021 Stock Option and Incentive Plan, the 2021 Employee Stock Purchase Plan and the 2016 Stock Incentive Plan of Entrada Therapeutics, Inc.,</w:t>
      </w:r>
    </w:p>
    <w:p>
      <w:pPr>
        <w:ind w:left="660" w:hanging="328"/>
        <w:spacing w:after="0" w:line="211" w:lineRule="auto"/>
        <w:tabs>
          <w:tab w:leader="none" w:pos="655" w:val="left"/>
        </w:tabs>
        <w:numPr>
          <w:ilvl w:val="0"/>
          <w:numId w:val="222"/>
        </w:numPr>
        <w:rPr>
          <w:rFonts w:ascii="Times New Roman" w:cs="Times New Roman" w:eastAsia="Times New Roman" w:hAnsi="Times New Roman"/>
          <w:sz w:val="22"/>
          <w:szCs w:val="22"/>
          <w:color w:val="333333"/>
        </w:rPr>
      </w:pPr>
      <w:r>
        <w:rPr>
          <w:rFonts w:ascii="Times New Roman" w:cs="Times New Roman" w:eastAsia="Times New Roman" w:hAnsi="Times New Roman"/>
          <w:sz w:val="22"/>
          <w:szCs w:val="22"/>
          <w:color w:val="333333"/>
        </w:rPr>
        <w:t>Registration Statement (Form S-8 No. 333-263556) pertaining to the 2021 Stock Option and Incentive Plan and the 2021 Employee Stock Purchase Plan of Entrada Therapeutics, Inc.,</w:t>
      </w:r>
    </w:p>
    <w:p>
      <w:pPr>
        <w:ind w:left="660" w:hanging="328"/>
        <w:spacing w:after="0" w:line="224" w:lineRule="auto"/>
        <w:tabs>
          <w:tab w:leader="none" w:pos="659" w:val="left"/>
        </w:tabs>
        <w:numPr>
          <w:ilvl w:val="0"/>
          <w:numId w:val="222"/>
        </w:numPr>
        <w:rPr>
          <w:rFonts w:ascii="Arial" w:cs="Arial" w:eastAsia="Arial" w:hAnsi="Arial"/>
          <w:sz w:val="20"/>
          <w:szCs w:val="20"/>
          <w:color w:val="auto"/>
        </w:rPr>
      </w:pPr>
      <w:r>
        <w:rPr>
          <w:rFonts w:ascii="Times New Roman" w:cs="Times New Roman" w:eastAsia="Times New Roman" w:hAnsi="Times New Roman"/>
          <w:sz w:val="22"/>
          <w:szCs w:val="22"/>
          <w:color w:val="333333"/>
        </w:rPr>
        <w:t>Registration Statement (Form S-8 No. 333-270286) pertaining to the 2021 Stock Option and Incentive Plan and the 2021 Employee Stock Purchase Plan of Entrada Therapeutics, Inc., and</w:t>
      </w:r>
    </w:p>
    <w:p>
      <w:pPr>
        <w:ind w:left="660" w:hanging="328"/>
        <w:spacing w:after="0"/>
        <w:tabs>
          <w:tab w:leader="none" w:pos="660" w:val="left"/>
        </w:tabs>
        <w:numPr>
          <w:ilvl w:val="0"/>
          <w:numId w:val="222"/>
        </w:numPr>
        <w:rPr>
          <w:rFonts w:ascii="Times New Roman" w:cs="Times New Roman" w:eastAsia="Times New Roman" w:hAnsi="Times New Roman"/>
          <w:sz w:val="22"/>
          <w:szCs w:val="22"/>
          <w:color w:val="333333"/>
        </w:rPr>
      </w:pPr>
      <w:r>
        <w:rPr>
          <w:rFonts w:ascii="Times New Roman" w:cs="Times New Roman" w:eastAsia="Times New Roman" w:hAnsi="Times New Roman"/>
          <w:sz w:val="22"/>
          <w:szCs w:val="22"/>
          <w:color w:val="333333"/>
        </w:rPr>
        <w:t>Registration Statement (Form S-3 No. 333-268099) of Entrada Therapeutics, Inc.;</w:t>
      </w:r>
    </w:p>
    <w:p>
      <w:pPr>
        <w:spacing w:after="0" w:line="18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333333"/>
        </w:rPr>
        <w:t>of our report dated March 13, 2024, with respect to the consolidated financial statements of Entrada Therapeutics, Inc. included in this Annual Report (Form 10-K) of Entrada Therapeutics, Inc. for the year ended December 31, 2023.</w:t>
      </w:r>
    </w:p>
    <w:p>
      <w:pPr>
        <w:spacing w:after="0" w:line="17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333333"/>
        </w:rPr>
        <w:t>/s/ Ernst &amp; Young LLP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333333"/>
        </w:rPr>
        <w:t>Boston, Massachusetts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333333"/>
        </w:rPr>
        <w:t>March 13, 2024</w:t>
      </w:r>
    </w:p>
    <w:p>
      <w:pPr>
        <w:sectPr>
          <w:pgSz w:w="11900" w:h="16838" w:orient="portrait"/>
          <w:cols w:equalWidth="0" w:num="1">
            <w:col w:w="11240"/>
          </w:cols>
          <w:pgMar w:left="320" w:top="1390" w:right="339" w:bottom="1440" w:gutter="0" w:footer="0" w:header="0"/>
        </w:sectPr>
      </w:pPr>
    </w:p>
    <w:bookmarkStart w:id="391" w:name="page392"/>
    <w:bookmarkEnd w:id="3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OR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Dipal Doshi, certify that:</w:t>
      </w:r>
    </w:p>
    <w:p>
      <w:pPr>
        <w:spacing w:after="0" w:line="158" w:lineRule="exact"/>
        <w:rPr>
          <w:sz w:val="20"/>
          <w:szCs w:val="20"/>
          <w:color w:val="auto"/>
        </w:rPr>
      </w:pPr>
    </w:p>
    <w:p>
      <w:pPr>
        <w:ind w:left="660" w:hanging="328"/>
        <w:spacing w:after="0"/>
        <w:tabs>
          <w:tab w:leader="none" w:pos="6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for the Annual Period Ended December 31, 2023 of Entrada Therapeutics, Inc.;</w:t>
      </w:r>
    </w:p>
    <w:p>
      <w:pPr>
        <w:spacing w:after="0" w:line="158" w:lineRule="exact"/>
        <w:rPr>
          <w:sz w:val="20"/>
          <w:szCs w:val="20"/>
          <w:color w:val="auto"/>
        </w:rPr>
      </w:pPr>
    </w:p>
    <w:p>
      <w:pPr>
        <w:jc w:val="both"/>
        <w:ind w:left="660" w:right="120" w:hanging="328"/>
        <w:spacing w:after="0" w:line="266" w:lineRule="auto"/>
        <w:tabs>
          <w:tab w:leader="none" w:pos="65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sz w:val="20"/>
          <w:szCs w:val="20"/>
          <w:color w:val="auto"/>
        </w:rPr>
      </w:pPr>
    </w:p>
    <w:p>
      <w:pPr>
        <w:ind w:left="660" w:right="80" w:hanging="328"/>
        <w:spacing w:after="0" w:line="282" w:lineRule="auto"/>
        <w:tabs>
          <w:tab w:leader="none" w:pos="65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sz w:val="20"/>
          <w:szCs w:val="20"/>
          <w:color w:val="auto"/>
        </w:rPr>
      </w:pPr>
    </w:p>
    <w:p>
      <w:pPr>
        <w:jc w:val="both"/>
        <w:ind w:left="660" w:right="120" w:hanging="328"/>
        <w:spacing w:after="0" w:line="266" w:lineRule="auto"/>
        <w:tabs>
          <w:tab w:leader="none" w:pos="65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sz w:val="20"/>
          <w:szCs w:val="20"/>
          <w:color w:val="auto"/>
        </w:rPr>
      </w:pPr>
    </w:p>
    <w:p>
      <w:pPr>
        <w:ind w:left="660" w:right="100" w:hanging="328"/>
        <w:spacing w:after="0" w:line="282" w:lineRule="auto"/>
        <w:tabs>
          <w:tab w:leader="none" w:pos="65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6" w:lineRule="exact"/>
        <w:rPr>
          <w:sz w:val="20"/>
          <w:szCs w:val="20"/>
          <w:color w:val="auto"/>
        </w:rPr>
      </w:pPr>
    </w:p>
    <w:p>
      <w:pPr>
        <w:ind w:left="40"/>
        <w:spacing w:after="0"/>
        <w:tabs>
          <w:tab w:leader="none" w:pos="5560" w:val="left"/>
          <w:tab w:leader="none" w:pos="7980" w:val="left"/>
        </w:tabs>
        <w:rPr>
          <w:sz w:val="20"/>
          <w:szCs w:val="20"/>
          <w:color w:val="auto"/>
        </w:rPr>
      </w:pPr>
      <w:r>
        <w:rPr>
          <w:rFonts w:ascii="Times New Roman" w:cs="Times New Roman" w:eastAsia="Times New Roman" w:hAnsi="Times New Roman"/>
          <w:sz w:val="18"/>
          <w:szCs w:val="18"/>
          <w:color w:val="auto"/>
        </w:rPr>
        <w:t>Date: March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Dipal Doshi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341185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7">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39"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Dipal Doshi</w:t>
      </w:r>
    </w:p>
    <w:p>
      <w:pPr>
        <w:spacing w:after="0" w:line="63"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927" w:right="339" w:bottom="1440" w:gutter="0" w:footer="0" w:header="0"/>
        </w:sectPr>
      </w:pPr>
    </w:p>
    <w:bookmarkStart w:id="392" w:name="page393"/>
    <w:bookmarkEnd w:id="39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RULES 13a-14(a) OR 15d-14(a) UNDER THE SECURITIES EXCHANGE ACT OF 1934,</w:t>
      </w: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Kory Wentworth, certify that:</w:t>
      </w:r>
    </w:p>
    <w:p>
      <w:pPr>
        <w:spacing w:after="0" w:line="225" w:lineRule="exact"/>
        <w:rPr>
          <w:sz w:val="20"/>
          <w:szCs w:val="20"/>
          <w:color w:val="auto"/>
        </w:rPr>
      </w:pPr>
    </w:p>
    <w:p>
      <w:pPr>
        <w:ind w:left="660" w:hanging="328"/>
        <w:spacing w:after="0"/>
        <w:tabs>
          <w:tab w:leader="none" w:pos="66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for the Annual Period Ended December 31, 2023 of Entrada Therapeutics,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40"/>
        <w:spacing w:after="0"/>
        <w:tabs>
          <w:tab w:leader="none" w:pos="5480" w:val="left"/>
          <w:tab w:leader="none" w:pos="7800" w:val="left"/>
        </w:tabs>
        <w:rPr>
          <w:sz w:val="20"/>
          <w:szCs w:val="20"/>
          <w:color w:val="auto"/>
        </w:rPr>
      </w:pPr>
      <w:r>
        <w:rPr>
          <w:rFonts w:ascii="Times New Roman" w:cs="Times New Roman" w:eastAsia="Times New Roman" w:hAnsi="Times New Roman"/>
          <w:sz w:val="18"/>
          <w:szCs w:val="18"/>
          <w:color w:val="auto"/>
        </w:rPr>
        <w:t>Date: March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Kory Wentworth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34118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8">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Kory Wentworth</w:t>
      </w:r>
    </w:p>
    <w:p>
      <w:pPr>
        <w:spacing w:after="0" w:line="63"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240"/>
          </w:cols>
          <w:pgMar w:left="320" w:top="927" w:right="339" w:bottom="1440" w:gutter="0" w:footer="0" w:header="0"/>
        </w:sectPr>
      </w:pPr>
    </w:p>
    <w:bookmarkStart w:id="393" w:name="page394"/>
    <w:bookmarkEnd w:id="393"/>
    <w:p>
      <w:pPr>
        <w:spacing w:after="0" w:line="28"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Entrada Therapeutics, Inc. (the “Company”) for the fiscal year ended December 31, 2023 as filed with the Securities and Exchange Commission on the date hereof (the “Report”), the undersigned hereby certify, pursuant to 18 U.S.C. § 1350, as adopted pursuant to § 906 of the Sarbanes-Oxley Act of 2002, that, to the best of their knowledge:</w:t>
      </w:r>
    </w:p>
    <w:p>
      <w:pPr>
        <w:spacing w:after="0" w:line="176" w:lineRule="exact"/>
        <w:rPr>
          <w:sz w:val="20"/>
          <w:szCs w:val="20"/>
          <w:color w:val="auto"/>
        </w:rPr>
      </w:pPr>
    </w:p>
    <w:p>
      <w:pPr>
        <w:ind w:left="640" w:hanging="308"/>
        <w:spacing w:after="0"/>
        <w:tabs>
          <w:tab w:leader="none" w:pos="6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20"/>
        <w:spacing w:after="0"/>
        <w:tabs>
          <w:tab w:leader="none" w:pos="4880" w:val="left"/>
          <w:tab w:leader="none" w:pos="7640" w:val="left"/>
        </w:tabs>
        <w:rPr>
          <w:sz w:val="20"/>
          <w:szCs w:val="20"/>
          <w:color w:val="auto"/>
        </w:rPr>
      </w:pPr>
      <w:r>
        <w:rPr>
          <w:rFonts w:ascii="Times New Roman" w:cs="Times New Roman" w:eastAsia="Times New Roman" w:hAnsi="Times New Roman"/>
          <w:sz w:val="18"/>
          <w:szCs w:val="18"/>
          <w:color w:val="auto"/>
        </w:rPr>
        <w:t>Date: March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Dipal Doshi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26035</wp:posOffset>
            </wp:positionV>
            <wp:extent cx="38487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9">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39"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Dipal Doshi</w:t>
      </w:r>
    </w:p>
    <w:p>
      <w:pPr>
        <w:spacing w:after="0" w:line="6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382" w:lineRule="exact"/>
        <w:rPr>
          <w:sz w:val="20"/>
          <w:szCs w:val="20"/>
          <w:color w:val="auto"/>
        </w:rPr>
      </w:pPr>
    </w:p>
    <w:p>
      <w:pPr>
        <w:ind w:left="20"/>
        <w:spacing w:after="0"/>
        <w:tabs>
          <w:tab w:leader="none" w:pos="4880" w:val="left"/>
          <w:tab w:leader="none" w:pos="7480" w:val="left"/>
        </w:tabs>
        <w:rPr>
          <w:sz w:val="20"/>
          <w:szCs w:val="20"/>
          <w:color w:val="auto"/>
        </w:rPr>
      </w:pPr>
      <w:r>
        <w:rPr>
          <w:rFonts w:ascii="Times New Roman" w:cs="Times New Roman" w:eastAsia="Times New Roman" w:hAnsi="Times New Roman"/>
          <w:sz w:val="18"/>
          <w:szCs w:val="18"/>
          <w:color w:val="auto"/>
        </w:rPr>
        <w:t>Date: March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Kory Wentworth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26035</wp:posOffset>
            </wp:positionV>
            <wp:extent cx="38487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0">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39"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Kory Wentworth</w:t>
      </w:r>
    </w:p>
    <w:p>
      <w:pPr>
        <w:spacing w:after="0" w:line="6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240"/>
          </w:cols>
          <w:pgMar w:left="320" w:top="1440" w:right="339" w:bottom="1440" w:gutter="0" w:footer="0" w:header="0"/>
        </w:sectPr>
      </w:pPr>
    </w:p>
    <w:bookmarkStart w:id="394" w:name="page395"/>
    <w:bookmarkEnd w:id="394"/>
    <w:p>
      <w:pPr>
        <w:spacing w:after="0" w:line="151" w:lineRule="exact"/>
        <w:rPr>
          <w:sz w:val="20"/>
          <w:szCs w:val="20"/>
          <w:color w:val="auto"/>
        </w:rPr>
      </w:pPr>
    </w:p>
    <w:p>
      <w:pPr>
        <w:ind w:left="10260"/>
        <w:spacing w:after="0"/>
        <w:rPr>
          <w:sz w:val="20"/>
          <w:szCs w:val="20"/>
          <w:color w:val="auto"/>
        </w:rPr>
      </w:pPr>
      <w:r>
        <w:rPr>
          <w:rFonts w:ascii="Calibri" w:cs="Calibri" w:eastAsia="Calibri" w:hAnsi="Calibri"/>
          <w:sz w:val="20"/>
          <w:szCs w:val="20"/>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ENTRADA THERAPEUTICS, INC.</w:t>
      </w:r>
    </w:p>
    <w:p>
      <w:pPr>
        <w:spacing w:after="0" w:line="22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b w:val="1"/>
          <w:bCs w:val="1"/>
          <w:color w:val="auto"/>
        </w:rPr>
        <w:t>COMPENSATION RECOVERY POLICY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Adopted as of September 14, 2023</w:t>
      </w:r>
    </w:p>
    <w:p>
      <w:pPr>
        <w:spacing w:after="0" w:line="18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Entrada Therapeutics,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a Compensation Recovery Policy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as described below.</w:t>
      </w:r>
    </w:p>
    <w:p>
      <w:pPr>
        <w:spacing w:after="0" w:line="146" w:lineRule="exact"/>
        <w:rPr>
          <w:sz w:val="20"/>
          <w:szCs w:val="20"/>
          <w:color w:val="auto"/>
        </w:rPr>
      </w:pPr>
    </w:p>
    <w:p>
      <w:pPr>
        <w:ind w:left="380" w:hanging="372"/>
        <w:spacing w:after="0"/>
        <w:tabs>
          <w:tab w:leader="none" w:pos="380" w:val="left"/>
        </w:tabs>
        <w:numPr>
          <w:ilvl w:val="0"/>
          <w:numId w:val="2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Overview</w:t>
      </w:r>
    </w:p>
    <w:p>
      <w:pPr>
        <w:spacing w:after="0" w:line="18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1"/>
          <w:szCs w:val="21"/>
          <w:color w:val="auto"/>
        </w:rPr>
        <w:t>The Policy sets forth the circumstances and procedures under which the Company shall recover Erroneously Awarded Compensation from Covered Persons (as defined below) in accordance with rules issued by the United States Securities and Exchange Commission (the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under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and the Nasdaq Stock Market. Capitalized terms used and not otherwise defined herein shall have the meanings given in Section 3 below.</w:t>
      </w:r>
    </w:p>
    <w:p>
      <w:pPr>
        <w:spacing w:after="0" w:line="146" w:lineRule="exact"/>
        <w:rPr>
          <w:sz w:val="20"/>
          <w:szCs w:val="20"/>
          <w:color w:val="auto"/>
        </w:rPr>
      </w:pPr>
    </w:p>
    <w:p>
      <w:pPr>
        <w:ind w:left="380" w:hanging="372"/>
        <w:spacing w:after="0"/>
        <w:tabs>
          <w:tab w:leader="none" w:pos="380" w:val="left"/>
        </w:tabs>
        <w:numPr>
          <w:ilvl w:val="0"/>
          <w:numId w:val="2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Recovery Requirement</w:t>
      </w:r>
    </w:p>
    <w:p>
      <w:pPr>
        <w:spacing w:after="0" w:line="18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In the event the Company is required to prepare a Financial Restatement, the Company shall recover reasonably promptly all Erroneously Awarded Compensation with respect to such Financial Restatement.</w:t>
      </w:r>
    </w:p>
    <w:p>
      <w:pPr>
        <w:spacing w:after="0" w:line="146" w:lineRule="exact"/>
        <w:rPr>
          <w:sz w:val="20"/>
          <w:szCs w:val="20"/>
          <w:color w:val="auto"/>
        </w:rPr>
      </w:pPr>
    </w:p>
    <w:p>
      <w:pPr>
        <w:ind w:left="380" w:hanging="372"/>
        <w:spacing w:after="0"/>
        <w:tabs>
          <w:tab w:leader="none" w:pos="380" w:val="left"/>
        </w:tabs>
        <w:numPr>
          <w:ilvl w:val="0"/>
          <w:numId w:val="2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183" w:lineRule="exact"/>
        <w:rPr>
          <w:rFonts w:ascii="Times New Roman" w:cs="Times New Roman" w:eastAsia="Times New Roman" w:hAnsi="Times New Roman"/>
          <w:sz w:val="22"/>
          <w:szCs w:val="22"/>
          <w:b w:val="1"/>
          <w:bCs w:val="1"/>
          <w:color w:val="auto"/>
        </w:rPr>
      </w:pPr>
    </w:p>
    <w:p>
      <w:pPr>
        <w:jc w:val="both"/>
        <w:ind w:left="980" w:hanging="324"/>
        <w:spacing w:after="0" w:line="217" w:lineRule="auto"/>
        <w:tabs>
          <w:tab w:leader="none" w:pos="968"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Recovery Period</w:t>
      </w:r>
      <w:r>
        <w:rPr>
          <w:rFonts w:ascii="Times New Roman" w:cs="Times New Roman" w:eastAsia="Times New Roman" w:hAnsi="Times New Roman"/>
          <w:sz w:val="22"/>
          <w:szCs w:val="22"/>
          <w:color w:val="auto"/>
        </w:rPr>
        <w:t>” means the three completed fiscal years immediately preceding the Restatement Date for a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spacing w:after="0" w:line="152" w:lineRule="exact"/>
        <w:rPr>
          <w:rFonts w:ascii="Times New Roman" w:cs="Times New Roman" w:eastAsia="Times New Roman" w:hAnsi="Times New Roman"/>
          <w:sz w:val="22"/>
          <w:szCs w:val="22"/>
          <w:color w:val="auto"/>
        </w:rPr>
      </w:pPr>
    </w:p>
    <w:p>
      <w:pPr>
        <w:jc w:val="both"/>
        <w:ind w:left="980" w:right="20" w:hanging="324"/>
        <w:spacing w:after="0" w:line="225" w:lineRule="auto"/>
        <w:tabs>
          <w:tab w:leader="none" w:pos="980"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Rules</w:t>
      </w:r>
      <w:r>
        <w:rPr>
          <w:rFonts w:ascii="Times New Roman" w:cs="Times New Roman" w:eastAsia="Times New Roman" w:hAnsi="Times New Roman"/>
          <w:sz w:val="22"/>
          <w:szCs w:val="22"/>
          <w:color w:val="auto"/>
        </w:rPr>
        <w:t>” means any rules or regulations adopted by the Exchange pursuant to Rule 10D-1 under the Exchange Act and any applicable rules or regulations adopted by the SEC pursuant to Section 10D of the Exchange Act.</w:t>
      </w:r>
    </w:p>
    <w:p>
      <w:pPr>
        <w:spacing w:after="0" w:line="152"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179" w:lineRule="exact"/>
        <w:rPr>
          <w:rFonts w:ascii="Times New Roman" w:cs="Times New Roman" w:eastAsia="Times New Roman" w:hAnsi="Times New Roman"/>
          <w:sz w:val="22"/>
          <w:szCs w:val="22"/>
          <w:color w:val="auto"/>
        </w:rPr>
      </w:pPr>
    </w:p>
    <w:p>
      <w:pPr>
        <w:ind w:left="980" w:hanging="324"/>
        <w:spacing w:after="0" w:line="236" w:lineRule="auto"/>
        <w:tabs>
          <w:tab w:leader="none" w:pos="980"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Committee of the Board or, in the absence of such committee, a majority of independent directors serving on the Board.</w:t>
      </w:r>
    </w:p>
    <w:p>
      <w:pPr>
        <w:spacing w:after="0" w:line="150" w:lineRule="exact"/>
        <w:rPr>
          <w:rFonts w:ascii="Times New Roman" w:cs="Times New Roman" w:eastAsia="Times New Roman" w:hAnsi="Times New Roman"/>
          <w:sz w:val="22"/>
          <w:szCs w:val="22"/>
          <w:color w:val="auto"/>
        </w:rPr>
      </w:pPr>
    </w:p>
    <w:p>
      <w:pPr>
        <w:jc w:val="both"/>
        <w:ind w:left="980" w:hanging="324"/>
        <w:spacing w:after="0" w:line="215" w:lineRule="auto"/>
        <w:tabs>
          <w:tab w:leader="none" w:pos="968"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Person</w:t>
      </w:r>
      <w:r>
        <w:rPr>
          <w:rFonts w:ascii="Times New Roman" w:cs="Times New Roman" w:eastAsia="Times New Roman" w:hAnsi="Times New Roman"/>
          <w:sz w:val="22"/>
          <w:szCs w:val="22"/>
          <w:color w:val="auto"/>
        </w:rPr>
        <w:t>” means any Executive Officer. A person’s status as a Covered Person with respect to Erroneously Awarded Compensation shall be determined as of the time of receipt of such Erroneously Awarded Compensation regardless of such person’s current role or status with the Company (e.g., if a person began service as an Executive Officer after the beginning of an Applicable Recovery Period, that person would not be considered a Covered Person with respect to Erroneously Awarded Compensation received before the person began service as an Executive Officer, but</w:t>
      </w:r>
    </w:p>
    <w:p>
      <w:pPr>
        <w:sectPr>
          <w:pgSz w:w="11900" w:h="16838" w:orient="portrait"/>
          <w:cols w:equalWidth="0" w:num="1">
            <w:col w:w="11240"/>
          </w:cols>
          <w:pgMar w:left="320" w:top="1440" w:right="339" w:bottom="1440" w:gutter="0" w:footer="0" w:header="0"/>
        </w:sectPr>
      </w:pPr>
    </w:p>
    <w:bookmarkStart w:id="395" w:name="page396"/>
    <w:bookmarkEnd w:id="395"/>
    <w:p>
      <w:pPr>
        <w:spacing w:after="0" w:line="130" w:lineRule="exact"/>
        <w:rPr>
          <w:sz w:val="20"/>
          <w:szCs w:val="20"/>
          <w:color w:val="auto"/>
        </w:rPr>
      </w:pPr>
    </w:p>
    <w:p>
      <w:pPr>
        <w:jc w:val="both"/>
        <w:ind w:left="324"/>
        <w:spacing w:after="0" w:line="225" w:lineRule="auto"/>
        <w:rPr>
          <w:sz w:val="20"/>
          <w:szCs w:val="20"/>
          <w:color w:val="auto"/>
        </w:rPr>
      </w:pPr>
      <w:r>
        <w:rPr>
          <w:rFonts w:ascii="Times New Roman" w:cs="Times New Roman" w:eastAsia="Times New Roman" w:hAnsi="Times New Roman"/>
          <w:sz w:val="22"/>
          <w:szCs w:val="22"/>
          <w:color w:val="auto"/>
        </w:rPr>
        <w:t>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spacing w:after="0" w:line="152" w:lineRule="exact"/>
        <w:rPr>
          <w:sz w:val="20"/>
          <w:szCs w:val="20"/>
          <w:color w:val="auto"/>
        </w:rPr>
      </w:pPr>
    </w:p>
    <w:p>
      <w:pPr>
        <w:ind w:left="324" w:hanging="324"/>
        <w:spacing w:after="0"/>
        <w:tabs>
          <w:tab w:leader="none" w:pos="324"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October 2, 2023.</w:t>
      </w:r>
    </w:p>
    <w:p>
      <w:pPr>
        <w:spacing w:after="0" w:line="179" w:lineRule="exact"/>
        <w:rPr>
          <w:rFonts w:ascii="Times New Roman" w:cs="Times New Roman" w:eastAsia="Times New Roman" w:hAnsi="Times New Roman"/>
          <w:sz w:val="22"/>
          <w:szCs w:val="22"/>
          <w:color w:val="auto"/>
        </w:rPr>
      </w:pPr>
    </w:p>
    <w:p>
      <w:pPr>
        <w:jc w:val="both"/>
        <w:ind w:left="324" w:hanging="324"/>
        <w:spacing w:after="0" w:line="212" w:lineRule="auto"/>
        <w:tabs>
          <w:tab w:leader="none" w:pos="324"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Erroneously Awarded Compensation</w:t>
      </w:r>
      <w:r>
        <w:rPr>
          <w:rFonts w:ascii="Times New Roman" w:cs="Times New Roman" w:eastAsia="Times New Roman" w:hAnsi="Times New Roman"/>
          <w:sz w:val="22"/>
          <w:szCs w:val="22"/>
          <w:color w:val="auto"/>
        </w:rPr>
        <w:t>” means the amount of any Incentive-Based Compensation received by a Covered Person on or after the Effective Date and during the Applicable Recovery Period that exceeds the amount that otherwise would have been received by the Covered Person had such compensation been determined based on the restated amounts in a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Financial Restatement, shall be based on a reasonable estimate of the effect of the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 Incentive-Based Compensation is deemed received, earned or vested when the Financial Reporting Measure is attained, not when the actual payment, grant or vesting occurs.</w:t>
      </w:r>
    </w:p>
    <w:p>
      <w:pPr>
        <w:spacing w:after="0" w:line="153" w:lineRule="exact"/>
        <w:rPr>
          <w:rFonts w:ascii="Times New Roman" w:cs="Times New Roman" w:eastAsia="Times New Roman" w:hAnsi="Times New Roman"/>
          <w:sz w:val="22"/>
          <w:szCs w:val="22"/>
          <w:color w:val="auto"/>
        </w:rPr>
      </w:pPr>
    </w:p>
    <w:p>
      <w:pPr>
        <w:ind w:left="324" w:hanging="324"/>
        <w:spacing w:after="0"/>
        <w:tabs>
          <w:tab w:leader="none" w:pos="324"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means the Nasdaq Stock Market LLC.</w:t>
      </w:r>
    </w:p>
    <w:p>
      <w:pPr>
        <w:spacing w:after="0" w:line="179" w:lineRule="exact"/>
        <w:rPr>
          <w:rFonts w:ascii="Times New Roman" w:cs="Times New Roman" w:eastAsia="Times New Roman" w:hAnsi="Times New Roman"/>
          <w:sz w:val="22"/>
          <w:szCs w:val="22"/>
          <w:color w:val="auto"/>
        </w:rPr>
      </w:pPr>
    </w:p>
    <w:p>
      <w:pPr>
        <w:jc w:val="both"/>
        <w:ind w:left="324" w:hanging="324"/>
        <w:spacing w:after="0" w:line="211" w:lineRule="auto"/>
        <w:tabs>
          <w:tab w:leader="none" w:pos="316"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w:t>
      </w:r>
      <w:r>
        <w:rPr>
          <w:rFonts w:ascii="Times New Roman" w:cs="Times New Roman" w:eastAsia="Times New Roman" w:hAnsi="Times New Roman"/>
          <w:sz w:val="22"/>
          <w:szCs w:val="22"/>
          <w:u w:val="single" w:color="auto"/>
          <w:color w:val="auto"/>
        </w:rPr>
        <w:t>Executive Officer</w:t>
      </w:r>
      <w:r>
        <w:rPr>
          <w:rFonts w:ascii="Times New Roman" w:cs="Times New Roman" w:eastAsia="Times New Roman" w:hAnsi="Times New Roman"/>
          <w:sz w:val="22"/>
          <w:szCs w:val="22"/>
          <w:color w:val="auto"/>
        </w:rPr>
        <w:t>” means any person who served the Company in any of the following roles at any time during the performance period applicable to Incentive-Based Compensation and received Incentive-Based Compensation after beginning service in any such role (regardless of whether such Incentive-Based Compensation was received during or after such person’s service in such role): the president, principal financial officer,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Company. Executive officers of parents or subsidiaries of the Company may be deemed executive officers of the Company if they perform such policy making functions for the Company.</w:t>
      </w:r>
    </w:p>
    <w:p>
      <w:pPr>
        <w:spacing w:after="0" w:line="158" w:lineRule="exact"/>
        <w:rPr>
          <w:rFonts w:ascii="Times New Roman" w:cs="Times New Roman" w:eastAsia="Times New Roman" w:hAnsi="Times New Roman"/>
          <w:sz w:val="22"/>
          <w:szCs w:val="22"/>
          <w:color w:val="auto"/>
        </w:rPr>
      </w:pPr>
    </w:p>
    <w:p>
      <w:pPr>
        <w:jc w:val="both"/>
        <w:ind w:left="324" w:hanging="324"/>
        <w:spacing w:after="0" w:line="236" w:lineRule="auto"/>
        <w:tabs>
          <w:tab w:leader="none" w:pos="316"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Financial Reporting Measures</w:t>
      </w:r>
      <w:r>
        <w:rPr>
          <w:rFonts w:ascii="Times New Roman" w:cs="Times New Roman" w:eastAsia="Times New Roman" w:hAnsi="Times New Roman"/>
          <w:sz w:val="21"/>
          <w:szCs w:val="21"/>
          <w:color w:val="auto"/>
        </w:rPr>
        <w:t>” 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w:t>
      </w:r>
    </w:p>
    <w:p>
      <w:pPr>
        <w:spacing w:after="0" w:line="151" w:lineRule="exact"/>
        <w:rPr>
          <w:rFonts w:ascii="Times New Roman" w:cs="Times New Roman" w:eastAsia="Times New Roman" w:hAnsi="Times New Roman"/>
          <w:sz w:val="21"/>
          <w:szCs w:val="21"/>
          <w:color w:val="auto"/>
        </w:rPr>
      </w:pPr>
    </w:p>
    <w:p>
      <w:pPr>
        <w:ind w:left="324" w:hanging="324"/>
        <w:spacing w:after="0"/>
        <w:tabs>
          <w:tab w:leader="none" w:pos="324"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 of America.</w:t>
      </w:r>
    </w:p>
    <w:p>
      <w:pPr>
        <w:spacing w:after="0" w:line="179" w:lineRule="exact"/>
        <w:rPr>
          <w:rFonts w:ascii="Times New Roman" w:cs="Times New Roman" w:eastAsia="Times New Roman" w:hAnsi="Times New Roman"/>
          <w:sz w:val="22"/>
          <w:szCs w:val="22"/>
          <w:color w:val="auto"/>
        </w:rPr>
      </w:pPr>
    </w:p>
    <w:p>
      <w:pPr>
        <w:jc w:val="both"/>
        <w:ind w:left="324" w:hanging="324"/>
        <w:spacing w:after="0" w:line="225" w:lineRule="auto"/>
        <w:tabs>
          <w:tab w:leader="none" w:pos="316"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Incentive-Based Compensation</w:t>
      </w:r>
      <w:r>
        <w:rPr>
          <w:rFonts w:ascii="Times New Roman" w:cs="Times New Roman" w:eastAsia="Times New Roman" w:hAnsi="Times New Roman"/>
          <w:sz w:val="22"/>
          <w:szCs w:val="22"/>
          <w:color w:val="auto"/>
        </w:rPr>
        <w:t>” means any compensation provided, directly or indirectly, by the Company or any of its subsidiaries that is granted, earned or vested based, in whole or in part, upon the attainment of a Financial Reporting Measure.</w:t>
      </w:r>
    </w:p>
    <w:p>
      <w:pPr>
        <w:spacing w:after="0" w:line="152" w:lineRule="exact"/>
        <w:rPr>
          <w:rFonts w:ascii="Times New Roman" w:cs="Times New Roman" w:eastAsia="Times New Roman" w:hAnsi="Times New Roman"/>
          <w:sz w:val="22"/>
          <w:szCs w:val="22"/>
          <w:color w:val="auto"/>
        </w:rPr>
      </w:pPr>
    </w:p>
    <w:p>
      <w:pPr>
        <w:ind w:left="324" w:right="20" w:hanging="324"/>
        <w:spacing w:after="0" w:line="236" w:lineRule="auto"/>
        <w:tabs>
          <w:tab w:leader="none" w:pos="316"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Financial Restatement</w:t>
      </w:r>
      <w:r>
        <w:rPr>
          <w:rFonts w:ascii="Times New Roman" w:cs="Times New Roman" w:eastAsia="Times New Roman" w:hAnsi="Times New Roman"/>
          <w:sz w:val="22"/>
          <w:szCs w:val="22"/>
          <w:color w:val="auto"/>
        </w:rPr>
        <w:t>” means a restatement of previously issued financial statements of the Company due to the material noncompliance of the Company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584"/>
          </w:cols>
          <w:pgMar w:left="976" w:top="1440" w:right="339" w:bottom="1440" w:gutter="0" w:footer="0" w:header="0"/>
        </w:sectPr>
      </w:pPr>
    </w:p>
    <w:bookmarkStart w:id="396" w:name="page397"/>
    <w:bookmarkEnd w:id="396"/>
    <w:p>
      <w:pPr>
        <w:spacing w:after="0" w:line="130" w:lineRule="exact"/>
        <w:rPr>
          <w:sz w:val="20"/>
          <w:szCs w:val="20"/>
          <w:color w:val="auto"/>
        </w:rPr>
      </w:pPr>
    </w:p>
    <w:p>
      <w:pPr>
        <w:jc w:val="both"/>
        <w:ind w:left="980"/>
        <w:spacing w:after="0" w:line="220" w:lineRule="auto"/>
        <w:rPr>
          <w:sz w:val="20"/>
          <w:szCs w:val="20"/>
          <w:color w:val="auto"/>
        </w:rPr>
      </w:pPr>
      <w:r>
        <w:rPr>
          <w:rFonts w:ascii="Times New Roman" w:cs="Times New Roman" w:eastAsia="Times New Roman" w:hAnsi="Times New Roman"/>
          <w:sz w:val="22"/>
          <w:szCs w:val="22"/>
          <w:color w:val="auto"/>
        </w:rPr>
        <w:t>any financial reporting requirement under the securities laws, including any required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spacing w:after="0" w:line="152" w:lineRule="exact"/>
        <w:rPr>
          <w:sz w:val="20"/>
          <w:szCs w:val="20"/>
          <w:color w:val="auto"/>
        </w:rPr>
      </w:pPr>
    </w:p>
    <w:p>
      <w:pPr>
        <w:jc w:val="both"/>
        <w:ind w:left="980" w:hanging="324"/>
        <w:spacing w:after="0" w:line="226" w:lineRule="auto"/>
        <w:tabs>
          <w:tab w:leader="none" w:pos="980" w:val="left"/>
        </w:tabs>
        <w:numPr>
          <w:ilvl w:val="1"/>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Restatement Date</w:t>
      </w:r>
      <w:r>
        <w:rPr>
          <w:rFonts w:ascii="Times New Roman" w:cs="Times New Roman" w:eastAsia="Times New Roman" w:hAnsi="Times New Roman"/>
          <w:sz w:val="21"/>
          <w:szCs w:val="21"/>
          <w:color w:val="auto"/>
        </w:rPr>
        <w:t>” means, with respect to a Financial Restatement, the earlier to occur of: (i) the date the Board concludes, or reasonably should have concluded, that the Company is required to prepare the Financial Restatement or</w:t>
      </w:r>
    </w:p>
    <w:p>
      <w:pPr>
        <w:spacing w:after="0" w:line="1" w:lineRule="exact"/>
        <w:rPr>
          <w:rFonts w:ascii="Times New Roman" w:cs="Times New Roman" w:eastAsia="Times New Roman" w:hAnsi="Times New Roman"/>
          <w:sz w:val="21"/>
          <w:szCs w:val="21"/>
          <w:color w:val="auto"/>
        </w:rPr>
      </w:pPr>
    </w:p>
    <w:p>
      <w:pPr>
        <w:ind w:left="980"/>
        <w:spacing w:after="0" w:line="225" w:lineRule="auto"/>
        <w:tabs>
          <w:tab w:leader="none" w:pos="1354" w:val="left"/>
        </w:tabs>
        <w:numPr>
          <w:ilvl w:val="2"/>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 court, regulator or other legally authorized body directs the Company to prepare the Financial Restatement.</w:t>
      </w:r>
    </w:p>
    <w:p>
      <w:pPr>
        <w:spacing w:after="0" w:line="14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2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Compensation Recovery Requirement</w:t>
      </w:r>
    </w:p>
    <w:p>
      <w:pPr>
        <w:spacing w:after="0" w:line="18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including outside legal counsel,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w:t>
      </w:r>
    </w:p>
    <w:p>
      <w:pPr>
        <w:spacing w:after="0" w:line="14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7.</w:t>
      </w:r>
      <w:r>
        <w:rPr>
          <w:sz w:val="20"/>
          <w:szCs w:val="20"/>
          <w:color w:val="auto"/>
        </w:rPr>
        <w:tab/>
      </w:r>
      <w:r>
        <w:rPr>
          <w:rFonts w:ascii="Times New Roman" w:cs="Times New Roman" w:eastAsia="Times New Roman" w:hAnsi="Times New Roman"/>
          <w:sz w:val="21"/>
          <w:szCs w:val="21"/>
          <w:b w:val="1"/>
          <w:bCs w:val="1"/>
          <w:color w:val="auto"/>
        </w:rPr>
        <w:t>Tax Considerations</w:t>
      </w:r>
    </w:p>
    <w:p>
      <w:pPr>
        <w:spacing w:after="0" w:line="183"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p>
    <w:p>
      <w:pPr>
        <w:spacing w:after="0" w:line="149" w:lineRule="exact"/>
        <w:rPr>
          <w:sz w:val="20"/>
          <w:szCs w:val="20"/>
          <w:color w:val="auto"/>
        </w:rPr>
      </w:pPr>
    </w:p>
    <w:p>
      <w:pPr>
        <w:ind w:left="380" w:hanging="372"/>
        <w:spacing w:after="0"/>
        <w:tabs>
          <w:tab w:leader="none" w:pos="380" w:val="left"/>
        </w:tabs>
        <w:numPr>
          <w:ilvl w:val="0"/>
          <w:numId w:val="2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Method of Compensation Recovery</w:t>
      </w:r>
    </w:p>
    <w:p>
      <w:pPr>
        <w:spacing w:after="0" w:line="18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The Committee shall determine, in its sole discretion, the method for recovering Erroneously Awarded Compensation hereunder, which may include, without limitation, any one or more of the following:</w:t>
      </w:r>
    </w:p>
    <w:p>
      <w:pPr>
        <w:spacing w:after="0" w:line="150" w:lineRule="exact"/>
        <w:rPr>
          <w:sz w:val="20"/>
          <w:szCs w:val="20"/>
          <w:color w:val="auto"/>
        </w:rPr>
      </w:pPr>
    </w:p>
    <w:p>
      <w:pPr>
        <w:ind w:left="1300" w:hanging="320"/>
        <w:spacing w:after="0"/>
        <w:tabs>
          <w:tab w:leader="none" w:pos="130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reimbursement of cash Incentive-Based Compensation previously paid;</w:t>
      </w:r>
    </w:p>
    <w:p>
      <w:pPr>
        <w:spacing w:after="0" w:line="179" w:lineRule="exact"/>
        <w:rPr>
          <w:rFonts w:ascii="Times New Roman" w:cs="Times New Roman" w:eastAsia="Times New Roman" w:hAnsi="Times New Roman"/>
          <w:sz w:val="22"/>
          <w:szCs w:val="22"/>
          <w:color w:val="auto"/>
        </w:rPr>
      </w:pPr>
    </w:p>
    <w:p>
      <w:pPr>
        <w:ind w:left="1300" w:hanging="320"/>
        <w:spacing w:after="0" w:line="236" w:lineRule="auto"/>
        <w:tabs>
          <w:tab w:leader="none" w:pos="130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seeking recovery of any gain realized on the vesting, exercise, settlement, sale, transfer or other disposition of any equity-based awards;</w:t>
      </w:r>
    </w:p>
    <w:p>
      <w:pPr>
        <w:spacing w:after="0" w:line="150"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rescinding some or all outstanding vested or unvested equity-based awards;</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adjusting or withholding from unpaid compensation or other set-off;</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offsetting against planned future grants of equity-based awards; and/or</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method permitted by applicable law or contract.</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Notwithstanding the foregoing, a Covered Person will be deemed to have satisfied such person’s obligation to return Erroneously Awarded Compensation to the Company if such Erroneously Awarded Compensation is returned in the exact same form in which it was received;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397" w:name="page398"/>
    <w:bookmarkEnd w:id="397"/>
    <w:p>
      <w:pPr>
        <w:spacing w:after="0" w:line="130"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that equity withheld to satisfy tax obligations will be deemed to have been received in cash in an amount equal to the tax withholding payment made.</w:t>
      </w:r>
    </w:p>
    <w:p>
      <w:pPr>
        <w:spacing w:after="0" w:line="146" w:lineRule="exact"/>
        <w:rPr>
          <w:sz w:val="20"/>
          <w:szCs w:val="20"/>
          <w:color w:val="auto"/>
        </w:rPr>
      </w:pPr>
    </w:p>
    <w:p>
      <w:pPr>
        <w:ind w:left="440" w:hanging="432"/>
        <w:spacing w:after="0"/>
        <w:tabs>
          <w:tab w:leader="none" w:pos="440" w:val="left"/>
        </w:tabs>
        <w:numPr>
          <w:ilvl w:val="0"/>
          <w:numId w:val="2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Interpretation</w:t>
      </w:r>
    </w:p>
    <w:p>
      <w:pPr>
        <w:spacing w:after="0" w:line="18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This Policy shall be interpreted in a manner that is consistent with the Applicable Rules and any other applicable law. The Committee shall take into consideration any applicable interpretations and guidance of the SEC in interpreting this Policy, including, for example, in determining whether a financial restatement qualifies as a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w:t>
      </w:r>
    </w:p>
    <w:p>
      <w:pPr>
        <w:spacing w:after="0" w:line="148" w:lineRule="exact"/>
        <w:rPr>
          <w:sz w:val="20"/>
          <w:szCs w:val="20"/>
          <w:color w:val="auto"/>
        </w:rPr>
      </w:pPr>
    </w:p>
    <w:p>
      <w:pPr>
        <w:ind w:left="500" w:hanging="492"/>
        <w:spacing w:after="0"/>
        <w:tabs>
          <w:tab w:leader="none" w:pos="500" w:val="left"/>
        </w:tabs>
        <w:numPr>
          <w:ilvl w:val="0"/>
          <w:numId w:val="2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Administration</w:t>
      </w:r>
    </w:p>
    <w:p>
      <w:pPr>
        <w:spacing w:after="0" w:line="18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This Policy shall be administered by the Committee; provided, however, that the Board shall have exclusive authority to authorize the Company to prepare a Financial Restatement. In doing so, the Board may rely on a recommendation of the Audit Committee of the Board.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spacing w:after="0" w:line="154" w:lineRule="exact"/>
        <w:rPr>
          <w:sz w:val="20"/>
          <w:szCs w:val="20"/>
          <w:color w:val="auto"/>
        </w:rPr>
      </w:pPr>
    </w:p>
    <w:p>
      <w:pPr>
        <w:ind w:left="480" w:hanging="472"/>
        <w:spacing w:after="0"/>
        <w:tabs>
          <w:tab w:leader="none" w:pos="480" w:val="left"/>
        </w:tabs>
        <w:numPr>
          <w:ilvl w:val="0"/>
          <w:numId w:val="2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Recovery Repayments not Subject to Indemnification</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Notwithstanding anything to the contrary set forth in any agreement with, or the organizational documents of, the Company or any of its subsidiaries, Covered Persons are not entitled to indemnification for Erroneously Awarded Compensation or for any claims or losses arising out of or in any way related to Erroneously Awarded Compensation recovered under this Policy.</w:t>
      </w:r>
    </w:p>
    <w:p>
      <w:pPr>
        <w:spacing w:after="0" w:line="17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675FF36"/>
    <w:multiLevelType w:val="hybridMultilevel"/>
    <w:lvl w:ilvl="0">
      <w:lvlJc w:val="left"/>
      <w:lvlText w:val="☒"/>
      <w:numFmt w:val="bullet"/>
      <w:start w:val="1"/>
    </w:lvl>
  </w:abstractNum>
  <w:abstractNum w:abstractNumId="1">
    <w:nsid w:val="3DD15094"/>
    <w:multiLevelType w:val="hybridMultilevel"/>
    <w:lvl w:ilvl="0">
      <w:lvlJc w:val="left"/>
      <w:lvlText w:val="☐"/>
      <w:numFmt w:val="bullet"/>
      <w:start w:val="1"/>
    </w:lvl>
  </w:abstractNum>
  <w:abstractNum w:abstractNumId="2">
    <w:nsid w:val="3DB012B3"/>
    <w:multiLevelType w:val="hybridMultilevel"/>
    <w:lvl w:ilvl="0">
      <w:lvlJc w:val="left"/>
      <w:lvlText w:val="•"/>
      <w:numFmt w:val="bullet"/>
      <w:start w:val="1"/>
    </w:lvl>
  </w:abstractNum>
  <w:abstractNum w:abstractNumId="3">
    <w:nsid w:val="2708C9AF"/>
    <w:multiLevelType w:val="hybridMultilevel"/>
    <w:lvl w:ilvl="0">
      <w:lvlJc w:val="left"/>
      <w:lvlText w:val="•"/>
      <w:numFmt w:val="bullet"/>
      <w:start w:val="1"/>
    </w:lvl>
  </w:abstractNum>
  <w:abstractNum w:abstractNumId="4">
    <w:nsid w:val="5B25ACE2"/>
    <w:multiLevelType w:val="hybridMultilevel"/>
    <w:lvl w:ilvl="0">
      <w:lvlJc w:val="left"/>
      <w:lvlText w:val="•"/>
      <w:numFmt w:val="bullet"/>
      <w:start w:val="1"/>
    </w:lvl>
  </w:abstractNum>
  <w:abstractNum w:abstractNumId="5">
    <w:nsid w:val="175DFCF0"/>
    <w:multiLevelType w:val="hybridMultilevel"/>
    <w:lvl w:ilvl="0">
      <w:lvlJc w:val="left"/>
      <w:lvlText w:val="•"/>
      <w:numFmt w:val="bullet"/>
      <w:start w:val="1"/>
    </w:lvl>
  </w:abstractNum>
  <w:abstractNum w:abstractNumId="6">
    <w:nsid w:val="4F97E3E4"/>
    <w:multiLevelType w:val="hybridMultilevel"/>
    <w:lvl w:ilvl="0">
      <w:lvlJc w:val="left"/>
      <w:lvlText w:val="•"/>
      <w:numFmt w:val="bullet"/>
      <w:start w:val="1"/>
    </w:lvl>
  </w:abstractNum>
  <w:abstractNum w:abstractNumId="7">
    <w:nsid w:val="53B0A9E"/>
    <w:multiLevelType w:val="hybridMultilevel"/>
    <w:lvl w:ilvl="0">
      <w:lvlJc w:val="left"/>
      <w:lvlText w:val="•"/>
      <w:numFmt w:val="bullet"/>
      <w:start w:val="1"/>
    </w:lvl>
  </w:abstractNum>
  <w:abstractNum w:abstractNumId="8">
    <w:nsid w:val="34FD6B4F"/>
    <w:multiLevelType w:val="hybridMultilevel"/>
    <w:lvl w:ilvl="0">
      <w:lvlJc w:val="left"/>
      <w:lvlText w:val="•"/>
      <w:numFmt w:val="bullet"/>
      <w:start w:val="1"/>
    </w:lvl>
  </w:abstractNum>
  <w:abstractNum w:abstractNumId="9">
    <w:nsid w:val="5915FF32"/>
    <w:multiLevelType w:val="hybridMultilevel"/>
    <w:lvl w:ilvl="0">
      <w:lvlJc w:val="left"/>
      <w:lvlText w:val="•"/>
      <w:numFmt w:val="bullet"/>
      <w:start w:val="1"/>
    </w:lvl>
  </w:abstractNum>
  <w:abstractNum w:abstractNumId="10">
    <w:nsid w:val="56438D15"/>
    <w:multiLevelType w:val="hybridMultilevel"/>
    <w:lvl w:ilvl="0">
      <w:lvlJc w:val="left"/>
      <w:lvlText w:val="•"/>
      <w:numFmt w:val="bullet"/>
      <w:start w:val="1"/>
    </w:lvl>
  </w:abstractNum>
  <w:abstractNum w:abstractNumId="11">
    <w:nsid w:val="519E3149"/>
    <w:multiLevelType w:val="hybridMultilevel"/>
    <w:lvl w:ilvl="0">
      <w:lvlJc w:val="left"/>
      <w:lvlText w:val="•"/>
      <w:numFmt w:val="bullet"/>
      <w:start w:val="1"/>
    </w:lvl>
  </w:abstractNum>
  <w:abstractNum w:abstractNumId="12">
    <w:nsid w:val="2C6E4AFD"/>
    <w:multiLevelType w:val="hybridMultilevel"/>
    <w:lvl w:ilvl="0">
      <w:lvlJc w:val="left"/>
      <w:lvlText w:val="•"/>
      <w:numFmt w:val="bullet"/>
      <w:start w:val="1"/>
    </w:lvl>
  </w:abstractNum>
  <w:abstractNum w:abstractNumId="13">
    <w:nsid w:val="17A1B582"/>
    <w:multiLevelType w:val="hybridMultilevel"/>
    <w:lvl w:ilvl="0">
      <w:lvlJc w:val="left"/>
      <w:lvlText w:val="•"/>
      <w:numFmt w:val="bullet"/>
      <w:start w:val="1"/>
    </w:lvl>
  </w:abstractNum>
  <w:abstractNum w:abstractNumId="14">
    <w:nsid w:val="4DF72E4E"/>
    <w:multiLevelType w:val="hybridMultilevel"/>
    <w:lvl w:ilvl="0">
      <w:lvlJc w:val="left"/>
      <w:lvlText w:val="•"/>
      <w:numFmt w:val="bullet"/>
      <w:start w:val="1"/>
    </w:lvl>
  </w:abstractNum>
  <w:abstractNum w:abstractNumId="15">
    <w:nsid w:val="5046B5A9"/>
    <w:multiLevelType w:val="hybridMultilevel"/>
    <w:lvl w:ilvl="0">
      <w:lvlJc w:val="left"/>
      <w:lvlText w:val="•"/>
      <w:numFmt w:val="bullet"/>
      <w:start w:val="1"/>
    </w:lvl>
  </w:abstractNum>
  <w:abstractNum w:abstractNumId="16">
    <w:nsid w:val="5D888A08"/>
    <w:multiLevelType w:val="hybridMultilevel"/>
    <w:lvl w:ilvl="0">
      <w:lvlJc w:val="left"/>
      <w:lvlText w:val="•"/>
      <w:numFmt w:val="bullet"/>
      <w:start w:val="1"/>
    </w:lvl>
  </w:abstractNum>
  <w:abstractNum w:abstractNumId="17">
    <w:nsid w:val="2A082C70"/>
    <w:multiLevelType w:val="hybridMultilevel"/>
    <w:lvl w:ilvl="0">
      <w:lvlJc w:val="left"/>
      <w:lvlText w:val="•"/>
      <w:numFmt w:val="bullet"/>
      <w:start w:val="1"/>
    </w:lvl>
  </w:abstractNum>
  <w:abstractNum w:abstractNumId="18">
    <w:nsid w:val="5EC6AFD4"/>
    <w:multiLevelType w:val="hybridMultilevel"/>
    <w:lvl w:ilvl="0">
      <w:lvlJc w:val="left"/>
      <w:lvlText w:val="•"/>
      <w:numFmt w:val="bullet"/>
      <w:start w:val="1"/>
    </w:lvl>
  </w:abstractNum>
  <w:abstractNum w:abstractNumId="19">
    <w:nsid w:val="19E21BB2"/>
    <w:multiLevelType w:val="hybridMultilevel"/>
    <w:lvl w:ilvl="0">
      <w:lvlJc w:val="left"/>
      <w:lvlText w:val="•"/>
      <w:numFmt w:val="bullet"/>
      <w:start w:val="1"/>
    </w:lvl>
  </w:abstractNum>
  <w:abstractNum w:abstractNumId="20">
    <w:nsid w:val="75E0858A"/>
    <w:multiLevelType w:val="hybridMultilevel"/>
    <w:lvl w:ilvl="0">
      <w:lvlJc w:val="left"/>
      <w:lvlText w:val="•"/>
      <w:numFmt w:val="bullet"/>
      <w:start w:val="1"/>
    </w:lvl>
  </w:abstractNum>
  <w:abstractNum w:abstractNumId="21">
    <w:nsid w:val="57A61A29"/>
    <w:multiLevelType w:val="hybridMultilevel"/>
    <w:lvl w:ilvl="0">
      <w:lvlJc w:val="left"/>
      <w:lvlText w:val="•"/>
      <w:numFmt w:val="bullet"/>
      <w:start w:val="1"/>
    </w:lvl>
  </w:abstractNum>
  <w:abstractNum w:abstractNumId="22">
    <w:nsid w:val="5399C654"/>
    <w:multiLevelType w:val="hybridMultilevel"/>
    <w:lvl w:ilvl="0">
      <w:lvlJc w:val="left"/>
      <w:lvlText w:val="•"/>
      <w:numFmt w:val="bullet"/>
      <w:start w:val="1"/>
    </w:lvl>
  </w:abstractNum>
  <w:abstractNum w:abstractNumId="23">
    <w:nsid w:val="20EE1348"/>
    <w:multiLevelType w:val="hybridMultilevel"/>
    <w:lvl w:ilvl="0">
      <w:lvlJc w:val="left"/>
      <w:lvlText w:val="•"/>
      <w:numFmt w:val="bullet"/>
      <w:start w:val="1"/>
    </w:lvl>
  </w:abstractNum>
  <w:abstractNum w:abstractNumId="24">
    <w:nsid w:val="4427069A"/>
    <w:multiLevelType w:val="hybridMultilevel"/>
    <w:lvl w:ilvl="0">
      <w:lvlJc w:val="left"/>
      <w:lvlText w:val="•"/>
      <w:numFmt w:val="bullet"/>
      <w:start w:val="1"/>
    </w:lvl>
  </w:abstractNum>
  <w:abstractNum w:abstractNumId="25">
    <w:nsid w:val="B37E80A"/>
    <w:multiLevelType w:val="hybridMultilevel"/>
    <w:lvl w:ilvl="0">
      <w:lvlJc w:val="left"/>
      <w:lvlText w:val="•"/>
      <w:numFmt w:val="bullet"/>
      <w:start w:val="1"/>
    </w:lvl>
  </w:abstractNum>
  <w:abstractNum w:abstractNumId="26">
    <w:nsid w:val="2157F6BC"/>
    <w:multiLevelType w:val="hybridMultilevel"/>
    <w:lvl w:ilvl="0">
      <w:lvlJc w:val="left"/>
      <w:lvlText w:val="•"/>
      <w:numFmt w:val="bullet"/>
      <w:start w:val="1"/>
    </w:lvl>
  </w:abstractNum>
  <w:abstractNum w:abstractNumId="27">
    <w:nsid w:val="704E1DD5"/>
    <w:multiLevelType w:val="hybridMultilevel"/>
    <w:lvl w:ilvl="0">
      <w:lvlJc w:val="left"/>
      <w:lvlText w:val="•"/>
      <w:numFmt w:val="bullet"/>
      <w:start w:val="1"/>
    </w:lvl>
  </w:abstractNum>
  <w:abstractNum w:abstractNumId="28">
    <w:nsid w:val="57D2F10E"/>
    <w:multiLevelType w:val="hybridMultilevel"/>
    <w:lvl w:ilvl="0">
      <w:lvlJc w:val="left"/>
      <w:lvlText w:val="•"/>
      <w:numFmt w:val="bullet"/>
      <w:start w:val="1"/>
    </w:lvl>
  </w:abstractNum>
  <w:abstractNum w:abstractNumId="29">
    <w:nsid w:val="BFFAE18"/>
    <w:multiLevelType w:val="hybridMultilevel"/>
    <w:lvl w:ilvl="0">
      <w:lvlJc w:val="left"/>
      <w:lvlText w:val="•"/>
      <w:numFmt w:val="bullet"/>
      <w:start w:val="1"/>
    </w:lvl>
  </w:abstractNum>
  <w:abstractNum w:abstractNumId="30">
    <w:nsid w:val="E3E47A8"/>
    <w:multiLevelType w:val="hybridMultilevel"/>
    <w:lvl w:ilvl="0">
      <w:lvlJc w:val="left"/>
      <w:lvlText w:val="•"/>
      <w:numFmt w:val="bullet"/>
      <w:start w:val="1"/>
    </w:lvl>
  </w:abstractNum>
  <w:abstractNum w:abstractNumId="31">
    <w:nsid w:val="2E48F044"/>
    <w:multiLevelType w:val="hybridMultilevel"/>
    <w:lvl w:ilvl="0">
      <w:lvlJc w:val="left"/>
      <w:lvlText w:val="•"/>
      <w:numFmt w:val="bullet"/>
      <w:start w:val="1"/>
    </w:lvl>
  </w:abstractNum>
  <w:abstractNum w:abstractNumId="32">
    <w:nsid w:val="49D0FEAC"/>
    <w:multiLevelType w:val="hybridMultilevel"/>
    <w:lvl w:ilvl="0">
      <w:lvlJc w:val="left"/>
      <w:lvlText w:val="•"/>
      <w:numFmt w:val="bullet"/>
      <w:start w:val="1"/>
    </w:lvl>
  </w:abstractNum>
  <w:abstractNum w:abstractNumId="33">
    <w:nsid w:val="4BEE5A5B"/>
    <w:multiLevelType w:val="hybridMultilevel"/>
    <w:lvl w:ilvl="0">
      <w:lvlJc w:val="left"/>
      <w:lvlText w:val="•"/>
      <w:numFmt w:val="bullet"/>
      <w:start w:val="1"/>
    </w:lvl>
  </w:abstractNum>
  <w:abstractNum w:abstractNumId="34">
    <w:nsid w:val="5551B9F3"/>
    <w:multiLevelType w:val="hybridMultilevel"/>
    <w:lvl w:ilvl="0">
      <w:lvlJc w:val="left"/>
      <w:lvlText w:val="•"/>
      <w:numFmt w:val="bullet"/>
      <w:start w:val="1"/>
    </w:lvl>
  </w:abstractNum>
  <w:abstractNum w:abstractNumId="35">
    <w:nsid w:val="24F6AB8E"/>
    <w:multiLevelType w:val="hybridMultilevel"/>
    <w:lvl w:ilvl="0">
      <w:lvlJc w:val="left"/>
      <w:lvlText w:val="•"/>
      <w:numFmt w:val="bullet"/>
      <w:start w:val="1"/>
    </w:lvl>
  </w:abstractNum>
  <w:abstractNum w:abstractNumId="36">
    <w:nsid w:val="634C574C"/>
    <w:multiLevelType w:val="hybridMultilevel"/>
    <w:lvl w:ilvl="0">
      <w:lvlJc w:val="left"/>
      <w:lvlText w:val="•"/>
      <w:numFmt w:val="bullet"/>
      <w:start w:val="1"/>
    </w:lvl>
  </w:abstractNum>
  <w:abstractNum w:abstractNumId="37">
    <w:nsid w:val="24E99DD7"/>
    <w:multiLevelType w:val="hybridMultilevel"/>
    <w:lvl w:ilvl="0">
      <w:lvlJc w:val="left"/>
      <w:lvlText w:val="•"/>
      <w:numFmt w:val="bullet"/>
      <w:start w:val="1"/>
    </w:lvl>
  </w:abstractNum>
  <w:abstractNum w:abstractNumId="38">
    <w:nsid w:val="2A31B62D"/>
    <w:multiLevelType w:val="hybridMultilevel"/>
    <w:lvl w:ilvl="0">
      <w:lvlJc w:val="left"/>
      <w:lvlText w:val="•"/>
      <w:numFmt w:val="bullet"/>
      <w:start w:val="1"/>
    </w:lvl>
  </w:abstractNum>
  <w:abstractNum w:abstractNumId="39">
    <w:nsid w:val="1849C29B"/>
    <w:multiLevelType w:val="hybridMultilevel"/>
    <w:lvl w:ilvl="0">
      <w:lvlJc w:val="left"/>
      <w:lvlText w:val="•"/>
      <w:numFmt w:val="bullet"/>
      <w:start w:val="1"/>
    </w:lvl>
  </w:abstractNum>
  <w:abstractNum w:abstractNumId="40">
    <w:nsid w:val="7DFF9D09"/>
    <w:multiLevelType w:val="hybridMultilevel"/>
    <w:lvl w:ilvl="0">
      <w:lvlJc w:val="left"/>
      <w:lvlText w:val="•"/>
      <w:numFmt w:val="bullet"/>
      <w:start w:val="1"/>
    </w:lvl>
  </w:abstractNum>
  <w:abstractNum w:abstractNumId="41">
    <w:nsid w:val="754342"/>
    <w:multiLevelType w:val="hybridMultilevel"/>
    <w:lvl w:ilvl="0">
      <w:lvlJc w:val="left"/>
      <w:lvlText w:val="•"/>
      <w:numFmt w:val="bullet"/>
      <w:start w:val="1"/>
    </w:lvl>
  </w:abstractNum>
  <w:abstractNum w:abstractNumId="42">
    <w:nsid w:val="69E7F3E5"/>
    <w:multiLevelType w:val="hybridMultilevel"/>
    <w:lvl w:ilvl="0">
      <w:lvlJc w:val="left"/>
      <w:lvlText w:val="•"/>
      <w:numFmt w:val="bullet"/>
      <w:start w:val="1"/>
    </w:lvl>
  </w:abstractNum>
  <w:abstractNum w:abstractNumId="43">
    <w:nsid w:val="2A6DE806"/>
    <w:multiLevelType w:val="hybridMultilevel"/>
    <w:lvl w:ilvl="0">
      <w:lvlJc w:val="left"/>
      <w:lvlText w:val="•"/>
      <w:numFmt w:val="bullet"/>
      <w:start w:val="1"/>
    </w:lvl>
  </w:abstractNum>
  <w:abstractNum w:abstractNumId="44">
    <w:nsid w:val="1816F8C4"/>
    <w:multiLevelType w:val="hybridMultilevel"/>
    <w:lvl w:ilvl="0">
      <w:lvlJc w:val="left"/>
      <w:lvlText w:val="•"/>
      <w:numFmt w:val="bullet"/>
      <w:start w:val="1"/>
    </w:lvl>
  </w:abstractNum>
  <w:abstractNum w:abstractNumId="45">
    <w:nsid w:val="37DF2233"/>
    <w:multiLevelType w:val="hybridMultilevel"/>
    <w:lvl w:ilvl="0">
      <w:lvlJc w:val="left"/>
      <w:lvlText w:val="•"/>
      <w:numFmt w:val="bullet"/>
      <w:start w:val="1"/>
    </w:lvl>
  </w:abstractNum>
  <w:abstractNum w:abstractNumId="46">
    <w:nsid w:val="7AB49DAF"/>
    <w:multiLevelType w:val="hybridMultilevel"/>
    <w:lvl w:ilvl="0">
      <w:lvlJc w:val="left"/>
      <w:lvlText w:val="•"/>
      <w:numFmt w:val="bullet"/>
      <w:start w:val="1"/>
    </w:lvl>
  </w:abstractNum>
  <w:abstractNum w:abstractNumId="47">
    <w:nsid w:val="759F82CD"/>
    <w:multiLevelType w:val="hybridMultilevel"/>
    <w:lvl w:ilvl="0">
      <w:lvlJc w:val="left"/>
      <w:lvlText w:val="•"/>
      <w:numFmt w:val="bullet"/>
      <w:start w:val="1"/>
    </w:lvl>
  </w:abstractNum>
  <w:abstractNum w:abstractNumId="48">
    <w:nsid w:val="61E74EA3"/>
    <w:multiLevelType w:val="hybridMultilevel"/>
    <w:lvl w:ilvl="0">
      <w:lvlJc w:val="left"/>
      <w:lvlText w:val="•"/>
      <w:numFmt w:val="bullet"/>
      <w:start w:val="1"/>
    </w:lvl>
  </w:abstractNum>
  <w:abstractNum w:abstractNumId="49">
    <w:nsid w:val="597B4D84"/>
    <w:multiLevelType w:val="hybridMultilevel"/>
    <w:lvl w:ilvl="0">
      <w:lvlJc w:val="left"/>
      <w:lvlText w:val="•"/>
      <w:numFmt w:val="bullet"/>
      <w:start w:val="1"/>
    </w:lvl>
  </w:abstractNum>
  <w:abstractNum w:abstractNumId="50">
    <w:nsid w:val="F819E7F"/>
    <w:multiLevelType w:val="hybridMultilevel"/>
    <w:lvl w:ilvl="0">
      <w:lvlJc w:val="left"/>
      <w:lvlText w:val="•"/>
      <w:numFmt w:val="bullet"/>
      <w:start w:val="1"/>
    </w:lvl>
  </w:abstractNum>
  <w:abstractNum w:abstractNumId="51">
    <w:nsid w:val="57C7D42D"/>
    <w:multiLevelType w:val="hybridMultilevel"/>
    <w:lvl w:ilvl="0">
      <w:lvlJc w:val="left"/>
      <w:lvlText w:val="•"/>
      <w:numFmt w:val="bullet"/>
      <w:start w:val="1"/>
    </w:lvl>
  </w:abstractNum>
  <w:abstractNum w:abstractNumId="52">
    <w:nsid w:val="312167AD"/>
    <w:multiLevelType w:val="hybridMultilevel"/>
    <w:lvl w:ilvl="0">
      <w:lvlJc w:val="left"/>
      <w:lvlText w:val="•"/>
      <w:numFmt w:val="bullet"/>
      <w:start w:val="1"/>
    </w:lvl>
  </w:abstractNum>
  <w:abstractNum w:abstractNumId="53">
    <w:nsid w:val="631B64D4"/>
    <w:multiLevelType w:val="hybridMultilevel"/>
    <w:lvl w:ilvl="0">
      <w:lvlJc w:val="left"/>
      <w:lvlText w:val="•"/>
      <w:numFmt w:val="bullet"/>
      <w:start w:val="1"/>
    </w:lvl>
  </w:abstractNum>
  <w:abstractNum w:abstractNumId="54">
    <w:nsid w:val="78B5E776"/>
    <w:multiLevelType w:val="hybridMultilevel"/>
    <w:lvl w:ilvl="0">
      <w:lvlJc w:val="left"/>
      <w:lvlText w:val="(%1)"/>
      <w:numFmt w:val="lowerRoman"/>
      <w:start w:val="3"/>
    </w:lvl>
  </w:abstractNum>
  <w:abstractNum w:abstractNumId="55">
    <w:nsid w:val="75486E47"/>
    <w:multiLevelType w:val="hybridMultilevel"/>
    <w:lvl w:ilvl="0">
      <w:lvlJc w:val="left"/>
      <w:lvlText w:val="•"/>
      <w:numFmt w:val="bullet"/>
      <w:start w:val="1"/>
    </w:lvl>
  </w:abstractNum>
  <w:abstractNum w:abstractNumId="56">
    <w:nsid w:val="6E534CDE"/>
    <w:multiLevelType w:val="hybridMultilevel"/>
    <w:lvl w:ilvl="0">
      <w:lvlJc w:val="left"/>
      <w:lvlText w:val="•"/>
      <w:numFmt w:val="bullet"/>
      <w:start w:val="1"/>
    </w:lvl>
  </w:abstractNum>
  <w:abstractNum w:abstractNumId="57">
    <w:nsid w:val="1A0DDE32"/>
    <w:multiLevelType w:val="hybridMultilevel"/>
    <w:lvl w:ilvl="0">
      <w:lvlJc w:val="left"/>
      <w:lvlText w:val="•"/>
      <w:numFmt w:val="bullet"/>
      <w:start w:val="1"/>
    </w:lvl>
  </w:abstractNum>
  <w:abstractNum w:abstractNumId="58">
    <w:nsid w:val="65968C1C"/>
    <w:multiLevelType w:val="hybridMultilevel"/>
    <w:lvl w:ilvl="0">
      <w:lvlJc w:val="left"/>
      <w:lvlText w:val="•"/>
      <w:numFmt w:val="bullet"/>
      <w:start w:val="1"/>
    </w:lvl>
  </w:abstractNum>
  <w:abstractNum w:abstractNumId="59">
    <w:nsid w:val="46263DEC"/>
    <w:multiLevelType w:val="hybridMultilevel"/>
    <w:lvl w:ilvl="0">
      <w:lvlJc w:val="left"/>
      <w:lvlText w:val="(%1)"/>
      <w:numFmt w:val="decimal"/>
      <w:start w:val="1"/>
    </w:lvl>
  </w:abstractNum>
  <w:abstractNum w:abstractNumId="60">
    <w:nsid w:val="260D8C4A"/>
    <w:multiLevelType w:val="hybridMultilevel"/>
    <w:lvl w:ilvl="0">
      <w:lvlJc w:val="left"/>
      <w:lvlText w:val="•"/>
      <w:numFmt w:val="bullet"/>
      <w:start w:val="1"/>
    </w:lvl>
  </w:abstractNum>
  <w:abstractNum w:abstractNumId="61">
    <w:nsid w:val="73D4D3C4"/>
    <w:multiLevelType w:val="hybridMultilevel"/>
    <w:lvl w:ilvl="0">
      <w:lvlJc w:val="left"/>
      <w:lvlText w:val="•"/>
      <w:numFmt w:val="bullet"/>
      <w:start w:val="1"/>
    </w:lvl>
  </w:abstractNum>
  <w:abstractNum w:abstractNumId="62">
    <w:nsid w:val="746F2E30"/>
    <w:multiLevelType w:val="hybridMultilevel"/>
    <w:lvl w:ilvl="0">
      <w:lvlJc w:val="left"/>
      <w:lvlText w:val="•"/>
      <w:numFmt w:val="bullet"/>
      <w:start w:val="1"/>
    </w:lvl>
  </w:abstractNum>
  <w:abstractNum w:abstractNumId="63">
    <w:nsid w:val="6FDE8AF6"/>
    <w:multiLevelType w:val="hybridMultilevel"/>
    <w:lvl w:ilvl="0">
      <w:lvlJc w:val="left"/>
      <w:lvlText w:val="•"/>
      <w:numFmt w:val="bullet"/>
      <w:start w:val="1"/>
    </w:lvl>
  </w:abstractNum>
  <w:abstractNum w:abstractNumId="64">
    <w:nsid w:val="3FC32E20"/>
    <w:multiLevelType w:val="hybridMultilevel"/>
    <w:lvl w:ilvl="0">
      <w:lvlJc w:val="left"/>
      <w:lvlText w:val="(%1)"/>
      <w:numFmt w:val="lowerRoman"/>
      <w:start w:val="1"/>
    </w:lvl>
    <w:lvl w:ilvl="1">
      <w:lvlJc w:val="left"/>
      <w:lvlText w:val="•"/>
      <w:numFmt w:val="bullet"/>
      <w:start w:val="1"/>
    </w:lvl>
  </w:abstractNum>
  <w:abstractNum w:abstractNumId="65">
    <w:nsid w:val="49C0E823"/>
    <w:multiLevelType w:val="hybridMultilevel"/>
    <w:lvl w:ilvl="0">
      <w:lvlJc w:val="left"/>
      <w:lvlText w:val="•"/>
      <w:numFmt w:val="bullet"/>
      <w:start w:val="1"/>
    </w:lvl>
  </w:abstractNum>
  <w:abstractNum w:abstractNumId="66">
    <w:nsid w:val="14D53685"/>
    <w:multiLevelType w:val="hybridMultilevel"/>
    <w:lvl w:ilvl="0">
      <w:lvlJc w:val="left"/>
      <w:lvlText w:val="(%1)"/>
      <w:numFmt w:val="decimal"/>
      <w:start w:val="1"/>
    </w:lvl>
  </w:abstractNum>
  <w:abstractNum w:abstractNumId="67">
    <w:nsid w:val="230F856C"/>
    <w:multiLevelType w:val="hybridMultilevel"/>
    <w:lvl w:ilvl="0">
      <w:lvlJc w:val="left"/>
      <w:lvlText w:val="(%1)"/>
      <w:numFmt w:val="decimal"/>
      <w:start w:val="1"/>
    </w:lvl>
  </w:abstractNum>
  <w:abstractNum w:abstractNumId="68">
    <w:nsid w:val="6EAA85FB"/>
    <w:multiLevelType w:val="hybridMultilevel"/>
    <w:lvl w:ilvl="0">
      <w:lvlJc w:val="left"/>
      <w:lvlText w:val="(%1)"/>
      <w:numFmt w:val="decimal"/>
      <w:start w:val="2"/>
    </w:lvl>
  </w:abstractNum>
  <w:abstractNum w:abstractNumId="69">
    <w:nsid w:val="3F06ECB2"/>
    <w:multiLevelType w:val="hybridMultilevel"/>
    <w:lvl w:ilvl="0">
      <w:lvlJc w:val="left"/>
      <w:lvlText w:val="(%1)"/>
      <w:numFmt w:val="lowerRoman"/>
      <w:start w:val="1"/>
    </w:lvl>
  </w:abstractNum>
  <w:abstractNum w:abstractNumId="70">
    <w:nsid w:val="3B594807"/>
    <w:multiLevelType w:val="hybridMultilevel"/>
    <w:lvl w:ilvl="0">
      <w:lvlJc w:val="left"/>
      <w:lvlText w:val="$"/>
      <w:numFmt w:val="bullet"/>
      <w:start w:val="1"/>
    </w:lvl>
  </w:abstractNum>
  <w:abstractNum w:abstractNumId="71">
    <w:nsid w:val="6CAA2304"/>
    <w:multiLevelType w:val="hybridMultilevel"/>
    <w:lvl w:ilvl="0">
      <w:lvlJc w:val="left"/>
      <w:lvlText w:val="(%1)"/>
      <w:numFmt w:val="decimal"/>
      <w:start w:val="1"/>
    </w:lvl>
  </w:abstractNum>
  <w:abstractNum w:abstractNumId="72">
    <w:nsid w:val="3F7C2FF4"/>
    <w:multiLevelType w:val="hybridMultilevel"/>
    <w:lvl w:ilvl="0">
      <w:lvlJc w:val="left"/>
      <w:lvlText w:val="(%1)"/>
      <w:numFmt w:val="lowerLetter"/>
      <w:start w:val="1"/>
    </w:lvl>
  </w:abstractNum>
  <w:abstractNum w:abstractNumId="73">
    <w:nsid w:val="25413BEC"/>
    <w:multiLevelType w:val="hybridMultilevel"/>
    <w:lvl w:ilvl="0">
      <w:lvlJc w:val="left"/>
      <w:lvlText w:val="*"/>
      <w:numFmt w:val="bullet"/>
      <w:start w:val="1"/>
    </w:lvl>
  </w:abstractNum>
  <w:abstractNum w:abstractNumId="74">
    <w:nsid w:val="17180B0B"/>
    <w:multiLevelType w:val="hybridMultilevel"/>
    <w:lvl w:ilvl="0">
      <w:lvlJc w:val="left"/>
      <w:lvlText w:val="†"/>
      <w:numFmt w:val="bullet"/>
      <w:start w:val="1"/>
    </w:lvl>
  </w:abstractNum>
  <w:abstractNum w:abstractNumId="75">
    <w:nsid w:val="579328B9"/>
    <w:multiLevelType w:val="hybridMultilevel"/>
    <w:lvl w:ilvl="0">
      <w:lvlJc w:val="left"/>
      <w:lvlText w:val="+"/>
      <w:numFmt w:val="bullet"/>
      <w:start w:val="1"/>
    </w:lvl>
    <w:lvl w:ilvl="1">
      <w:lvlJc w:val="left"/>
      <w:lvlText w:val="(%2)"/>
      <w:numFmt w:val="lowerLetter"/>
      <w:start w:val="2"/>
    </w:lvl>
  </w:abstractNum>
  <w:abstractNum w:abstractNumId="76">
    <w:nsid w:val="5D205E20"/>
    <w:multiLevelType w:val="hybridMultilevel"/>
    <w:lvl w:ilvl="0">
      <w:lvlJc w:val="left"/>
      <w:lvlText w:val="%1."/>
      <w:numFmt w:val="decimal"/>
      <w:start w:val="1"/>
    </w:lvl>
  </w:abstractNum>
  <w:abstractNum w:abstractNumId="77">
    <w:nsid w:val="11CCA8BA"/>
    <w:multiLevelType w:val="hybridMultilevel"/>
    <w:lvl w:ilvl="0">
      <w:lvlJc w:val="left"/>
      <w:lvlText w:val="%1."/>
      <w:numFmt w:val="decimal"/>
      <w:start w:val="2"/>
    </w:lvl>
  </w:abstractNum>
  <w:abstractNum w:abstractNumId="78">
    <w:nsid w:val="4D32AB86"/>
    <w:multiLevelType w:val="hybridMultilevel"/>
    <w:lvl w:ilvl="0">
      <w:lvlJc w:val="left"/>
      <w:lvlText w:val="(%1)"/>
      <w:numFmt w:val="lowerLetter"/>
      <w:start w:val="1"/>
    </w:lvl>
  </w:abstractNum>
  <w:abstractNum w:abstractNumId="79">
    <w:nsid w:val="3F07ACC3"/>
    <w:multiLevelType w:val="hybridMultilevel"/>
    <w:lvl w:ilvl="0">
      <w:lvlJc w:val="left"/>
      <w:lvlText w:val="(%1)"/>
      <w:numFmt w:val="lowerLetter"/>
      <w:start w:val="2"/>
    </w:lvl>
  </w:abstractNum>
  <w:abstractNum w:abstractNumId="80">
    <w:nsid w:val="6B47F63E"/>
    <w:multiLevelType w:val="hybridMultilevel"/>
    <w:lvl w:ilvl="0">
      <w:lvlJc w:val="left"/>
      <w:lvlText w:val="(%1)"/>
      <w:numFmt w:val="lowerLetter"/>
      <w:start w:val="1"/>
    </w:lvl>
  </w:abstractNum>
  <w:abstractNum w:abstractNumId="81">
    <w:nsid w:val="5CB44A05"/>
    <w:multiLevelType w:val="hybridMultilevel"/>
    <w:lvl w:ilvl="0">
      <w:lvlJc w:val="left"/>
      <w:lvlText w:val="(%1)"/>
      <w:numFmt w:val="lowerLetter"/>
      <w:start w:val="4"/>
    </w:lvl>
  </w:abstractNum>
  <w:abstractNum w:abstractNumId="82">
    <w:nsid w:val="16CF80F1"/>
    <w:multiLevelType w:val="hybridMultilevel"/>
    <w:lvl w:ilvl="0">
      <w:lvlJc w:val="left"/>
      <w:lvlText w:val="%1."/>
      <w:numFmt w:val="decimal"/>
      <w:start w:val="3"/>
    </w:lvl>
  </w:abstractNum>
  <w:abstractNum w:abstractNumId="83">
    <w:nsid w:val="1C695DEC"/>
    <w:multiLevelType w:val="hybridMultilevel"/>
    <w:lvl w:ilvl="0">
      <w:lvlJc w:val="left"/>
      <w:lvlText w:val="(%1)"/>
      <w:numFmt w:val="lowerLetter"/>
      <w:start w:val="2"/>
    </w:lvl>
  </w:abstractNum>
  <w:abstractNum w:abstractNumId="84">
    <w:nsid w:val="3FCFAED9"/>
    <w:multiLevelType w:val="hybridMultilevel"/>
    <w:lvl w:ilvl="0">
      <w:lvlJc w:val="left"/>
      <w:lvlText w:val="[***]"/>
      <w:numFmt w:val="bullet"/>
      <w:start w:val="1"/>
    </w:lvl>
  </w:abstractNum>
  <w:abstractNum w:abstractNumId="85">
    <w:nsid w:val="F856867"/>
    <w:multiLevelType w:val="hybridMultilevel"/>
    <w:lvl w:ilvl="0">
      <w:lvlJc w:val="left"/>
      <w:lvlText w:val="%1."/>
      <w:numFmt w:val="decimal"/>
      <w:start w:val="4"/>
    </w:lvl>
  </w:abstractNum>
  <w:abstractNum w:abstractNumId="86">
    <w:nsid w:val="11B1CC33"/>
    <w:multiLevelType w:val="hybridMultilevel"/>
    <w:lvl w:ilvl="0">
      <w:lvlJc w:val="left"/>
      <w:lvlText w:val="%1."/>
      <w:numFmt w:val="decimal"/>
      <w:start w:val="5"/>
    </w:lvl>
  </w:abstractNum>
  <w:abstractNum w:abstractNumId="87">
    <w:nsid w:val="2E22FBB7"/>
    <w:multiLevelType w:val="hybridMultilevel"/>
    <w:lvl w:ilvl="0">
      <w:lvlJc w:val="left"/>
      <w:lvlText w:val="%1."/>
      <w:numFmt w:val="decimal"/>
      <w:start w:val="6"/>
    </w:lvl>
  </w:abstractNum>
  <w:abstractNum w:abstractNumId="88">
    <w:nsid w:val="29934699"/>
    <w:multiLevelType w:val="hybridMultilevel"/>
    <w:lvl w:ilvl="0">
      <w:lvlJc w:val="left"/>
      <w:lvlText w:val="%1."/>
      <w:numFmt w:val="decimal"/>
      <w:start w:val="7"/>
    </w:lvl>
  </w:abstractNum>
  <w:abstractNum w:abstractNumId="89">
    <w:nsid w:val="77485850"/>
    <w:multiLevelType w:val="hybridMultilevel"/>
    <w:lvl w:ilvl="0">
      <w:lvlJc w:val="left"/>
      <w:lvlText w:val="%1."/>
      <w:numFmt w:val="decimal"/>
      <w:start w:val="8"/>
    </w:lvl>
  </w:abstractNum>
  <w:abstractNum w:abstractNumId="90">
    <w:nsid w:val="744939A3"/>
    <w:multiLevelType w:val="hybridMultilevel"/>
    <w:lvl w:ilvl="0">
      <w:lvlJc w:val="left"/>
      <w:lvlText w:val="(%1)"/>
      <w:numFmt w:val="lowerLetter"/>
      <w:start w:val="1"/>
    </w:lvl>
  </w:abstractNum>
  <w:abstractNum w:abstractNumId="91">
    <w:nsid w:val="4FA0D2E3"/>
    <w:multiLevelType w:val="hybridMultilevel"/>
    <w:lvl w:ilvl="0">
      <w:lvlJc w:val="left"/>
      <w:lvlText w:val="(%1)"/>
      <w:numFmt w:val="lowerLetter"/>
      <w:start w:val="3"/>
    </w:lvl>
  </w:abstractNum>
  <w:abstractNum w:abstractNumId="92">
    <w:nsid w:val="6B1D2C14"/>
    <w:multiLevelType w:val="hybridMultilevel"/>
    <w:lvl w:ilvl="0">
      <w:lvlJc w:val="left"/>
      <w:lvlText w:val="(%1)"/>
      <w:numFmt w:val="lowerLetter"/>
      <w:start w:val="1"/>
    </w:lvl>
  </w:abstractNum>
  <w:abstractNum w:abstractNumId="93">
    <w:nsid w:val="68B867D3"/>
    <w:multiLevelType w:val="hybridMultilevel"/>
    <w:lvl w:ilvl="0">
      <w:lvlJc w:val="left"/>
      <w:lvlText w:val="(%1)"/>
      <w:numFmt w:val="lowerLetter"/>
      <w:start w:val="1"/>
    </w:lvl>
  </w:abstractNum>
  <w:abstractNum w:abstractNumId="94">
    <w:nsid w:val="3F7F5DD9"/>
    <w:multiLevelType w:val="hybridMultilevel"/>
    <w:lvl w:ilvl="0">
      <w:lvlJc w:val="left"/>
      <w:lvlText w:val="%1"/>
      <w:numFmt w:val="decimal"/>
      <w:start w:val="1"/>
    </w:lvl>
    <w:lvl w:ilvl="1">
      <w:lvlJc w:val="left"/>
      <w:lvlText w:val="(%2)"/>
      <w:numFmt w:val="lowerLetter"/>
      <w:start w:val="3"/>
    </w:lvl>
  </w:abstractNum>
  <w:abstractNum w:abstractNumId="95">
    <w:nsid w:val="2AE05A34"/>
    <w:multiLevelType w:val="hybridMultilevel"/>
    <w:lvl w:ilvl="0">
      <w:lvlJc w:val="left"/>
      <w:lvlText w:val="%1."/>
      <w:numFmt w:val="decimal"/>
      <w:start w:val="9"/>
    </w:lvl>
    <w:lvl w:ilvl="1">
      <w:lvlJc w:val="left"/>
      <w:lvlText w:val="%2"/>
      <w:numFmt w:val="lowerLetter"/>
      <w:start w:val="1"/>
    </w:lvl>
  </w:abstractNum>
  <w:abstractNum w:abstractNumId="96">
    <w:nsid w:val="32794FF7"/>
    <w:multiLevelType w:val="hybridMultilevel"/>
    <w:lvl w:ilvl="0">
      <w:lvlJc w:val="left"/>
      <w:lvlText w:val="(%1)"/>
      <w:numFmt w:val="lowerLetter"/>
      <w:start w:val="1"/>
    </w:lvl>
  </w:abstractNum>
  <w:abstractNum w:abstractNumId="97">
    <w:nsid w:val="5454945E"/>
    <w:multiLevelType w:val="hybridMultilevel"/>
    <w:lvl w:ilvl="0">
      <w:lvlJc w:val="left"/>
      <w:lvlText w:val="%1"/>
      <w:numFmt w:val="decimal"/>
      <w:start w:val="1"/>
    </w:lvl>
    <w:lvl w:ilvl="1">
      <w:lvlJc w:val="left"/>
      <w:lvlText w:val="(%2)"/>
      <w:numFmt w:val="lowerLetter"/>
      <w:start w:val="1"/>
    </w:lvl>
  </w:abstractNum>
  <w:abstractNum w:abstractNumId="98">
    <w:nsid w:val="4DEFDFA0"/>
    <w:multiLevelType w:val="hybridMultilevel"/>
    <w:lvl w:ilvl="0">
      <w:lvlJc w:val="left"/>
      <w:lvlText w:val="%1."/>
      <w:numFmt w:val="decimal"/>
      <w:start w:val="10"/>
    </w:lvl>
    <w:lvl w:ilvl="1">
      <w:lvlJc w:val="left"/>
      <w:lvlText w:val="%2"/>
      <w:numFmt w:val="lowerLetter"/>
      <w:start w:val="1"/>
    </w:lvl>
  </w:abstractNum>
  <w:abstractNum w:abstractNumId="99">
    <w:nsid w:val="2123D5F2"/>
    <w:multiLevelType w:val="hybridMultilevel"/>
    <w:lvl w:ilvl="0">
      <w:lvlJc w:val="left"/>
      <w:lvlText w:val="%1."/>
      <w:numFmt w:val="decimal"/>
      <w:start w:val="11"/>
    </w:lvl>
  </w:abstractNum>
  <w:abstractNum w:abstractNumId="100">
    <w:nsid w:val="135B8110"/>
    <w:multiLevelType w:val="hybridMultilevel"/>
    <w:lvl w:ilvl="0">
      <w:lvlJc w:val="left"/>
      <w:lvlText w:val="(%1)"/>
      <w:numFmt w:val="lowerLetter"/>
      <w:start w:val="1"/>
    </w:lvl>
  </w:abstractNum>
  <w:abstractNum w:abstractNumId="101">
    <w:nsid w:val="94927A8"/>
    <w:multiLevelType w:val="hybridMultilevel"/>
    <w:lvl w:ilvl="0">
      <w:lvlJc w:val="left"/>
      <w:lvlText w:val="%1"/>
      <w:numFmt w:val="decimal"/>
      <w:start w:val="1"/>
    </w:lvl>
    <w:lvl w:ilvl="1">
      <w:lvlJc w:val="left"/>
      <w:lvlText w:val="(%2)"/>
      <w:numFmt w:val="lowerLetter"/>
      <w:start w:val="5"/>
    </w:lvl>
  </w:abstractNum>
  <w:abstractNum w:abstractNumId="102">
    <w:nsid w:val="DCDF8F6"/>
    <w:multiLevelType w:val="hybridMultilevel"/>
    <w:lvl w:ilvl="0">
      <w:lvlJc w:val="left"/>
      <w:lvlText w:val="%1."/>
      <w:numFmt w:val="decimal"/>
      <w:start w:val="12"/>
    </w:lvl>
    <w:lvl w:ilvl="1">
      <w:lvlJc w:val="left"/>
      <w:lvlText w:val="%2"/>
      <w:numFmt w:val="lowerLetter"/>
      <w:start w:val="1"/>
    </w:lvl>
  </w:abstractNum>
  <w:abstractNum w:abstractNumId="103">
    <w:nsid w:val="52D7B105"/>
    <w:multiLevelType w:val="hybridMultilevel"/>
    <w:lvl w:ilvl="0">
      <w:lvlJc w:val="left"/>
      <w:lvlText w:val="%1."/>
      <w:numFmt w:val="decimal"/>
      <w:start w:val="14"/>
    </w:lvl>
  </w:abstractNum>
  <w:abstractNum w:abstractNumId="104">
    <w:nsid w:val="2E8A6394"/>
    <w:multiLevelType w:val="hybridMultilevel"/>
    <w:lvl w:ilvl="0">
      <w:lvlJc w:val="left"/>
      <w:lvlText w:val="%1."/>
      <w:numFmt w:val="decimal"/>
      <w:start w:val="1"/>
    </w:lvl>
    <w:lvl w:ilvl="1">
      <w:lvlJc w:val="left"/>
      <w:lvlText w:val="(%2)"/>
      <w:numFmt w:val="lowerLetter"/>
      <w:start w:val="1"/>
    </w:lvl>
  </w:abstractNum>
  <w:abstractNum w:abstractNumId="105">
    <w:nsid w:val="24E60401"/>
    <w:multiLevelType w:val="hybridMultilevel"/>
    <w:lvl w:ilvl="0">
      <w:lvlJc w:val="left"/>
      <w:lvlText w:val="%1."/>
      <w:numFmt w:val="decimal"/>
      <w:start w:val="2"/>
    </w:lvl>
  </w:abstractNum>
  <w:abstractNum w:abstractNumId="106">
    <w:nsid w:val="2A6AD9BE"/>
    <w:multiLevelType w:val="hybridMultilevel"/>
    <w:lvl w:ilvl="0">
      <w:lvlJc w:val="left"/>
      <w:lvlText w:val="%1."/>
      <w:numFmt w:val="decimal"/>
      <w:start w:val="1"/>
    </w:lvl>
    <w:lvl w:ilvl="1">
      <w:lvlJc w:val="left"/>
      <w:lvlText w:val="(%2)"/>
      <w:numFmt w:val="lowerLetter"/>
      <w:start w:val="1"/>
    </w:lvl>
  </w:abstractNum>
  <w:abstractNum w:abstractNumId="107">
    <w:nsid w:val="BAAC1B4"/>
    <w:multiLevelType w:val="hybridMultilevel"/>
    <w:lvl w:ilvl="0">
      <w:lvlJc w:val="left"/>
      <w:lvlText w:val="%1."/>
      <w:numFmt w:val="decimal"/>
      <w:start w:val="2"/>
    </w:lvl>
  </w:abstractNum>
  <w:abstractNum w:abstractNumId="108">
    <w:nsid w:val="36B2ACBC"/>
    <w:multiLevelType w:val="hybridMultilevel"/>
    <w:lvl w:ilvl="0">
      <w:lvlJc w:val="left"/>
      <w:lvlText w:val="%1."/>
      <w:numFmt w:val="decimal"/>
      <w:start w:val="1"/>
    </w:lvl>
  </w:abstractNum>
  <w:abstractNum w:abstractNumId="109">
    <w:nsid w:val="779D8544"/>
    <w:multiLevelType w:val="hybridMultilevel"/>
    <w:lvl w:ilvl="0">
      <w:lvlJc w:val="left"/>
      <w:lvlText w:val="%1."/>
      <w:numFmt w:val="decimal"/>
      <w:start w:val="4"/>
    </w:lvl>
  </w:abstractNum>
  <w:abstractNum w:abstractNumId="110">
    <w:nsid w:val="4AB26E78"/>
    <w:multiLevelType w:val="hybridMultilevel"/>
    <w:lvl w:ilvl="0">
      <w:lvlJc w:val="left"/>
      <w:lvlText w:val="%1."/>
      <w:numFmt w:val="decimal"/>
      <w:start w:val="1"/>
    </w:lvl>
  </w:abstractNum>
  <w:abstractNum w:abstractNumId="111">
    <w:nsid w:val="21FAA2FA"/>
    <w:multiLevelType w:val="hybridMultilevel"/>
    <w:lvl w:ilvl="0">
      <w:lvlJc w:val="left"/>
      <w:lvlText w:val="%1."/>
      <w:numFmt w:val="decimal"/>
      <w:start w:val="4"/>
    </w:lvl>
  </w:abstractNum>
  <w:abstractNum w:abstractNumId="112">
    <w:nsid w:val="5451CF49"/>
    <w:multiLevelType w:val="hybridMultilevel"/>
    <w:lvl w:ilvl="0">
      <w:lvlJc w:val="left"/>
      <w:lvlText w:val="%1."/>
      <w:numFmt w:val="decimal"/>
      <w:start w:val="1"/>
    </w:lvl>
  </w:abstractNum>
  <w:abstractNum w:abstractNumId="113">
    <w:nsid w:val="6181EF69"/>
    <w:multiLevelType w:val="hybridMultilevel"/>
    <w:lvl w:ilvl="0">
      <w:lvlJc w:val="left"/>
      <w:lvlText w:val="%1."/>
      <w:numFmt w:val="decimal"/>
      <w:start w:val="4"/>
    </w:lvl>
  </w:abstractNum>
  <w:abstractNum w:abstractNumId="114">
    <w:nsid w:val="3E6400E6"/>
    <w:multiLevelType w:val="hybridMultilevel"/>
    <w:lvl w:ilvl="0">
      <w:lvlJc w:val="left"/>
      <w:lvlText w:val="(%1)"/>
      <w:numFmt w:val="lowerRoman"/>
      <w:start w:val="1"/>
    </w:lvl>
  </w:abstractNum>
  <w:abstractNum w:abstractNumId="115">
    <w:nsid w:val="14217E23"/>
    <w:multiLevelType w:val="hybridMultilevel"/>
    <w:lvl w:ilvl="0">
      <w:lvlJc w:val="left"/>
      <w:lvlText w:val="(%1)"/>
      <w:numFmt w:val="lowerLetter"/>
      <w:start w:val="2"/>
    </w:lvl>
    <w:lvl w:ilvl="1">
      <w:lvlJc w:val="left"/>
      <w:lvlText w:val="(%2)"/>
      <w:numFmt w:val="lowerRoman"/>
      <w:start w:val="9"/>
    </w:lvl>
  </w:abstractNum>
  <w:abstractNum w:abstractNumId="116">
    <w:nsid w:val="710757D0"/>
    <w:multiLevelType w:val="hybridMultilevel"/>
    <w:lvl w:ilvl="0">
      <w:lvlJc w:val="left"/>
      <w:lvlText w:val="%1."/>
      <w:numFmt w:val="upperLetter"/>
      <w:start w:val="1"/>
    </w:lvl>
    <w:lvl w:ilvl="1">
      <w:lvlJc w:val="left"/>
      <w:lvlText w:val="(%2)"/>
      <w:numFmt w:val="lowerRoman"/>
      <w:start w:val="1"/>
    </w:lvl>
  </w:abstractNum>
  <w:abstractNum w:abstractNumId="117">
    <w:nsid w:val="5015CD1A"/>
    <w:multiLevelType w:val="hybridMultilevel"/>
    <w:lvl w:ilvl="0">
      <w:lvlJc w:val="left"/>
      <w:lvlText w:val="%1"/>
      <w:numFmt w:val="upperLetter"/>
      <w:start w:val="1"/>
    </w:lvl>
    <w:lvl w:ilvl="1">
      <w:lvlJc w:val="left"/>
      <w:lvlText w:val="(%2)"/>
      <w:numFmt w:val="lowerLetter"/>
      <w:start w:val="35"/>
    </w:lvl>
  </w:abstractNum>
  <w:abstractNum w:abstractNumId="118">
    <w:nsid w:val="424479DA"/>
    <w:multiLevelType w:val="hybridMultilevel"/>
    <w:lvl w:ilvl="0">
      <w:lvlJc w:val="left"/>
      <w:lvlText w:val="%1."/>
      <w:numFmt w:val="upperLetter"/>
      <w:start w:val="4"/>
    </w:lvl>
    <w:lvl w:ilvl="1">
      <w:lvlJc w:val="left"/>
      <w:lvlText w:val="(%2)"/>
      <w:numFmt w:val="lowerLetter"/>
      <w:start w:val="1"/>
    </w:lvl>
  </w:abstractNum>
  <w:abstractNum w:abstractNumId="119">
    <w:nsid w:val="1A9A9E69"/>
    <w:multiLevelType w:val="hybridMultilevel"/>
    <w:lvl w:ilvl="0">
      <w:lvlJc w:val="left"/>
      <w:lvlText w:val="%1."/>
      <w:numFmt w:val="upperLetter"/>
      <w:start w:val="5"/>
    </w:lvl>
  </w:abstractNum>
  <w:abstractNum w:abstractNumId="120">
    <w:nsid w:val="475E256A"/>
    <w:multiLevelType w:val="hybridMultilevel"/>
    <w:lvl w:ilvl="0">
      <w:lvlJc w:val="left"/>
      <w:lvlText w:val="(%1)"/>
      <w:numFmt w:val="lowerLetter"/>
      <w:start w:val="1"/>
    </w:lvl>
  </w:abstractNum>
  <w:abstractNum w:abstractNumId="121">
    <w:nsid w:val="368DB37E"/>
    <w:multiLevelType w:val="hybridMultilevel"/>
    <w:lvl w:ilvl="0">
      <w:lvlJc w:val="left"/>
      <w:lvlText w:val="(%1)"/>
      <w:numFmt w:val="lowerLetter"/>
      <w:start w:val="1"/>
    </w:lvl>
  </w:abstractNum>
  <w:abstractNum w:abstractNumId="122">
    <w:nsid w:val="6A3B714C"/>
    <w:multiLevelType w:val="hybridMultilevel"/>
    <w:lvl w:ilvl="0">
      <w:lvlJc w:val="left"/>
      <w:lvlText w:val="%1"/>
      <w:numFmt w:val="decimal"/>
      <w:start w:val="1"/>
    </w:lvl>
    <w:lvl w:ilvl="1">
      <w:lvlJc w:val="left"/>
      <w:lvlText w:val="(%2)"/>
      <w:numFmt w:val="lowerLetter"/>
      <w:start w:val="1"/>
    </w:lvl>
  </w:abstractNum>
  <w:abstractNum w:abstractNumId="123">
    <w:nsid w:val="327B517E"/>
    <w:multiLevelType w:val="hybridMultilevel"/>
    <w:lvl w:ilvl="0">
      <w:lvlJc w:val="left"/>
      <w:lvlText w:val="(%1)"/>
      <w:numFmt w:val="decimal"/>
      <w:start w:val="1"/>
    </w:lvl>
    <w:lvl w:ilvl="1">
      <w:lvlJc w:val="left"/>
      <w:lvlText w:val="%2"/>
      <w:numFmt w:val="lowerLetter"/>
      <w:start w:val="1"/>
    </w:lvl>
  </w:abstractNum>
  <w:abstractNum w:abstractNumId="124">
    <w:nsid w:val="1F461B51"/>
    <w:multiLevelType w:val="hybridMultilevel"/>
    <w:lvl w:ilvl="0">
      <w:lvlJc w:val="left"/>
      <w:lvlText w:val="(%1)"/>
      <w:numFmt w:val="lowerLetter"/>
      <w:start w:val="1"/>
    </w:lvl>
  </w:abstractNum>
  <w:abstractNum w:abstractNumId="125">
    <w:nsid w:val="29BACF25"/>
    <w:multiLevelType w:val="hybridMultilevel"/>
    <w:lvl w:ilvl="0">
      <w:lvlJc w:val="left"/>
      <w:lvlText w:val="(%1)"/>
      <w:numFmt w:val="lowerLetter"/>
      <w:start w:val="1"/>
    </w:lvl>
  </w:abstractNum>
  <w:abstractNum w:abstractNumId="126">
    <w:nsid w:val="5D5BABB3"/>
    <w:multiLevelType w:val="hybridMultilevel"/>
    <w:lvl w:ilvl="0">
      <w:lvlJc w:val="left"/>
      <w:lvlText w:val="(%1)"/>
      <w:numFmt w:val="lowerLetter"/>
      <w:start w:val="4"/>
    </w:lvl>
  </w:abstractNum>
  <w:abstractNum w:abstractNumId="127">
    <w:nsid w:val="51BF6B48"/>
    <w:multiLevelType w:val="hybridMultilevel"/>
    <w:lvl w:ilvl="0">
      <w:lvlJc w:val="left"/>
      <w:lvlText w:val="(%1)"/>
      <w:numFmt w:val="lowerLetter"/>
      <w:start w:val="7"/>
    </w:lvl>
  </w:abstractNum>
  <w:abstractNum w:abstractNumId="128">
    <w:nsid w:val="7E0F6384"/>
    <w:multiLevelType w:val="hybridMultilevel"/>
    <w:lvl w:ilvl="0">
      <w:lvlJc w:val="left"/>
      <w:lvlText w:val="(%1)"/>
      <w:numFmt w:val="lowerLetter"/>
      <w:start w:val="1"/>
    </w:lvl>
  </w:abstractNum>
  <w:abstractNum w:abstractNumId="129">
    <w:nsid w:val="2B4B8B53"/>
    <w:multiLevelType w:val="hybridMultilevel"/>
    <w:lvl w:ilvl="0">
      <w:lvlJc w:val="left"/>
      <w:lvlText w:val="(%1)"/>
      <w:numFmt w:val="lowerRoman"/>
      <w:start w:val="1"/>
    </w:lvl>
  </w:abstractNum>
  <w:abstractNum w:abstractNumId="130">
    <w:nsid w:val="72E3413A"/>
    <w:multiLevelType w:val="hybridMultilevel"/>
    <w:lvl w:ilvl="0">
      <w:lvlJc w:val="left"/>
      <w:lvlText w:val="%1"/>
      <w:numFmt w:val="lowerLetter"/>
      <w:start w:val="1"/>
    </w:lvl>
    <w:lvl w:ilvl="1">
      <w:lvlJc w:val="left"/>
      <w:lvlText w:val="(%2)"/>
      <w:numFmt w:val="lowerLetter"/>
      <w:start w:val="2"/>
    </w:lvl>
  </w:abstractNum>
  <w:abstractNum w:abstractNumId="131">
    <w:nsid w:val="116AE494"/>
    <w:multiLevelType w:val="hybridMultilevel"/>
    <w:lvl w:ilvl="0">
      <w:lvlJc w:val="left"/>
      <w:lvlText w:val="(%1)"/>
      <w:numFmt w:val="lowerLetter"/>
      <w:start w:val="35"/>
    </w:lvl>
    <w:lvl w:ilvl="1">
      <w:lvlJc w:val="left"/>
      <w:lvlText w:val="(%2)"/>
      <w:numFmt w:val="lowerLetter"/>
      <w:start w:val="3"/>
    </w:lvl>
  </w:abstractNum>
  <w:abstractNum w:abstractNumId="132">
    <w:nsid w:val="3494B2FB"/>
    <w:multiLevelType w:val="hybridMultilevel"/>
    <w:lvl w:ilvl="0">
      <w:lvlJc w:val="left"/>
      <w:lvlText w:val="(%1)"/>
      <w:numFmt w:val="lowerLetter"/>
      <w:start w:val="7"/>
    </w:lvl>
  </w:abstractNum>
  <w:abstractNum w:abstractNumId="133">
    <w:nsid w:val="B13A31"/>
    <w:multiLevelType w:val="hybridMultilevel"/>
    <w:lvl w:ilvl="0">
      <w:lvlJc w:val="left"/>
      <w:lvlText w:val="%1"/>
      <w:numFmt w:val="decimal"/>
      <w:start w:val="1"/>
    </w:lvl>
    <w:lvl w:ilvl="1">
      <w:lvlJc w:val="left"/>
      <w:lvlText w:val="(%2)"/>
      <w:numFmt w:val="lowerLetter"/>
      <w:start w:val="1"/>
    </w:lvl>
  </w:abstractNum>
  <w:abstractNum w:abstractNumId="134">
    <w:nsid w:val="64429599"/>
    <w:multiLevelType w:val="hybridMultilevel"/>
    <w:lvl w:ilvl="0">
      <w:lvlJc w:val="left"/>
      <w:lvlText w:val="(%1)"/>
      <w:numFmt w:val="decimal"/>
      <w:start w:val="2"/>
    </w:lvl>
    <w:lvl w:ilvl="1">
      <w:lvlJc w:val="left"/>
      <w:lvlText w:val="%2"/>
      <w:numFmt w:val="lowerLetter"/>
      <w:start w:val="1"/>
    </w:lvl>
  </w:abstractNum>
  <w:abstractNum w:abstractNumId="135">
    <w:nsid w:val="631F1690"/>
    <w:multiLevelType w:val="hybridMultilevel"/>
    <w:lvl w:ilvl="0">
      <w:lvlJc w:val="left"/>
      <w:lvlText w:val="(%1)"/>
      <w:numFmt w:val="lowerLetter"/>
      <w:start w:val="4"/>
    </w:lvl>
  </w:abstractNum>
  <w:abstractNum w:abstractNumId="136">
    <w:nsid w:val="25973E32"/>
    <w:multiLevelType w:val="hybridMultilevel"/>
    <w:lvl w:ilvl="0">
      <w:lvlJc w:val="left"/>
      <w:lvlText w:val="(%1)"/>
      <w:numFmt w:val="lowerLetter"/>
      <w:start w:val="1"/>
    </w:lvl>
  </w:abstractNum>
  <w:abstractNum w:abstractNumId="137">
    <w:nsid w:val="EAD6F57"/>
    <w:multiLevelType w:val="hybridMultilevel"/>
    <w:lvl w:ilvl="0">
      <w:lvlJc w:val="left"/>
      <w:lvlText w:val="(%1)"/>
      <w:numFmt w:val="lowerLetter"/>
      <w:start w:val="1"/>
    </w:lvl>
  </w:abstractNum>
  <w:abstractNum w:abstractNumId="138">
    <w:nsid w:val="6EC9D844"/>
    <w:multiLevelType w:val="hybridMultilevel"/>
    <w:lvl w:ilvl="0">
      <w:lvlJc w:val="left"/>
      <w:lvlText w:val="(%1)"/>
      <w:numFmt w:val="lowerLetter"/>
      <w:start w:val="3"/>
    </w:lvl>
  </w:abstractNum>
  <w:abstractNum w:abstractNumId="139">
    <w:nsid w:val="5C49EAEE"/>
    <w:multiLevelType w:val="hybridMultilevel"/>
    <w:lvl w:ilvl="0">
      <w:lvlJc w:val="left"/>
      <w:lvlText w:val="(%1)"/>
      <w:numFmt w:val="lowerLetter"/>
      <w:start w:val="1"/>
    </w:lvl>
  </w:abstractNum>
  <w:abstractNum w:abstractNumId="140">
    <w:nsid w:val="64AF49B"/>
    <w:multiLevelType w:val="hybridMultilevel"/>
    <w:lvl w:ilvl="0">
      <w:lvlJc w:val="left"/>
      <w:lvlText w:val="(%1)"/>
      <w:numFmt w:val="lowerLetter"/>
      <w:start w:val="4"/>
    </w:lvl>
  </w:abstractNum>
  <w:abstractNum w:abstractNumId="141">
    <w:nsid w:val="397C46BC"/>
    <w:multiLevelType w:val="hybridMultilevel"/>
    <w:lvl w:ilvl="0">
      <w:lvlJc w:val="left"/>
      <w:lvlText w:val="%1"/>
      <w:numFmt w:val="lowerLetter"/>
      <w:start w:val="1"/>
    </w:lvl>
    <w:lvl w:ilvl="1">
      <w:lvlJc w:val="left"/>
      <w:lvlText w:val="(%2)"/>
      <w:numFmt w:val="lowerLetter"/>
      <w:start w:val="1"/>
    </w:lvl>
  </w:abstractNum>
  <w:abstractNum w:abstractNumId="142">
    <w:nsid w:val="7E448DE9"/>
    <w:multiLevelType w:val="hybridMultilevel"/>
    <w:lvl w:ilvl="0">
      <w:lvlJc w:val="left"/>
      <w:lvlText w:val="(%1)"/>
      <w:numFmt w:val="lowerLetter"/>
      <w:start w:val="35"/>
    </w:lvl>
    <w:lvl w:ilvl="1">
      <w:lvlJc w:val="left"/>
      <w:lvlText w:val="%2"/>
      <w:numFmt w:val="lowerLetter"/>
      <w:start w:val="1"/>
    </w:lvl>
  </w:abstractNum>
  <w:abstractNum w:abstractNumId="143">
    <w:nsid w:val="5A9CC3E5"/>
    <w:multiLevelType w:val="hybridMultilevel"/>
    <w:lvl w:ilvl="0">
      <w:lvlJc w:val="left"/>
      <w:lvlText w:val="(%1)"/>
      <w:numFmt w:val="lowerLetter"/>
      <w:start w:val="1"/>
    </w:lvl>
  </w:abstractNum>
  <w:abstractNum w:abstractNumId="144">
    <w:nsid w:val="1AFE3625"/>
    <w:multiLevelType w:val="hybridMultilevel"/>
    <w:lvl w:ilvl="0">
      <w:lvlJc w:val="left"/>
      <w:lvlText w:val="(%1)"/>
      <w:numFmt w:val="lowerLetter"/>
      <w:start w:val="3"/>
    </w:lvl>
  </w:abstractNum>
  <w:abstractNum w:abstractNumId="145">
    <w:nsid w:val="3CA88ECF"/>
    <w:multiLevelType w:val="hybridMultilevel"/>
    <w:lvl w:ilvl="0">
      <w:lvlJc w:val="left"/>
      <w:lvlText w:val="(%1)"/>
      <w:numFmt w:val="decimal"/>
      <w:start w:val="5"/>
    </w:lvl>
  </w:abstractNum>
  <w:abstractNum w:abstractNumId="146">
    <w:nsid w:val="6EBE4208"/>
    <w:multiLevelType w:val="hybridMultilevel"/>
    <w:lvl w:ilvl="0">
      <w:lvlJc w:val="left"/>
      <w:lvlText w:val="(%1)"/>
      <w:numFmt w:val="lowerRoman"/>
      <w:start w:val="1"/>
    </w:lvl>
  </w:abstractNum>
  <w:abstractNum w:abstractNumId="147">
    <w:nsid w:val="C058DF5"/>
    <w:multiLevelType w:val="hybridMultilevel"/>
    <w:lvl w:ilvl="0">
      <w:lvlJc w:val="left"/>
      <w:lvlText w:val="(%1)"/>
      <w:numFmt w:val="lowerRoman"/>
      <w:start w:val="3"/>
    </w:lvl>
  </w:abstractNum>
  <w:abstractNum w:abstractNumId="148">
    <w:nsid w:val="CBE5BE9"/>
    <w:multiLevelType w:val="hybridMultilevel"/>
    <w:lvl w:ilvl="0">
      <w:lvlJc w:val="left"/>
      <w:lvlText w:val="(%1)"/>
      <w:numFmt w:val="lowerLetter"/>
      <w:start w:val="1"/>
    </w:lvl>
  </w:abstractNum>
  <w:abstractNum w:abstractNumId="149">
    <w:nsid w:val="3102BBE2"/>
    <w:multiLevelType w:val="hybridMultilevel"/>
    <w:lvl w:ilvl="0">
      <w:lvlJc w:val="left"/>
      <w:lvlText w:val="(%1)"/>
      <w:numFmt w:val="lowerRoman"/>
      <w:start w:val="1"/>
    </w:lvl>
  </w:abstractNum>
  <w:abstractNum w:abstractNumId="150">
    <w:nsid w:val="26A02C5E"/>
    <w:multiLevelType w:val="hybridMultilevel"/>
    <w:lvl w:ilvl="0">
      <w:lvlJc w:val="left"/>
      <w:lvlText w:val="(%1)"/>
      <w:numFmt w:val="lowerLetter"/>
      <w:start w:val="1"/>
    </w:lvl>
  </w:abstractNum>
  <w:abstractNum w:abstractNumId="151">
    <w:nsid w:val="541C8153"/>
    <w:multiLevelType w:val="hybridMultilevel"/>
    <w:lvl w:ilvl="0">
      <w:lvlJc w:val="left"/>
      <w:lvlText w:val="(%1)"/>
      <w:numFmt w:val="lowerLetter"/>
      <w:start w:val="1"/>
    </w:lvl>
  </w:abstractNum>
  <w:abstractNum w:abstractNumId="152">
    <w:nsid w:val="67906F60"/>
    <w:multiLevelType w:val="hybridMultilevel"/>
    <w:lvl w:ilvl="0">
      <w:lvlJc w:val="left"/>
      <w:lvlText w:val="(%1)"/>
      <w:numFmt w:val="lowerLetter"/>
      <w:start w:val="3"/>
    </w:lvl>
  </w:abstractNum>
  <w:abstractNum w:abstractNumId="153">
    <w:nsid w:val="10DB9DAA"/>
    <w:multiLevelType w:val="hybridMultilevel"/>
    <w:lvl w:ilvl="0">
      <w:lvlJc w:val="left"/>
      <w:lvlText w:val="(%1)"/>
      <w:numFmt w:val="lowerLetter"/>
      <w:start w:val="18"/>
    </w:lvl>
  </w:abstractNum>
  <w:abstractNum w:abstractNumId="154">
    <w:nsid w:val="697D2D2"/>
    <w:multiLevelType w:val="hybridMultilevel"/>
    <w:lvl w:ilvl="0">
      <w:lvlJc w:val="left"/>
      <w:lvlText w:val="(%1)"/>
      <w:numFmt w:val="lowerLetter"/>
      <w:start w:val="1"/>
    </w:lvl>
  </w:abstractNum>
  <w:abstractNum w:abstractNumId="155">
    <w:nsid w:val="6D68AB2"/>
    <w:multiLevelType w:val="hybridMultilevel"/>
    <w:lvl w:ilvl="0">
      <w:lvlJc w:val="left"/>
      <w:lvlText w:val="(%1)"/>
      <w:numFmt w:val="lowerRoman"/>
      <w:start w:val="1"/>
    </w:lvl>
  </w:abstractNum>
  <w:abstractNum w:abstractNumId="156">
    <w:nsid w:val="3A966CD0"/>
    <w:multiLevelType w:val="hybridMultilevel"/>
    <w:lvl w:ilvl="0">
      <w:lvlJc w:val="left"/>
      <w:lvlText w:val="(%1)"/>
      <w:numFmt w:val="lowerRoman"/>
      <w:start w:val="16"/>
    </w:lvl>
  </w:abstractNum>
  <w:abstractNum w:abstractNumId="157">
    <w:nsid w:val="63F37E85"/>
    <w:multiLevelType w:val="hybridMultilevel"/>
    <w:lvl w:ilvl="0">
      <w:lvlJc w:val="left"/>
      <w:lvlText w:val="%1."/>
      <w:numFmt w:val="decimal"/>
      <w:start w:val="1"/>
    </w:lvl>
  </w:abstractNum>
  <w:abstractNum w:abstractNumId="158">
    <w:nsid w:val="5895F5FA"/>
    <w:multiLevelType w:val="hybridMultilevel"/>
    <w:lvl w:ilvl="0">
      <w:lvlJc w:val="left"/>
      <w:lvlText w:val="%1."/>
      <w:numFmt w:val="decimal"/>
      <w:start w:val="2"/>
    </w:lvl>
  </w:abstractNum>
  <w:abstractNum w:abstractNumId="159">
    <w:nsid w:val="38A5D054"/>
    <w:multiLevelType w:val="hybridMultilevel"/>
    <w:lvl w:ilvl="0">
      <w:lvlJc w:val="left"/>
      <w:lvlText w:val="%1."/>
      <w:numFmt w:val="decimal"/>
      <w:start w:val="6"/>
    </w:lvl>
  </w:abstractNum>
  <w:abstractNum w:abstractNumId="160">
    <w:nsid w:val="F3F09D8"/>
    <w:multiLevelType w:val="hybridMultilevel"/>
    <w:lvl w:ilvl="0">
      <w:lvlJc w:val="left"/>
      <w:lvlText w:val="(%1)"/>
      <w:numFmt w:val="lowerLetter"/>
      <w:start w:val="1"/>
    </w:lvl>
  </w:abstractNum>
  <w:abstractNum w:abstractNumId="161">
    <w:nsid w:val="4B793735"/>
    <w:multiLevelType w:val="hybridMultilevel"/>
    <w:lvl w:ilvl="0">
      <w:lvlJc w:val="left"/>
      <w:lvlText w:val="%1)"/>
      <w:numFmt w:val="decimal"/>
      <w:start w:val="356"/>
    </w:lvl>
  </w:abstractNum>
  <w:abstractNum w:abstractNumId="162">
    <w:nsid w:val="4A10B4E8"/>
    <w:multiLevelType w:val="hybridMultilevel"/>
    <w:lvl w:ilvl="0">
      <w:lvlJc w:val="left"/>
      <w:lvlText w:val="(%1)"/>
      <w:numFmt w:val="lowerLetter"/>
      <w:start w:val="1"/>
    </w:lvl>
  </w:abstractNum>
  <w:abstractNum w:abstractNumId="163">
    <w:nsid w:val="43D3BCD4"/>
    <w:multiLevelType w:val="hybridMultilevel"/>
    <w:lvl w:ilvl="0">
      <w:lvlJc w:val="left"/>
      <w:lvlText w:val="[***]"/>
      <w:numFmt w:val="bullet"/>
      <w:start w:val="1"/>
    </w:lvl>
  </w:abstractNum>
  <w:abstractNum w:abstractNumId="164">
    <w:nsid w:val="4C2A7166"/>
    <w:multiLevelType w:val="hybridMultilevel"/>
    <w:lvl w:ilvl="0">
      <w:lvlJc w:val="left"/>
      <w:lvlText w:val="(%1)"/>
      <w:numFmt w:val="lowerLetter"/>
      <w:start w:val="1"/>
    </w:lvl>
  </w:abstractNum>
  <w:abstractNum w:abstractNumId="165">
    <w:nsid w:val="2E534A82"/>
    <w:multiLevelType w:val="hybridMultilevel"/>
    <w:lvl w:ilvl="0">
      <w:lvlJc w:val="left"/>
      <w:lvlText w:val="(%1)"/>
      <w:numFmt w:val="lowerLetter"/>
      <w:start w:val="1"/>
    </w:lvl>
  </w:abstractNum>
  <w:abstractNum w:abstractNumId="166">
    <w:nsid w:val="26F2D364"/>
    <w:multiLevelType w:val="hybridMultilevel"/>
    <w:lvl w:ilvl="0">
      <w:lvlJc w:val="left"/>
      <w:lvlText w:val="(%1)"/>
      <w:numFmt w:val="lowerLetter"/>
      <w:start w:val="1"/>
    </w:lvl>
  </w:abstractNum>
  <w:abstractNum w:abstractNumId="167">
    <w:nsid w:val="71C1AF98"/>
    <w:multiLevelType w:val="hybridMultilevel"/>
    <w:lvl w:ilvl="0">
      <w:lvlJc w:val="left"/>
      <w:lvlText w:val="(%1)"/>
      <w:numFmt w:val="lowerLetter"/>
      <w:start w:val="3"/>
    </w:lvl>
  </w:abstractNum>
  <w:abstractNum w:abstractNumId="168">
    <w:nsid w:val="3D00B9D9"/>
    <w:multiLevelType w:val="hybridMultilevel"/>
    <w:lvl w:ilvl="0">
      <w:lvlJc w:val="left"/>
      <w:lvlText w:val="(%1)"/>
      <w:numFmt w:val="lowerLetter"/>
      <w:start w:val="26"/>
    </w:lvl>
  </w:abstractNum>
  <w:abstractNum w:abstractNumId="169">
    <w:nsid w:val="15BCABA8"/>
    <w:multiLevelType w:val="hybridMultilevel"/>
    <w:lvl w:ilvl="0">
      <w:lvlJc w:val="left"/>
      <w:lvlText w:val="(%1)"/>
      <w:numFmt w:val="lowerLetter"/>
      <w:start w:val="1"/>
    </w:lvl>
  </w:abstractNum>
  <w:abstractNum w:abstractNumId="170">
    <w:nsid w:val="4E0B9A87"/>
    <w:multiLevelType w:val="hybridMultilevel"/>
    <w:lvl w:ilvl="0">
      <w:lvlJc w:val="left"/>
      <w:lvlText w:val="(%1)"/>
      <w:numFmt w:val="lowerLetter"/>
      <w:start w:val="2"/>
    </w:lvl>
  </w:abstractNum>
  <w:abstractNum w:abstractNumId="171">
    <w:nsid w:val="434BAE75"/>
    <w:multiLevelType w:val="hybridMultilevel"/>
    <w:lvl w:ilvl="0">
      <w:lvlJc w:val="left"/>
      <w:lvlText w:val="(%1)"/>
      <w:numFmt w:val="upperLetter"/>
      <w:start w:val="2"/>
    </w:lvl>
  </w:abstractNum>
  <w:abstractNum w:abstractNumId="172">
    <w:nsid w:val="4F38F265"/>
    <w:multiLevelType w:val="hybridMultilevel"/>
    <w:lvl w:ilvl="0">
      <w:lvlJc w:val="left"/>
      <w:lvlText w:val="[***]"/>
      <w:numFmt w:val="bullet"/>
      <w:start w:val="1"/>
    </w:lvl>
  </w:abstractNum>
  <w:abstractNum w:abstractNumId="173">
    <w:nsid w:val="4C502870"/>
    <w:multiLevelType w:val="hybridMultilevel"/>
    <w:lvl w:ilvl="0">
      <w:lvlJc w:val="left"/>
      <w:lvlText w:val="[***]"/>
      <w:numFmt w:val="bullet"/>
      <w:start w:val="1"/>
    </w:lvl>
  </w:abstractNum>
  <w:abstractNum w:abstractNumId="174">
    <w:nsid w:val="1DE8725A"/>
    <w:multiLevelType w:val="hybridMultilevel"/>
    <w:lvl w:ilvl="0">
      <w:lvlJc w:val="left"/>
      <w:lvlText w:val="%1"/>
      <w:numFmt w:val="lowerLetter"/>
      <w:start w:val="1"/>
    </w:lvl>
    <w:lvl w:ilvl="1">
      <w:lvlJc w:val="left"/>
      <w:lvlText w:val="(%2)"/>
      <w:numFmt w:val="lowerLetter"/>
      <w:start w:val="1"/>
    </w:lvl>
  </w:abstractNum>
  <w:abstractNum w:abstractNumId="175">
    <w:nsid w:val="6A37288A"/>
    <w:multiLevelType w:val="hybridMultilevel"/>
    <w:lvl w:ilvl="0">
      <w:lvlJc w:val="left"/>
      <w:lvlText w:val="(%1)"/>
      <w:numFmt w:val="lowerLetter"/>
      <w:start w:val="9"/>
    </w:lvl>
    <w:lvl w:ilvl="1">
      <w:lvlJc w:val="left"/>
      <w:lvlText w:val="(%2)"/>
      <w:numFmt w:val="lowerLetter"/>
      <w:start w:val="4"/>
    </w:lvl>
  </w:abstractNum>
  <w:abstractNum w:abstractNumId="176">
    <w:nsid w:val="8F8B73F"/>
    <w:multiLevelType w:val="hybridMultilevel"/>
    <w:lvl w:ilvl="0">
      <w:lvlJc w:val="left"/>
      <w:lvlText w:val="(%1)"/>
      <w:numFmt w:val="lowerLetter"/>
      <w:start w:val="1"/>
    </w:lvl>
  </w:abstractNum>
  <w:abstractNum w:abstractNumId="177">
    <w:nsid w:val="CA6B462"/>
    <w:multiLevelType w:val="hybridMultilevel"/>
    <w:lvl w:ilvl="0">
      <w:lvlJc w:val="left"/>
      <w:lvlText w:val="(%1)"/>
      <w:numFmt w:val="lowerLetter"/>
      <w:start w:val="2"/>
    </w:lvl>
  </w:abstractNum>
  <w:abstractNum w:abstractNumId="178">
    <w:nsid w:val="763CB680"/>
    <w:multiLevelType w:val="hybridMultilevel"/>
    <w:lvl w:ilvl="0">
      <w:lvlJc w:val="left"/>
      <w:lvlText w:val="(%1)"/>
      <w:numFmt w:val="lowerLetter"/>
      <w:start w:val="1"/>
    </w:lvl>
  </w:abstractNum>
  <w:abstractNum w:abstractNumId="179">
    <w:nsid w:val="15B71329"/>
    <w:multiLevelType w:val="hybridMultilevel"/>
    <w:lvl w:ilvl="0">
      <w:lvlJc w:val="left"/>
      <w:lvlText w:val="[***]"/>
      <w:numFmt w:val="bullet"/>
      <w:start w:val="1"/>
    </w:lvl>
  </w:abstractNum>
  <w:abstractNum w:abstractNumId="180">
    <w:nsid w:val="3DA97044"/>
    <w:multiLevelType w:val="hybridMultilevel"/>
    <w:lvl w:ilvl="0">
      <w:lvlJc w:val="left"/>
      <w:lvlText w:val="(%1)"/>
      <w:numFmt w:val="lowerLetter"/>
      <w:start w:val="1"/>
    </w:lvl>
  </w:abstractNum>
  <w:abstractNum w:abstractNumId="181">
    <w:nsid w:val="1CDCE2DE"/>
    <w:multiLevelType w:val="hybridMultilevel"/>
    <w:lvl w:ilvl="0">
      <w:lvlJc w:val="left"/>
      <w:lvlText w:val="(%1)"/>
      <w:numFmt w:val="lowerLetter"/>
      <w:start w:val="2"/>
    </w:lvl>
  </w:abstractNum>
  <w:abstractNum w:abstractNumId="182">
    <w:nsid w:val="69D3947C"/>
    <w:multiLevelType w:val="hybridMultilevel"/>
    <w:lvl w:ilvl="0">
      <w:lvlJc w:val="left"/>
      <w:lvlText w:val="(%1)"/>
      <w:numFmt w:val="lowerLetter"/>
      <w:start w:val="1"/>
    </w:lvl>
  </w:abstractNum>
  <w:abstractNum w:abstractNumId="183">
    <w:nsid w:val="2539DFA5"/>
    <w:multiLevelType w:val="hybridMultilevel"/>
    <w:lvl w:ilvl="0">
      <w:lvlJc w:val="left"/>
      <w:lvlText w:val="(%1)"/>
      <w:numFmt w:val="lowerLetter"/>
      <w:start w:val="3"/>
    </w:lvl>
  </w:abstractNum>
  <w:abstractNum w:abstractNumId="184">
    <w:nsid w:val="2DB88089"/>
    <w:multiLevelType w:val="hybridMultilevel"/>
    <w:lvl w:ilvl="0">
      <w:lvlJc w:val="left"/>
      <w:lvlText w:val="(%1)"/>
      <w:numFmt w:val="lowerLetter"/>
      <w:start w:val="2"/>
    </w:lvl>
  </w:abstractNum>
  <w:abstractNum w:abstractNumId="185">
    <w:nsid w:val="706B674E"/>
    <w:multiLevelType w:val="hybridMultilevel"/>
    <w:lvl w:ilvl="0">
      <w:lvlJc w:val="left"/>
      <w:lvlText w:val="%1"/>
      <w:numFmt w:val="lowerLetter"/>
      <w:start w:val="1"/>
    </w:lvl>
    <w:lvl w:ilvl="1">
      <w:lvlJc w:val="left"/>
      <w:lvlText w:val="(%2)"/>
      <w:numFmt w:val="lowerLetter"/>
      <w:start w:val="1"/>
    </w:lvl>
  </w:abstractNum>
  <w:abstractNum w:abstractNumId="186">
    <w:nsid w:val="2C106A57"/>
    <w:multiLevelType w:val="hybridMultilevel"/>
    <w:lvl w:ilvl="0">
      <w:lvlJc w:val="left"/>
      <w:lvlText w:val="(%1)"/>
      <w:numFmt w:val="lowerLetter"/>
      <w:start w:val="35"/>
    </w:lvl>
    <w:lvl w:ilvl="1">
      <w:lvlJc w:val="left"/>
      <w:lvlText w:val="(%2)"/>
      <w:numFmt w:val="lowerLetter"/>
      <w:start w:val="2"/>
    </w:lvl>
  </w:abstractNum>
  <w:abstractNum w:abstractNumId="187">
    <w:nsid w:val="684EED59"/>
    <w:multiLevelType w:val="hybridMultilevel"/>
    <w:lvl w:ilvl="0">
      <w:lvlJc w:val="left"/>
      <w:lvlText w:val="[***]"/>
      <w:numFmt w:val="bullet"/>
      <w:start w:val="1"/>
    </w:lvl>
  </w:abstractNum>
  <w:abstractNum w:abstractNumId="188">
    <w:nsid w:val="545EE5D3"/>
    <w:multiLevelType w:val="hybridMultilevel"/>
    <w:lvl w:ilvl="0">
      <w:lvlJc w:val="left"/>
      <w:lvlText w:val="(%1)"/>
      <w:numFmt w:val="lowerLetter"/>
      <w:start w:val="1"/>
    </w:lvl>
  </w:abstractNum>
  <w:abstractNum w:abstractNumId="189">
    <w:nsid w:val="4A66051"/>
    <w:multiLevelType w:val="hybridMultilevel"/>
    <w:lvl w:ilvl="0">
      <w:lvlJc w:val="left"/>
      <w:lvlText w:val="(%1)"/>
      <w:numFmt w:val="lowerLetter"/>
      <w:start w:val="3"/>
    </w:lvl>
  </w:abstractNum>
  <w:abstractNum w:abstractNumId="190">
    <w:nsid w:val="20F4BDAD"/>
    <w:multiLevelType w:val="hybridMultilevel"/>
    <w:lvl w:ilvl="0">
      <w:lvlJc w:val="left"/>
      <w:lvlText w:val="(%1)"/>
      <w:numFmt w:val="lowerLetter"/>
      <w:start w:val="1"/>
    </w:lvl>
  </w:abstractNum>
  <w:abstractNum w:abstractNumId="191">
    <w:nsid w:val="639DEFAC"/>
    <w:multiLevelType w:val="hybridMultilevel"/>
    <w:lvl w:ilvl="0">
      <w:lvlJc w:val="left"/>
      <w:lvlText w:val="(%1)"/>
      <w:numFmt w:val="lowerLetter"/>
      <w:start w:val="6"/>
    </w:lvl>
    <w:lvl w:ilvl="1">
      <w:lvlJc w:val="left"/>
      <w:lvlText w:val="(%2)"/>
      <w:numFmt w:val="lowerLetter"/>
      <w:start w:val="9"/>
    </w:lvl>
  </w:abstractNum>
  <w:abstractNum w:abstractNumId="192">
    <w:nsid w:val="501F9786"/>
    <w:multiLevelType w:val="hybridMultilevel"/>
    <w:lvl w:ilvl="0">
      <w:lvlJc w:val="left"/>
      <w:lvlText w:val="(%1)"/>
      <w:numFmt w:val="lowerRoman"/>
      <w:start w:val="2"/>
    </w:lvl>
  </w:abstractNum>
  <w:abstractNum w:abstractNumId="193">
    <w:nsid w:val="6B057295"/>
    <w:multiLevelType w:val="hybridMultilevel"/>
    <w:lvl w:ilvl="0">
      <w:lvlJc w:val="left"/>
      <w:lvlText w:val="(%1)"/>
      <w:numFmt w:val="lowerLetter"/>
      <w:start w:val="9"/>
    </w:lvl>
  </w:abstractNum>
  <w:abstractNum w:abstractNumId="194">
    <w:nsid w:val="2771AC80"/>
    <w:multiLevelType w:val="hybridMultilevel"/>
    <w:lvl w:ilvl="0">
      <w:lvlJc w:val="left"/>
      <w:lvlText w:val="(%1)"/>
      <w:numFmt w:val="lowerLetter"/>
      <w:start w:val="1"/>
    </w:lvl>
  </w:abstractNum>
  <w:abstractNum w:abstractNumId="195">
    <w:nsid w:val="1C4A08EC"/>
    <w:multiLevelType w:val="hybridMultilevel"/>
    <w:lvl w:ilvl="0">
      <w:lvlJc w:val="left"/>
      <w:lvlText w:val="(%1)"/>
      <w:numFmt w:val="lowerLetter"/>
      <w:start w:val="1"/>
    </w:lvl>
  </w:abstractNum>
  <w:abstractNum w:abstractNumId="196">
    <w:nsid w:val="1958BD17"/>
    <w:multiLevelType w:val="hybridMultilevel"/>
    <w:lvl w:ilvl="0">
      <w:lvlJc w:val="left"/>
      <w:lvlText w:val="[***]"/>
      <w:numFmt w:val="bullet"/>
      <w:start w:val="1"/>
    </w:lvl>
  </w:abstractNum>
  <w:abstractNum w:abstractNumId="197">
    <w:nsid w:val="4E647FE4"/>
    <w:multiLevelType w:val="hybridMultilevel"/>
    <w:lvl w:ilvl="0">
      <w:lvlJc w:val="left"/>
      <w:lvlText w:val="(%1)"/>
      <w:numFmt w:val="lowerLetter"/>
      <w:start w:val="1"/>
    </w:lvl>
  </w:abstractNum>
  <w:abstractNum w:abstractNumId="198">
    <w:nsid w:val="E0BB885"/>
    <w:multiLevelType w:val="hybridMultilevel"/>
    <w:lvl w:ilvl="0">
      <w:lvlJc w:val="left"/>
      <w:lvlText w:val="(%1)"/>
      <w:numFmt w:val="lowerLetter"/>
      <w:start w:val="2"/>
    </w:lvl>
  </w:abstractNum>
  <w:abstractNum w:abstractNumId="199">
    <w:nsid w:val="565976F1"/>
    <w:multiLevelType w:val="hybridMultilevel"/>
    <w:lvl w:ilvl="0">
      <w:lvlJc w:val="left"/>
      <w:lvlText w:val="(%1)"/>
      <w:numFmt w:val="lowerLetter"/>
      <w:start w:val="1"/>
    </w:lvl>
  </w:abstractNum>
  <w:abstractNum w:abstractNumId="200">
    <w:nsid w:val="64212B8C"/>
    <w:multiLevelType w:val="hybridMultilevel"/>
    <w:lvl w:ilvl="0">
      <w:lvlJc w:val="left"/>
      <w:lvlText w:val="[***]"/>
      <w:numFmt w:val="bullet"/>
      <w:start w:val="1"/>
    </w:lvl>
  </w:abstractNum>
  <w:abstractNum w:abstractNumId="201">
    <w:nsid w:val="5C17530C"/>
    <w:multiLevelType w:val="hybridMultilevel"/>
    <w:lvl w:ilvl="0">
      <w:lvlJc w:val="left"/>
      <w:lvlText w:val="%1)"/>
      <w:numFmt w:val="decimal"/>
      <w:start w:val="356"/>
    </w:lvl>
  </w:abstractNum>
  <w:abstractNum w:abstractNumId="202">
    <w:nsid w:val="19A52566"/>
    <w:multiLevelType w:val="hybridMultilevel"/>
    <w:lvl w:ilvl="0">
      <w:lvlJc w:val="left"/>
      <w:lvlText w:val="(%1)"/>
      <w:numFmt w:val="lowerLetter"/>
      <w:start w:val="2"/>
    </w:lvl>
  </w:abstractNum>
  <w:abstractNum w:abstractNumId="203">
    <w:nsid w:val="335A1DF1"/>
    <w:multiLevelType w:val="hybridMultilevel"/>
    <w:lvl w:ilvl="0">
      <w:lvlJc w:val="left"/>
      <w:lvlText w:val="[***]"/>
      <w:numFmt w:val="bullet"/>
      <w:start w:val="1"/>
    </w:lvl>
  </w:abstractNum>
  <w:abstractNum w:abstractNumId="204">
    <w:nsid w:val="28677B7C"/>
    <w:multiLevelType w:val="hybridMultilevel"/>
    <w:lvl w:ilvl="0">
      <w:lvlJc w:val="left"/>
      <w:lvlText w:val="[***]"/>
      <w:numFmt w:val="bullet"/>
      <w:start w:val="1"/>
    </w:lvl>
  </w:abstractNum>
  <w:abstractNum w:abstractNumId="205">
    <w:nsid w:val="378D97C0"/>
    <w:multiLevelType w:val="hybridMultilevel"/>
    <w:lvl w:ilvl="0">
      <w:lvlJc w:val="left"/>
      <w:lvlText w:val="(%1)"/>
      <w:numFmt w:val="lowerLetter"/>
      <w:start w:val="1"/>
    </w:lvl>
  </w:abstractNum>
  <w:abstractNum w:abstractNumId="206">
    <w:nsid w:val="1D91467C"/>
    <w:multiLevelType w:val="hybridMultilevel"/>
    <w:lvl w:ilvl="0">
      <w:lvlJc w:val="left"/>
      <w:lvlText w:val="(%1)"/>
      <w:numFmt w:val="lowerLetter"/>
      <w:start w:val="2"/>
    </w:lvl>
  </w:abstractNum>
  <w:abstractNum w:abstractNumId="207">
    <w:nsid w:val="316032BB"/>
    <w:multiLevelType w:val="hybridMultilevel"/>
    <w:lvl w:ilvl="0">
      <w:lvlJc w:val="left"/>
      <w:lvlText w:val="(%1)"/>
      <w:numFmt w:val="lowerLetter"/>
      <w:start w:val="1"/>
    </w:lvl>
  </w:abstractNum>
  <w:abstractNum w:abstractNumId="208">
    <w:nsid w:val="44344C22"/>
    <w:multiLevelType w:val="hybridMultilevel"/>
    <w:lvl w:ilvl="0">
      <w:lvlJc w:val="left"/>
      <w:lvlText w:val="[***]"/>
      <w:numFmt w:val="bullet"/>
      <w:start w:val="1"/>
    </w:lvl>
  </w:abstractNum>
  <w:abstractNum w:abstractNumId="209">
    <w:nsid w:val="13CDFCFC"/>
    <w:multiLevelType w:val="hybridMultilevel"/>
    <w:lvl w:ilvl="0">
      <w:lvlJc w:val="left"/>
      <w:lvlText w:val="(%1)"/>
      <w:numFmt w:val="lowerLetter"/>
      <w:start w:val="1"/>
    </w:lvl>
  </w:abstractNum>
  <w:abstractNum w:abstractNumId="210">
    <w:nsid w:val="471745E4"/>
    <w:multiLevelType w:val="hybridMultilevel"/>
    <w:lvl w:ilvl="0">
      <w:lvlJc w:val="left"/>
      <w:lvlText w:val="(%1)"/>
      <w:numFmt w:val="lowerLetter"/>
      <w:start w:val="1"/>
    </w:lvl>
  </w:abstractNum>
  <w:abstractNum w:abstractNumId="211">
    <w:nsid w:val="1DDBC66"/>
    <w:multiLevelType w:val="hybridMultilevel"/>
    <w:lvl w:ilvl="0">
      <w:lvlJc w:val="left"/>
      <w:lvlText w:val="(%1)"/>
      <w:numFmt w:val="lowerLetter"/>
      <w:start w:val="1"/>
    </w:lvl>
  </w:abstractNum>
  <w:abstractNum w:abstractNumId="212">
    <w:nsid w:val="30AADFDA"/>
    <w:multiLevelType w:val="hybridMultilevel"/>
    <w:lvl w:ilvl="0">
      <w:lvlJc w:val="left"/>
      <w:lvlText w:val="(%1)"/>
      <w:numFmt w:val="lowerLetter"/>
      <w:start w:val="1"/>
    </w:lvl>
  </w:abstractNum>
  <w:abstractNum w:abstractNumId="213">
    <w:nsid w:val="30EADA61"/>
    <w:multiLevelType w:val="hybridMultilevel"/>
    <w:lvl w:ilvl="0">
      <w:lvlJc w:val="left"/>
      <w:lvlText w:val="(%1)"/>
      <w:numFmt w:val="lowerLetter"/>
      <w:start w:val="2"/>
    </w:lvl>
  </w:abstractNum>
  <w:abstractNum w:abstractNumId="214">
    <w:nsid w:val="27179C0B"/>
    <w:multiLevelType w:val="hybridMultilevel"/>
    <w:lvl w:ilvl="0">
      <w:lvlJc w:val="left"/>
      <w:lvlText w:val="[***]"/>
      <w:numFmt w:val="bullet"/>
      <w:start w:val="1"/>
    </w:lvl>
  </w:abstractNum>
  <w:abstractNum w:abstractNumId="215">
    <w:nsid w:val="5E636063"/>
    <w:multiLevelType w:val="hybridMultilevel"/>
    <w:lvl w:ilvl="0">
      <w:lvlJc w:val="left"/>
      <w:lvlText w:val="(%1)"/>
      <w:numFmt w:val="lowerLetter"/>
      <w:start w:val="1"/>
    </w:lvl>
  </w:abstractNum>
  <w:abstractNum w:abstractNumId="216">
    <w:nsid w:val="215641AF"/>
    <w:multiLevelType w:val="hybridMultilevel"/>
    <w:lvl w:ilvl="0">
      <w:lvlJc w:val="left"/>
      <w:lvlText w:val="(%1)"/>
      <w:numFmt w:val="lowerLetter"/>
      <w:start w:val="1"/>
    </w:lvl>
  </w:abstractNum>
  <w:abstractNum w:abstractNumId="217">
    <w:nsid w:val="53280662"/>
    <w:multiLevelType w:val="hybridMultilevel"/>
    <w:lvl w:ilvl="0">
      <w:lvlJc w:val="left"/>
      <w:lvlText w:val="(%1)"/>
      <w:numFmt w:val="lowerLetter"/>
      <w:start w:val="1"/>
    </w:lvl>
  </w:abstractNum>
  <w:abstractNum w:abstractNumId="218">
    <w:nsid w:val="46B24DBC"/>
    <w:multiLevelType w:val="hybridMultilevel"/>
    <w:lvl w:ilvl="0">
      <w:lvlJc w:val="left"/>
      <w:lvlText w:val="[***]"/>
      <w:numFmt w:val="bullet"/>
      <w:start w:val="1"/>
    </w:lvl>
  </w:abstractNum>
  <w:abstractNum w:abstractNumId="219">
    <w:nsid w:val="75B52783"/>
    <w:multiLevelType w:val="hybridMultilevel"/>
    <w:lvl w:ilvl="0">
      <w:lvlJc w:val="left"/>
      <w:lvlText w:val="%1"/>
      <w:numFmt w:val="upperLetter"/>
      <w:start w:val="1"/>
    </w:lvl>
    <w:lvl w:ilvl="1">
      <w:lvlJc w:val="left"/>
      <w:lvlText w:val="(%2)"/>
      <w:numFmt w:val="lowerLetter"/>
      <w:start w:val="1"/>
    </w:lvl>
  </w:abstractNum>
  <w:abstractNum w:abstractNumId="220">
    <w:nsid w:val="57CE66B4"/>
    <w:multiLevelType w:val="hybridMultilevel"/>
    <w:lvl w:ilvl="0">
      <w:lvlJc w:val="left"/>
      <w:lvlText w:val="(%1)"/>
      <w:numFmt w:val="lowerLetter"/>
      <w:start w:val="2"/>
    </w:lvl>
  </w:abstractNum>
  <w:abstractNum w:abstractNumId="221">
    <w:nsid w:val="67A70B69"/>
    <w:multiLevelType w:val="hybridMultilevel"/>
    <w:lvl w:ilvl="0">
      <w:lvlJc w:val="left"/>
      <w:lvlText w:val="(%1)"/>
      <w:numFmt w:val="decimal"/>
      <w:start w:val="1"/>
    </w:lvl>
  </w:abstractNum>
  <w:abstractNum w:abstractNumId="222">
    <w:nsid w:val="5953172F"/>
    <w:multiLevelType w:val="hybridMultilevel"/>
    <w:lvl w:ilvl="0">
      <w:lvlJc w:val="left"/>
      <w:lvlText w:val="1"/>
      <w:numFmt w:val="bullet"/>
      <w:start w:val="1"/>
    </w:lvl>
  </w:abstractNum>
  <w:abstractNum w:abstractNumId="223">
    <w:nsid w:val="27EDFE3A"/>
    <w:multiLevelType w:val="hybridMultilevel"/>
    <w:lvl w:ilvl="0">
      <w:lvlJc w:val="left"/>
      <w:lvlText w:val="2"/>
      <w:numFmt w:val="bullet"/>
      <w:start w:val="1"/>
    </w:lvl>
  </w:abstractNum>
  <w:abstractNum w:abstractNumId="224">
    <w:nsid w:val="52AC7DFF"/>
    <w:multiLevelType w:val="hybridMultilevel"/>
    <w:lvl w:ilvl="0">
      <w:lvlJc w:val="left"/>
      <w:lvlText w:val="3"/>
      <w:numFmt w:val="bullet"/>
      <w:start w:val="1"/>
    </w:lvl>
  </w:abstractNum>
  <w:abstractNum w:abstractNumId="225">
    <w:nsid w:val="C4C3AF"/>
    <w:multiLevelType w:val="hybridMultilevel"/>
    <w:lvl w:ilvl="0">
      <w:lvlJc w:val="left"/>
      <w:lvlText w:val="4"/>
      <w:numFmt w:val="bullet"/>
      <w:start w:val="1"/>
    </w:lvl>
    <w:lvl w:ilvl="1">
      <w:lvlJc w:val="left"/>
      <w:lvlText w:val="%2."/>
      <w:numFmt w:val="lowerLetter"/>
      <w:start w:val="1"/>
    </w:lvl>
  </w:abstractNum>
  <w:abstractNum w:abstractNumId="226">
    <w:nsid w:val="44380727"/>
    <w:multiLevelType w:val="hybridMultilevel"/>
    <w:lvl w:ilvl="0">
      <w:lvlJc w:val="left"/>
      <w:lvlText w:val="5"/>
      <w:numFmt w:val="bullet"/>
      <w:start w:val="1"/>
    </w:lvl>
    <w:lvl w:ilvl="1">
      <w:lvlJc w:val="left"/>
      <w:lvlText w:val="%2."/>
      <w:numFmt w:val="lowerLetter"/>
      <w:start w:val="1"/>
    </w:lvl>
  </w:abstractNum>
  <w:abstractNum w:abstractNumId="227">
    <w:nsid w:val="6C053B16"/>
    <w:multiLevelType w:val="hybridMultilevel"/>
    <w:lvl w:ilvl="0">
      <w:lvlJc w:val="left"/>
      <w:lvlText w:val="%1."/>
      <w:numFmt w:val="decimal"/>
      <w:start w:val="1"/>
    </w:lvl>
    <w:lvl w:ilvl="1">
      <w:lvlJc w:val="left"/>
      <w:lvlText w:val="%2."/>
      <w:numFmt w:val="lowerLetter"/>
      <w:start w:val="1"/>
    </w:lvl>
  </w:abstractNum>
  <w:abstractNum w:abstractNumId="228">
    <w:nsid w:val="4F294393"/>
    <w:multiLevelType w:val="hybridMultilevel"/>
    <w:lvl w:ilvl="0">
      <w:lvlJc w:val="left"/>
      <w:lvlText w:val="(%1)"/>
      <w:numFmt w:val="decimal"/>
      <w:start w:val="1"/>
    </w:lvl>
  </w:abstractNum>
  <w:abstractNum w:abstractNumId="229">
    <w:nsid w:val="5243BFAC"/>
    <w:multiLevelType w:val="hybridMultilevel"/>
    <w:lvl w:ilvl="0">
      <w:lvlJc w:val="left"/>
      <w:lvlText w:val="%1."/>
      <w:numFmt w:val="decimal"/>
      <w:start w:val="1"/>
    </w:lvl>
  </w:abstractNum>
  <w:abstractNum w:abstractNumId="230">
    <w:nsid w:val="425EB207"/>
    <w:multiLevelType w:val="hybridMultilevel"/>
    <w:lvl w:ilvl="0">
      <w:lvlJc w:val="left"/>
      <w:lvlText w:val="%1."/>
      <w:numFmt w:val="decimal"/>
      <w:start w:val="2"/>
    </w:lvl>
  </w:abstractNum>
  <w:abstractNum w:abstractNumId="231">
    <w:nsid w:val="334A6F1F"/>
    <w:multiLevelType w:val="hybridMultilevel"/>
    <w:lvl w:ilvl="0">
      <w:lvlJc w:val="left"/>
      <w:lvlText w:val="%1."/>
      <w:numFmt w:val="decimal"/>
      <w:start w:val="3"/>
    </w:lvl>
    <w:lvl w:ilvl="1">
      <w:lvlJc w:val="left"/>
      <w:lvlText w:val="%2."/>
      <w:numFmt w:val="lowerLetter"/>
      <w:start w:val="1"/>
    </w:lvl>
  </w:abstractNum>
  <w:abstractNum w:abstractNumId="232">
    <w:nsid w:val="2E5B12B8"/>
    <w:multiLevelType w:val="hybridMultilevel"/>
    <w:lvl w:ilvl="0">
      <w:lvlJc w:val="left"/>
      <w:lvlText w:val="%1."/>
      <w:numFmt w:val="lowerLetter"/>
      <w:start w:val="6"/>
    </w:lvl>
  </w:abstractNum>
  <w:abstractNum w:abstractNumId="233">
    <w:nsid w:val="5C03D76D"/>
    <w:multiLevelType w:val="hybridMultilevel"/>
    <w:lvl w:ilvl="0">
      <w:lvlJc w:val="left"/>
      <w:lvlText w:val="%1"/>
      <w:numFmt w:val="decimal"/>
      <w:start w:val="1"/>
    </w:lvl>
    <w:lvl w:ilvl="1">
      <w:lvlJc w:val="left"/>
      <w:lvlText w:val="%2."/>
      <w:numFmt w:val="lowerLetter"/>
      <w:start w:val="14"/>
    </w:lvl>
    <w:lvl w:ilvl="2">
      <w:lvlJc w:val="left"/>
      <w:lvlText w:val="(%3)"/>
      <w:numFmt w:val="lowerRoman"/>
      <w:start w:val="2"/>
    </w:lvl>
  </w:abstractNum>
  <w:abstractNum w:abstractNumId="234">
    <w:nsid w:val="66A48D1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35">
    <w:nsid w:val="56C28E34"/>
    <w:multiLevelType w:val="hybridMultilevel"/>
    <w:lvl w:ilvl="0">
      <w:lvlJc w:val="left"/>
      <w:lvlText w:val="%1."/>
      <w:numFmt w:val="decimal"/>
      <w:start w:val="8"/>
    </w:lvl>
  </w:abstractNum>
  <w:abstractNum w:abstractNumId="236">
    <w:nsid w:val="13916F2D"/>
    <w:multiLevelType w:val="hybridMultilevel"/>
    <w:lvl w:ilvl="0">
      <w:lvlJc w:val="left"/>
      <w:lvlText w:val="%1."/>
      <w:numFmt w:val="lowerLetter"/>
      <w:start w:val="1"/>
    </w:lvl>
  </w:abstractNum>
  <w:abstractNum w:abstractNumId="237">
    <w:nsid w:val="435D38D"/>
    <w:multiLevelType w:val="hybridMultilevel"/>
    <w:lvl w:ilvl="0">
      <w:lvlJc w:val="left"/>
      <w:lvlText w:val="%1."/>
      <w:numFmt w:val="decimal"/>
      <w:start w:val="9"/>
    </w:lvl>
  </w:abstractNum>
  <w:abstractNum w:abstractNumId="238">
    <w:nsid w:val="822C0EF"/>
    <w:multiLevelType w:val="hybridMultilevel"/>
    <w:lvl w:ilvl="0">
      <w:lvlJc w:val="left"/>
      <w:lvlText w:val="%1."/>
      <w:numFmt w:val="decimal"/>
      <w:start w:val="10"/>
    </w:lvl>
  </w:abstractNum>
  <w:abstractNum w:abstractNumId="239">
    <w:nsid w:val="57C5BB4F"/>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40" Type="http://schemas.openxmlformats.org/officeDocument/2006/relationships/image" Target="media/image216.png"/><Relationship Id="rId241" Type="http://schemas.openxmlformats.org/officeDocument/2006/relationships/image" Target="media/image217.png"/><Relationship Id="rId243" Type="http://schemas.openxmlformats.org/officeDocument/2006/relationships/image" Target="media/image218.png"/><Relationship Id="rId244" Type="http://schemas.openxmlformats.org/officeDocument/2006/relationships/image" Target="media/image219.png"/><Relationship Id="rId245" Type="http://schemas.openxmlformats.org/officeDocument/2006/relationships/image" Target="media/image220.png"/><Relationship Id="rId246" Type="http://schemas.openxmlformats.org/officeDocument/2006/relationships/image" Target="media/image221.png"/><Relationship Id="rId247" Type="http://schemas.openxmlformats.org/officeDocument/2006/relationships/image" Target="media/image222.png"/><Relationship Id="rId248" Type="http://schemas.openxmlformats.org/officeDocument/2006/relationships/image" Target="media/image223.png"/><Relationship Id="rId249" Type="http://schemas.openxmlformats.org/officeDocument/2006/relationships/image" Target="media/image224.png"/><Relationship Id="rId250" Type="http://schemas.openxmlformats.org/officeDocument/2006/relationships/image" Target="media/image225.png"/><Relationship Id="rId251" Type="http://schemas.openxmlformats.org/officeDocument/2006/relationships/image" Target="media/image226.png"/><Relationship Id="rId252" Type="http://schemas.openxmlformats.org/officeDocument/2006/relationships/image" Target="media/image227.png"/><Relationship Id="rId253" Type="http://schemas.openxmlformats.org/officeDocument/2006/relationships/image" Target="media/image228.png"/><Relationship Id="rId254" Type="http://schemas.openxmlformats.org/officeDocument/2006/relationships/image" Target="media/image229.png"/><Relationship Id="rId255" Type="http://schemas.openxmlformats.org/officeDocument/2006/relationships/image" Target="media/image230.png"/><Relationship Id="rId256" Type="http://schemas.openxmlformats.org/officeDocument/2006/relationships/image" Target="media/image231.png"/><Relationship Id="rId257" Type="http://schemas.openxmlformats.org/officeDocument/2006/relationships/image" Target="media/image232.png"/><Relationship Id="rId258" Type="http://schemas.openxmlformats.org/officeDocument/2006/relationships/image" Target="media/image233.png"/><Relationship Id="rId259" Type="http://schemas.openxmlformats.org/officeDocument/2006/relationships/image" Target="media/image234.png"/><Relationship Id="rId260" Type="http://schemas.openxmlformats.org/officeDocument/2006/relationships/image" Target="media/image235.png"/><Relationship Id="rId223" Type="http://schemas.openxmlformats.org/officeDocument/2006/relationships/hyperlink" Target="https://www.sec.gov/Archives/edgar/data/1689375/000110465921132980/tm2131671d1_ex3-1.htm" TargetMode="External"/><Relationship Id="rId224" Type="http://schemas.openxmlformats.org/officeDocument/2006/relationships/hyperlink" Target="https://www.sec.gov/Archives/edgar/data/1689375/000110465921132980/tm2131671d1_ex3-2.htm" TargetMode="External"/><Relationship Id="rId225" Type="http://schemas.openxmlformats.org/officeDocument/2006/relationships/hyperlink" Target="https://www.sec.gov/Archives/edgar/data/1689375/000110465921129181/tm2123090d10_ex4-1.htm" TargetMode="External"/><Relationship Id="rId226" Type="http://schemas.openxmlformats.org/officeDocument/2006/relationships/hyperlink" Target="https://www.sec.gov/Archives/edgar/data/1689375/000110465921124689/tm2123090d7_ex4-2.htm" TargetMode="External"/><Relationship Id="rId227" Type="http://schemas.openxmlformats.org/officeDocument/2006/relationships/hyperlink" Target="https://www.sec.gov/Archives/edgar/data/1689375/000155837022003614/trda-20211231xex4d3.htm" TargetMode="External"/><Relationship Id="rId228" Type="http://schemas.openxmlformats.org/officeDocument/2006/relationships/hyperlink" Target="https://www.sec.gov/Archives/edgar/data/1689375/000110465921124689/tm2123090d7_ex10-1.htm" TargetMode="External"/><Relationship Id="rId229" Type="http://schemas.openxmlformats.org/officeDocument/2006/relationships/hyperlink" Target="https://www.sec.gov/Archives/edgar/data/1689375/000110465921129181/tm2123090d10_ex10-2.htm" TargetMode="External"/><Relationship Id="rId230" Type="http://schemas.openxmlformats.org/officeDocument/2006/relationships/hyperlink" Target="https://www.sec.gov/Archives/edgar/data/1689375/000110465921129181/tm2123090d10_ex10-3.htm" TargetMode="External"/><Relationship Id="rId231" Type="http://schemas.openxmlformats.org/officeDocument/2006/relationships/hyperlink" Target="https://www.sec.gov/Archives/edgar/data/1689375/000110465921129181/tm2123090d10_ex10-4.htm" TargetMode="External"/><Relationship Id="rId232" Type="http://schemas.openxmlformats.org/officeDocument/2006/relationships/hyperlink" Target="https://www.sec.gov/Archives/edgar/data/1689375/000110465921129181/tm2123090d10_ex10-5.htm" TargetMode="External"/><Relationship Id="rId233" Type="http://schemas.openxmlformats.org/officeDocument/2006/relationships/hyperlink" Target="https://www.sec.gov/Archives/edgar/data/1689375/000110465921129181/tm2123090d10_ex10-6.htm" TargetMode="External"/><Relationship Id="rId234" Type="http://schemas.openxmlformats.org/officeDocument/2006/relationships/hyperlink" Target="https://www.sec.gov/Archives/edgar/data/1689375/000110465921129181/tm2123090d10_ex10-7.htm" TargetMode="External"/><Relationship Id="rId235" Type="http://schemas.openxmlformats.org/officeDocument/2006/relationships/hyperlink" Target="https://www.sec.gov/Archives/edgar/data/1689375/000168937523000039/trda-2023331x1018.htm" TargetMode="External"/><Relationship Id="rId236" Type="http://schemas.openxmlformats.org/officeDocument/2006/relationships/hyperlink" Target="https://www.sec.gov/Archives/edgar/data/1689375/000110465921129181/tm2123090d10_ex10-9.htm" TargetMode="External"/><Relationship Id="rId237" Type="http://schemas.openxmlformats.org/officeDocument/2006/relationships/hyperlink" Target="https://www.sec.gov/Archives/edgar/data/1689375/000110465921129181/tm2123090d10_ex10-10.htm" TargetMode="External"/><Relationship Id="rId238" Type="http://schemas.openxmlformats.org/officeDocument/2006/relationships/hyperlink" Target="https://www.sec.gov/Archives/edgar/data/1689375/000110465921129181/tm2123090d10_ex10-11.htm" TargetMode="External"/><Relationship Id="rId239" Type="http://schemas.openxmlformats.org/officeDocument/2006/relationships/hyperlink" Target="https://www.sec.gov/Archives/edgar/data/1689375/000110465921129181/tm2123090d10_ex10-12.htm" TargetMode="External"/><Relationship Id="rId242" Type="http://schemas.openxmlformats.org/officeDocument/2006/relationships/hyperlink" Target="https://www.sec.gov/Archives/edgar/data/1689375/000110465922125317/tm2232230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2024-03-13T06:37:56Z</dcterms:created>
  <dcterms:modified xsi:type="dcterms:W3CDTF">2024-03-13T06:37:56Z</dcterms:modified>
</cp:coreProperties>
</file>