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w:t>
      </w:r>
    </w:p>
    <w:tbl>
      <w:tblPr>
        <w:tblW w:w="10205" w:type="dxa"/>
        <w:jc w:val="left"/>
        <w:tblInd w:w="0" w:type="dxa"/>
        <w:tblLayout w:type="fixed"/>
        <w:tblCellMar>
          <w:top w:w="28" w:type="dxa"/>
          <w:left w:w="28" w:type="dxa"/>
          <w:bottom w:w="28" w:type="dxa"/>
          <w:right w:w="28" w:type="dxa"/>
        </w:tblCellMar>
      </w:tblPr>
      <w:tblGrid>
        <w:gridCol w:w="196"/>
        <w:gridCol w:w="173"/>
        <w:gridCol w:w="173"/>
        <w:gridCol w:w="2826"/>
        <w:gridCol w:w="2826"/>
        <w:gridCol w:w="4011"/>
      </w:tblGrid>
      <w:tr>
        <w:trPr/>
        <w:tc>
          <w:tcPr>
            <w:tcW w:w="19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4011"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(Mark One)</w:t>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6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For the quarterly period ended June 30, 2026</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For the transition period from ____________ to ____________</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Commission File Number: 001-40969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ENTRADA THERAPEUTICS,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w:t>
      </w:r>
    </w:p>
    <w:tbl>
      <w:tblPr>
        <w:tblW w:w="3553" w:type="dxa"/>
        <w:jc w:val="center"/>
        <w:tblInd w:w="0" w:type="dxa"/>
        <w:tblLayout w:type="fixed"/>
        <w:tblCellMar>
          <w:top w:w="28" w:type="dxa"/>
          <w:left w:w="28" w:type="dxa"/>
          <w:bottom w:w="28" w:type="dxa"/>
          <w:right w:w="28" w:type="dxa"/>
        </w:tblCellMar>
      </w:tblPr>
      <w:tblGrid>
        <w:gridCol w:w="798"/>
        <w:gridCol w:w="698"/>
        <w:gridCol w:w="708"/>
        <w:gridCol w:w="394"/>
        <w:gridCol w:w="394"/>
        <w:gridCol w:w="561"/>
      </w:tblGrid>
      <w:tr>
        <w:trPr/>
        <w:tc>
          <w:tcPr>
            <w:tcW w:w="7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81-3983399</w:t>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(State or other jurisdiction of</w:t>
              <w:br/>
              <w:t>incorporation or organization)</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(I.R.S. Employer</w:t>
              <w:br/>
              <w:t>Identification Number)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One Design Center Place</w:t>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Suite 17-500</w:t>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Boston, MA </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02210</w:t>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(Address of Principal Executive Offices)</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(Zip Code)</w:t>
            </w:r>
          </w:p>
        </w:tc>
      </w:tr>
    </w:tbl>
    <w:p>
      <w:pPr>
        <w:pStyle w:val="TextBody"/>
        <w:bidi w:val="0"/>
        <w:spacing w:lineRule="auto" w:line="288" w:before="120" w:after="283"/>
        <w:jc w:val="center"/>
        <w:rPr/>
      </w:pPr>
      <w:r>
        <w:rPr>
          <w:rFonts w:ascii="Times New Roman;serif" w:hAnsi="Times New Roman;serif"/>
          <w:b/>
          <w:color w:val="000000"/>
          <w:sz w:val="16"/>
        </w:rPr>
        <w:t>Registrant’s telephone number, including area code: (857) 520-9158</w:t>
      </w:r>
      <w:r>
        <w:rPr>
          <w:color w:val="000000"/>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_________________</w:t>
      </w:r>
    </w:p>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781" w:type="dxa"/>
        <w:jc w:val="left"/>
        <w:tblInd w:w="0" w:type="dxa"/>
        <w:tblLayout w:type="fixed"/>
        <w:tblCellMar>
          <w:top w:w="28" w:type="dxa"/>
          <w:left w:w="28" w:type="dxa"/>
          <w:bottom w:w="28" w:type="dxa"/>
          <w:right w:w="28" w:type="dxa"/>
        </w:tblCellMar>
      </w:tblPr>
      <w:tblGrid>
        <w:gridCol w:w="1212"/>
        <w:gridCol w:w="1070"/>
        <w:gridCol w:w="1077"/>
        <w:gridCol w:w="109"/>
        <w:gridCol w:w="109"/>
        <w:gridCol w:w="109"/>
        <w:gridCol w:w="484"/>
        <w:gridCol w:w="484"/>
        <w:gridCol w:w="486"/>
        <w:gridCol w:w="109"/>
        <w:gridCol w:w="109"/>
        <w:gridCol w:w="109"/>
        <w:gridCol w:w="970"/>
        <w:gridCol w:w="970"/>
        <w:gridCol w:w="1374"/>
      </w:tblGrid>
      <w:tr>
        <w:trPr/>
        <w:tc>
          <w:tcPr>
            <w:tcW w:w="121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3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The Nasdaq Global Market</w:t>
            </w:r>
          </w:p>
        </w:tc>
      </w:tr>
    </w:tbl>
    <w:p>
      <w:pPr>
        <w:pStyle w:val="TextBody"/>
        <w:bidi w:val="0"/>
        <w:spacing w:lineRule="auto" w:line="288" w:before="120" w:after="283"/>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2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69"/>
        <w:gridCol w:w="669"/>
        <w:gridCol w:w="67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6"/>
              </w:rPr>
            </w:pPr>
            <w:r>
              <w:rPr>
                <w:rFonts w:ascii="Wingdings;sans-serif" w:hAnsi="Wingdings;sans-serif"/>
                <w:b w:val="false"/>
                <w:color w:val="000000"/>
                <w:sz w:val="16"/>
              </w:rPr>
              <w:t>x</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bl>
    <w:p>
      <w:pPr>
        <w:pStyle w:val="TextBody"/>
        <w:bidi w:val="0"/>
        <w:spacing w:lineRule="auto" w:line="288" w:before="120" w:after="283"/>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20" w:after="283"/>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jc w:val="left"/>
        <w:rPr/>
      </w:pPr>
      <w:r>
        <w:rPr>
          <w:rFonts w:ascii="Times New Roman;serif" w:hAnsi="Times New Roman;serif"/>
          <w:b w:val="false"/>
          <w:color w:val="000000"/>
          <w:sz w:val="16"/>
        </w:rPr>
        <w:t xml:space="preserve">As of July 31, 2026, the registrant had </w:t>
      </w:r>
      <w:r>
        <w:rPr>
          <w:rFonts w:ascii="Times New Roman;serif" w:hAnsi="Times New Roman;serif"/>
          <w:b w:val="false"/>
          <w:color w:val="000000"/>
          <w:sz w:val="16"/>
          <w:shd w:fill="FFFFFF" w:val="clear"/>
        </w:rPr>
        <w:t>38,936,669</w:t>
      </w:r>
      <w:r>
        <w:rPr>
          <w:color w:val="000000"/>
        </w:rPr>
        <w:t xml:space="preserve"> </w:t>
      </w:r>
      <w:r>
        <w:rPr>
          <w:rFonts w:ascii="Times New Roman;serif" w:hAnsi="Times New Roman;serif"/>
          <w:b w:val="false"/>
          <w:color w:val="000000"/>
          <w:sz w:val="16"/>
        </w:rPr>
        <w:t>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51485"/>
                <wp:effectExtent l="0" t="0" r="0" b="0"/>
                <wp:wrapNone/>
                <wp:docPr id="1" name="Frame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81" w:type="dxa"/>
        <w:jc w:val="left"/>
        <w:tblInd w:w="0" w:type="dxa"/>
        <w:tblLayout w:type="fixed"/>
        <w:tblCellMar>
          <w:top w:w="28" w:type="dxa"/>
          <w:left w:w="28" w:type="dxa"/>
          <w:bottom w:w="28" w:type="dxa"/>
          <w:right w:w="28" w:type="dxa"/>
        </w:tblCellMar>
      </w:tblPr>
      <w:tblGrid>
        <w:gridCol w:w="353"/>
        <w:gridCol w:w="311"/>
        <w:gridCol w:w="311"/>
        <w:gridCol w:w="2443"/>
        <w:gridCol w:w="2443"/>
        <w:gridCol w:w="2449"/>
        <w:gridCol w:w="167"/>
        <w:gridCol w:w="167"/>
        <w:gridCol w:w="237"/>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75"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3467f07267724fc59766f05371e7d4c2_16">
              <w:r>
                <w:rPr>
                  <w:rStyle w:val="InternetLink"/>
                  <w:rFonts w:ascii="Times New Roman;serif" w:hAnsi="Times New Roman;serif"/>
                  <w:b/>
                  <w:color w:val="0000FF"/>
                  <w:sz w:val="20"/>
                  <w:u w:val="single"/>
                </w:rPr>
                <w:t>Part I</w:t>
              </w:r>
            </w:hyperlink>
          </w:p>
        </w:tc>
        <w:tc>
          <w:tcPr>
            <w:tcW w:w="733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467f07267724fc59766f05371e7d4c2_16">
              <w:r>
                <w:rPr>
                  <w:rStyle w:val="InternetLink"/>
                  <w:rFonts w:ascii="Times New Roman;serif" w:hAnsi="Times New Roman;serif"/>
                  <w:b/>
                  <w:color w:val="0000FF"/>
                  <w:sz w:val="20"/>
                  <w:u w:val="single"/>
                </w:rPr>
                <w:t>Financial Information</w:t>
              </w:r>
            </w:hyperlink>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3467f07267724fc59766f05371e7d4c2_19">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467f07267724fc59766f05371e7d4c2_19">
              <w:r>
                <w:rPr>
                  <w:rStyle w:val="InternetLink"/>
                  <w:rFonts w:ascii="Times New Roman;serif" w:hAnsi="Times New Roman;serif"/>
                  <w:b w:val="false"/>
                  <w:color w:val="0000FF"/>
                  <w:sz w:val="20"/>
                  <w:u w:val="single"/>
                </w:rPr>
                <w:t>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467f07267724fc59766f05371e7d4c2_19">
              <w:r>
                <w:rPr>
                  <w:rStyle w:val="InternetLink"/>
                  <w:rFonts w:ascii="Times New Roman;serif" w:hAnsi="Times New Roman;serif"/>
                  <w:b w:val="false"/>
                  <w:strike w:val="false"/>
                  <w:dstrike w:val="false"/>
                  <w:color w:val="000000"/>
                  <w:sz w:val="20"/>
                  <w:u w:val="none"/>
                  <w:effect w:val="none"/>
                </w:rPr>
                <w:t>8</w:t>
              </w:r>
            </w:hyperlink>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467f07267724fc59766f05371e7d4c2_22">
              <w:r>
                <w:rPr>
                  <w:rStyle w:val="InternetLink"/>
                  <w:rFonts w:ascii="Times New Roman;serif" w:hAnsi="Times New Roman;serif"/>
                  <w:b w:val="false"/>
                  <w:color w:val="0000FF"/>
                  <w:sz w:val="20"/>
                  <w:u w:val="single"/>
                </w:rPr>
                <w:t>Condensed 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467f07267724fc59766f05371e7d4c2_22">
              <w:r>
                <w:rPr>
                  <w:rStyle w:val="InternetLink"/>
                  <w:rFonts w:ascii="Times New Roman;serif" w:hAnsi="Times New Roman;serif"/>
                  <w:b w:val="false"/>
                  <w:strike w:val="false"/>
                  <w:dstrike w:val="false"/>
                  <w:color w:val="000000"/>
                  <w:sz w:val="20"/>
                  <w:u w:val="none"/>
                  <w:effect w:val="none"/>
                </w:rPr>
                <w:t>8</w:t>
              </w:r>
            </w:hyperlink>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467f07267724fc59766f05371e7d4c2_25">
              <w:r>
                <w:rPr>
                  <w:rStyle w:val="InternetLink"/>
                  <w:rFonts w:ascii="Times New Roman;serif" w:hAnsi="Times New Roman;serif"/>
                  <w:b w:val="false"/>
                  <w:color w:val="0000FF"/>
                  <w:sz w:val="20"/>
                  <w:u w:val="single"/>
                </w:rPr>
                <w:t>Condensed Consolidated 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467f07267724fc59766f05371e7d4c2_25">
              <w:r>
                <w:rPr>
                  <w:rStyle w:val="InternetLink"/>
                  <w:rFonts w:ascii="Times New Roman;serif" w:hAnsi="Times New Roman;serif"/>
                  <w:b w:val="false"/>
                  <w:strike w:val="false"/>
                  <w:dstrike w:val="false"/>
                  <w:color w:val="000000"/>
                  <w:sz w:val="20"/>
                  <w:u w:val="none"/>
                  <w:effect w:val="none"/>
                </w:rPr>
                <w:t>9</w:t>
              </w:r>
            </w:hyperlink>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467f07267724fc59766f05371e7d4c2_28">
              <w:r>
                <w:rPr>
                  <w:rStyle w:val="InternetLink"/>
                  <w:rFonts w:ascii="Times New Roman;serif" w:hAnsi="Times New Roman;serif"/>
                  <w:b w:val="false"/>
                  <w:color w:val="000080"/>
                  <w:sz w:val="20"/>
                  <w:u w:val="single"/>
                </w:rPr>
                <w:t xml:space="preserve">Condensed </w:t>
              </w:r>
            </w:hyperlink>
            <w:hyperlink w:anchor="i3467f07267724fc59766f05371e7d4c2_34">
              <w:r>
                <w:rPr>
                  <w:rStyle w:val="InternetLink"/>
                  <w:rFonts w:ascii="Times New Roman;serif" w:hAnsi="Times New Roman;serif"/>
                  <w:b w:val="false"/>
                  <w:color w:val="000080"/>
                  <w:sz w:val="20"/>
                  <w:u w:val="single"/>
                </w:rPr>
                <w:t xml:space="preserve">Consolidated </w:t>
              </w:r>
            </w:hyperlink>
            <w:hyperlink w:anchor="i3467f07267724fc59766f05371e7d4c2_28">
              <w:r>
                <w:rPr>
                  <w:rStyle w:val="InternetLink"/>
                  <w:rFonts w:ascii="Times New Roman;serif" w:hAnsi="Times New Roman;serif"/>
                  <w:b w:val="false"/>
                  <w:color w:val="000080"/>
                  <w:sz w:val="20"/>
                  <w:u w:val="single"/>
                </w:rPr>
                <w:t>Statements of Stockholders</w:t>
              </w:r>
            </w:hyperlink>
            <w:hyperlink w:anchor="i3467f07267724fc59766f05371e7d4c2_28">
              <w:r>
                <w:rPr>
                  <w:rStyle w:val="InternetLink"/>
                  <w:rFonts w:ascii="Times New Roman;serif" w:hAnsi="Times New Roman;serif"/>
                  <w:b w:val="false"/>
                  <w:color w:val="000080"/>
                  <w:sz w:val="20"/>
                  <w:u w:val="single"/>
                </w:rPr>
                <w:t>'</w:t>
              </w:r>
            </w:hyperlink>
            <w:hyperlink w:anchor="i3467f07267724fc59766f05371e7d4c2_28">
              <w:r>
                <w:rPr>
                  <w:rStyle w:val="InternetLink"/>
                  <w:rFonts w:ascii="Times New Roman;serif" w:hAnsi="Times New Roman;serif"/>
                  <w:b w:val="false"/>
                  <w:color w:val="000080"/>
                  <w:sz w:val="20"/>
                  <w:u w:val="single"/>
                </w:rPr>
                <w:t xml:space="preserve">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467f07267724fc59766f05371e7d4c2_28">
              <w:r>
                <w:rPr>
                  <w:rStyle w:val="InternetLink"/>
                  <w:rFonts w:ascii="Times New Roman;serif" w:hAnsi="Times New Roman;serif"/>
                  <w:b w:val="false"/>
                  <w:strike w:val="false"/>
                  <w:dstrike w:val="false"/>
                  <w:color w:val="000000"/>
                  <w:sz w:val="20"/>
                  <w:u w:val="none"/>
                  <w:effect w:val="none"/>
                </w:rPr>
                <w:t>10</w:t>
              </w:r>
            </w:hyperlink>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467f07267724fc59766f05371e7d4c2_31">
              <w:r>
                <w:rPr>
                  <w:rStyle w:val="InternetLink"/>
                  <w:rFonts w:ascii="Times New Roman;serif" w:hAnsi="Times New Roman;serif"/>
                  <w:b w:val="false"/>
                  <w:color w:val="0000FF"/>
                  <w:sz w:val="20"/>
                  <w:u w:val="single"/>
                </w:rPr>
                <w:t>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467f07267724fc59766f05371e7d4c2_31">
              <w:r>
                <w:rPr>
                  <w:rStyle w:val="InternetLink"/>
                  <w:rFonts w:ascii="Times New Roman;serif" w:hAnsi="Times New Roman;serif"/>
                  <w:b w:val="false"/>
                  <w:strike w:val="false"/>
                  <w:dstrike w:val="false"/>
                  <w:color w:val="000000"/>
                  <w:sz w:val="20"/>
                  <w:u w:val="none"/>
                  <w:effect w:val="none"/>
                </w:rPr>
                <w:t>11</w:t>
              </w:r>
            </w:hyperlink>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467f07267724fc59766f05371e7d4c2_34">
              <w:r>
                <w:rPr>
                  <w:rStyle w:val="InternetLink"/>
                  <w:rFonts w:ascii="Times New Roman;serif" w:hAnsi="Times New Roman;serif"/>
                  <w:b w:val="false"/>
                  <w:color w:val="0000FF"/>
                  <w:sz w:val="20"/>
                  <w:u w:val="singl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467f07267724fc59766f05371e7d4c2_34">
              <w:r>
                <w:rPr>
                  <w:rStyle w:val="InternetLink"/>
                  <w:rFonts w:ascii="Times New Roman;serif" w:hAnsi="Times New Roman;serif"/>
                  <w:b w:val="false"/>
                  <w:strike w:val="false"/>
                  <w:dstrike w:val="false"/>
                  <w:color w:val="000000"/>
                  <w:sz w:val="20"/>
                  <w:u w:val="none"/>
                  <w:effect w:val="none"/>
                </w:rPr>
                <w:t>12</w:t>
              </w:r>
            </w:hyperlink>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3467f07267724fc59766f05371e7d4c2_85">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467f07267724fc59766f05371e7d4c2_85">
              <w:r>
                <w:rPr>
                  <w:rStyle w:val="InternetLink"/>
                  <w:rFonts w:ascii="Times New Roman;serif" w:hAnsi="Times New Roman;serif"/>
                  <w:b w:val="false"/>
                  <w:color w:val="000080"/>
                  <w:sz w:val="20"/>
                  <w:u w:val="single"/>
                </w:rPr>
                <w:t>Management</w:t>
              </w:r>
            </w:hyperlink>
            <w:hyperlink w:anchor="i3467f07267724fc59766f05371e7d4c2_85">
              <w:r>
                <w:rPr>
                  <w:rStyle w:val="InternetLink"/>
                  <w:rFonts w:ascii="Times New Roman;serif" w:hAnsi="Times New Roman;serif"/>
                  <w:b w:val="false"/>
                  <w:color w:val="000080"/>
                  <w:sz w:val="20"/>
                  <w:u w:val="single"/>
                </w:rPr>
                <w:t>'</w:t>
              </w:r>
            </w:hyperlink>
            <w:hyperlink w:anchor="i3467f07267724fc59766f05371e7d4c2_85">
              <w:r>
                <w:rPr>
                  <w:rStyle w:val="InternetLink"/>
                  <w:rFonts w:ascii="Times New Roman;serif" w:hAnsi="Times New Roman;serif"/>
                  <w:b w:val="false"/>
                  <w:color w:val="000080"/>
                  <w:sz w:val="20"/>
                  <w:u w:val="single"/>
                </w:rPr>
                <w: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467f07267724fc59766f05371e7d4c2_85">
              <w:r>
                <w:rPr>
                  <w:rStyle w:val="InternetLink"/>
                  <w:rFonts w:ascii="Times New Roman;serif" w:hAnsi="Times New Roman;serif"/>
                  <w:b w:val="false"/>
                  <w:strike w:val="false"/>
                  <w:dstrike w:val="false"/>
                  <w:color w:val="000000"/>
                  <w:sz w:val="20"/>
                  <w:u w:val="none"/>
                  <w:effect w:val="none"/>
                </w:rPr>
                <w:t>22</w:t>
              </w:r>
            </w:hyperlink>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3467f07267724fc59766f05371e7d4c2_112">
              <w:r>
                <w:rPr>
                  <w:rStyle w:val="InternetLink"/>
                  <w:rFonts w:ascii="Times New Roman;serif" w:hAnsi="Times New Roman;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467f07267724fc59766f05371e7d4c2_112">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467f07267724fc59766f05371e7d4c2_112">
              <w:r>
                <w:rPr>
                  <w:rStyle w:val="InternetLink"/>
                  <w:rFonts w:ascii="Times New Roman;serif" w:hAnsi="Times New Roman;serif"/>
                  <w:b w:val="false"/>
                  <w:strike w:val="false"/>
                  <w:dstrike w:val="false"/>
                  <w:color w:val="000000"/>
                  <w:sz w:val="20"/>
                  <w:u w:val="none"/>
                  <w:effect w:val="none"/>
                </w:rPr>
                <w:t>37</w:t>
              </w:r>
            </w:hyperlink>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3467f07267724fc59766f05371e7d4c2_115">
              <w:r>
                <w:rPr>
                  <w:rStyle w:val="InternetLink"/>
                  <w:rFonts w:ascii="Times New Roman;serif" w:hAnsi="Times New Roman;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467f07267724fc59766f05371e7d4c2_115">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467f07267724fc59766f05371e7d4c2_115">
              <w:r>
                <w:rPr>
                  <w:rStyle w:val="InternetLink"/>
                  <w:rFonts w:ascii="Times New Roman;serif" w:hAnsi="Times New Roman;serif"/>
                  <w:b w:val="false"/>
                  <w:strike w:val="false"/>
                  <w:dstrike w:val="false"/>
                  <w:color w:val="000000"/>
                  <w:sz w:val="20"/>
                  <w:u w:val="none"/>
                  <w:effect w:val="none"/>
                </w:rPr>
                <w:t>37</w:t>
              </w:r>
            </w:hyperlink>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3467f07267724fc59766f05371e7d4c2_118">
              <w:r>
                <w:rPr>
                  <w:rStyle w:val="InternetLink"/>
                  <w:rFonts w:ascii="Times New Roman;serif" w:hAnsi="Times New Roman;serif"/>
                  <w:b/>
                  <w:color w:val="0000FF"/>
                  <w:sz w:val="20"/>
                  <w:u w:val="single"/>
                </w:rPr>
                <w:t>Part II</w:t>
              </w:r>
            </w:hyperlink>
          </w:p>
        </w:tc>
        <w:tc>
          <w:tcPr>
            <w:tcW w:w="733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467f07267724fc59766f05371e7d4c2_118">
              <w:r>
                <w:rPr>
                  <w:rStyle w:val="InternetLink"/>
                  <w:rFonts w:ascii="Times New Roman;serif" w:hAnsi="Times New Roman;serif"/>
                  <w:b/>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3467f07267724fc59766f05371e7d4c2_121">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467f07267724fc59766f05371e7d4c2_121">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467f07267724fc59766f05371e7d4c2_121">
              <w:r>
                <w:rPr>
                  <w:rStyle w:val="InternetLink"/>
                  <w:rFonts w:ascii="Times New Roman;serif" w:hAnsi="Times New Roman;serif"/>
                  <w:b w:val="false"/>
                  <w:strike w:val="false"/>
                  <w:dstrike w:val="false"/>
                  <w:color w:val="000000"/>
                  <w:sz w:val="20"/>
                  <w:u w:val="none"/>
                  <w:effect w:val="none"/>
                </w:rPr>
                <w:t>38</w:t>
              </w:r>
            </w:hyperlink>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3467f07267724fc59766f05371e7d4c2_124">
              <w:r>
                <w:rPr>
                  <w:rStyle w:val="InternetLink"/>
                  <w:rFonts w:ascii="Times New Roman;serif" w:hAnsi="Times New Roman;serif"/>
                  <w:b w:val="false"/>
                  <w:color w:val="0000FF"/>
                  <w:sz w:val="20"/>
                  <w:u w:val="single"/>
                </w:rPr>
                <w:t>Item 1A.</w:t>
              </w:r>
            </w:hyperlink>
          </w:p>
        </w:tc>
        <w:tc>
          <w:tcPr>
            <w:tcW w:w="733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467f07267724fc59766f05371e7d4c2_124">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467f07267724fc59766f05371e7d4c2_124">
              <w:r>
                <w:rPr>
                  <w:rStyle w:val="InternetLink"/>
                  <w:rFonts w:ascii="Times New Roman;serif" w:hAnsi="Times New Roman;serif"/>
                  <w:b w:val="false"/>
                  <w:strike w:val="false"/>
                  <w:dstrike w:val="false"/>
                  <w:color w:val="000000"/>
                  <w:sz w:val="20"/>
                  <w:u w:val="none"/>
                  <w:effect w:val="none"/>
                </w:rPr>
                <w:t>38</w:t>
              </w:r>
            </w:hyperlink>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3467f07267724fc59766f05371e7d4c2_151">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467f07267724fc59766f05371e7d4c2_151">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467f07267724fc59766f05371e7d4c2_151">
              <w:r>
                <w:rPr>
                  <w:rStyle w:val="InternetLink"/>
                  <w:rFonts w:ascii="Times New Roman;serif" w:hAnsi="Times New Roman;serif"/>
                  <w:b w:val="false"/>
                  <w:strike w:val="false"/>
                  <w:dstrike w:val="false"/>
                  <w:color w:val="000000"/>
                  <w:sz w:val="20"/>
                  <w:u w:val="none"/>
                  <w:effect w:val="none"/>
                </w:rPr>
                <w:t>101</w:t>
              </w:r>
            </w:hyperlink>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3467f07267724fc59766f05371e7d4c2_154">
              <w:r>
                <w:rPr>
                  <w:rStyle w:val="InternetLink"/>
                  <w:rFonts w:ascii="Times New Roman;serif" w:hAnsi="Times New Roman;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467f07267724fc59766f05371e7d4c2_154">
              <w:r>
                <w:rPr>
                  <w:rStyle w:val="InternetLink"/>
                  <w:rFonts w:ascii="Times New Roman;serif" w:hAnsi="Times New Roman;serif"/>
                  <w:b w:val="false"/>
                  <w:color w:val="0000FF"/>
                  <w:sz w:val="20"/>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467f07267724fc59766f05371e7d4c2_154">
              <w:r>
                <w:rPr>
                  <w:rStyle w:val="InternetLink"/>
                  <w:rFonts w:ascii="Times New Roman;serif" w:hAnsi="Times New Roman;serif"/>
                  <w:b w:val="false"/>
                  <w:strike w:val="false"/>
                  <w:dstrike w:val="false"/>
                  <w:color w:val="000000"/>
                  <w:sz w:val="20"/>
                  <w:u w:val="none"/>
                  <w:effect w:val="none"/>
                </w:rPr>
                <w:t>101</w:t>
              </w:r>
            </w:hyperlink>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3467f07267724fc59766f05371e7d4c2_157">
              <w:r>
                <w:rPr>
                  <w:rStyle w:val="InternetLink"/>
                  <w:rFonts w:ascii="Times New Roman;serif" w:hAnsi="Times New Roman;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467f07267724fc59766f05371e7d4c2_157">
              <w:r>
                <w:rPr>
                  <w:rStyle w:val="InternetLink"/>
                  <w:rFonts w:ascii="Times New Roman;serif" w:hAnsi="Times New Roman;serif"/>
                  <w:b w:val="false"/>
                  <w:color w:val="0000FF"/>
                  <w:sz w:val="20"/>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467f07267724fc59766f05371e7d4c2_157">
              <w:r>
                <w:rPr>
                  <w:rStyle w:val="InternetLink"/>
                  <w:rFonts w:ascii="Times New Roman;serif" w:hAnsi="Times New Roman;serif"/>
                  <w:b w:val="false"/>
                  <w:strike w:val="false"/>
                  <w:dstrike w:val="false"/>
                  <w:color w:val="000000"/>
                  <w:sz w:val="20"/>
                  <w:u w:val="none"/>
                  <w:effect w:val="none"/>
                </w:rPr>
                <w:t>101</w:t>
              </w:r>
            </w:hyperlink>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3467f07267724fc59766f05371e7d4c2_160">
              <w:r>
                <w:rPr>
                  <w:rStyle w:val="InternetLink"/>
                  <w:rFonts w:ascii="Times New Roman;serif" w:hAnsi="Times New Roman;serif"/>
                  <w:b w:val="false"/>
                  <w:color w:val="0000FF"/>
                  <w:sz w:val="20"/>
                  <w:u w:val="single"/>
                </w:rPr>
                <w:t>Item 5.</w:t>
              </w:r>
            </w:hyperlink>
          </w:p>
        </w:tc>
        <w:tc>
          <w:tcPr>
            <w:tcW w:w="733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467f07267724fc59766f05371e7d4c2_160">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467f07267724fc59766f05371e7d4c2_160">
              <w:r>
                <w:rPr>
                  <w:rStyle w:val="InternetLink"/>
                  <w:rFonts w:ascii="Times New Roman;serif" w:hAnsi="Times New Roman;serif"/>
                  <w:b w:val="false"/>
                  <w:strike w:val="false"/>
                  <w:dstrike w:val="false"/>
                  <w:color w:val="000000"/>
                  <w:sz w:val="20"/>
                  <w:u w:val="none"/>
                  <w:effect w:val="none"/>
                </w:rPr>
                <w:t>101</w:t>
              </w:r>
            </w:hyperlink>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3467f07267724fc59766f05371e7d4c2_166">
              <w:r>
                <w:rPr>
                  <w:rStyle w:val="InternetLink"/>
                  <w:rFonts w:ascii="Times New Roman;serif" w:hAnsi="Times New Roman;serif"/>
                  <w:b w:val="false"/>
                  <w:color w:val="0000FF"/>
                  <w:sz w:val="20"/>
                  <w:u w:val="singl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467f07267724fc59766f05371e7d4c2_166">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467f07267724fc59766f05371e7d4c2_166">
              <w:r>
                <w:rPr>
                  <w:rStyle w:val="InternetLink"/>
                  <w:rFonts w:ascii="Times New Roman;serif" w:hAnsi="Times New Roman;serif"/>
                  <w:b w:val="false"/>
                  <w:strike w:val="false"/>
                  <w:dstrike w:val="false"/>
                  <w:color w:val="000000"/>
                  <w:sz w:val="20"/>
                  <w:u w:val="none"/>
                  <w:effect w:val="none"/>
                </w:rPr>
                <w:t>103</w:t>
              </w:r>
            </w:hyperlink>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3467f07267724fc59766f05371e7d4c2_169">
              <w:r>
                <w:rPr>
                  <w:rStyle w:val="InternetLink"/>
                  <w:rFonts w:ascii="Times New Roman;serif" w:hAnsi="Times New Roman;serif"/>
                  <w:b w:val="false"/>
                  <w:color w:val="0000FF"/>
                  <w:sz w:val="20"/>
                  <w:u w:val="single"/>
                </w:rPr>
                <w:t>Signatures</w:t>
              </w:r>
            </w:hyperlink>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467f07267724fc59766f05371e7d4c2_169">
              <w:r>
                <w:rPr>
                  <w:rStyle w:val="InternetLink"/>
                  <w:rFonts w:ascii="Times New Roman;serif" w:hAnsi="Times New Roman;serif"/>
                  <w:b w:val="false"/>
                  <w:strike w:val="false"/>
                  <w:dstrike w:val="false"/>
                  <w:color w:val="000000"/>
                  <w:sz w:val="20"/>
                  <w:u w:val="none"/>
                  <w:effect w:val="none"/>
                </w:rPr>
                <w:t>105</w:t>
              </w:r>
            </w:hyperlink>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own various U.S. federal trademark applications and unregistered trademarks, including our company name and logo, that we use in connection with the operation of our business. This Quarterly Report on Form 10-Q ("Quarterly Report") may also contain trademarks, service marks and trade names of third parties, which are the property of their respective owners. Our use or display of third parties' trademarks, service marks, trade names or products in this Quarterly Report is not intended to, and does not imply a relationship with, or endorsement or sponsorship by us. Solely for convenience, the trademarks, service marks and trade names referred to in this Quarterly Report may appear without the ®, TM or SM symbols, but the omission of such references is not intended to indicate, in any way, that we will not assert, to the fullest extent under applicable law, our rights or that the applicable owner of these trademarks, service marks and trade names will not assert, to the fullest extent under applicable law, its rights.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use our website or our LinkedIn profile at www.linkedin.com/company/entradatx to distribute material information. Our financial and other material information is routinely posted to and accessible on the Investors Relations section of our website, available at www.entradatx.com. Investors are encouraged to review the Investors Relations section of our website because we may post material information on that site that is not otherwise disseminated by us. Information that is contained in and can be accessed through our website or our LinkedIn profile is not incorporated into, and does not form a part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51485"/>
                <wp:effectExtent l="0" t="0" r="0" b="0"/>
                <wp:wrapNone/>
                <wp:docPr id="2" name="Frame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erif" w:hAnsi="Times New Roman;serif"/>
          <w:b w:val="false"/>
          <w:color w:val="000000"/>
          <w:sz w:val="20"/>
          <w:shd w:fill="FFFFFF" w:val="clear"/>
        </w:rPr>
        <w:t xml:space="preserve">This Quarterly Report on Form 10-Q ("Quarterly Report") </w:t>
      </w:r>
      <w:r>
        <w:rPr>
          <w:rFonts w:ascii="Times New Roman;serif" w:hAnsi="Times New Roman;serif"/>
          <w:b w:val="false"/>
          <w:color w:val="000000"/>
          <w:sz w:val="20"/>
        </w:rPr>
        <w:t xml:space="preserve">contains express or implied forward-looking statements within the meaning of the Private Securities Litigation Reform Act of 1995, Section 27A of the Securities Act of 1933, as amended (the "Securities Act"), and Section 21E of the Securities Exchange Act of 1934, as amended (the "Exchange Act"). These statements are based on our management's current beliefs, expectations and assumptions about future events, conditions and results and on information currently available to us.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Quarterly Report include, but are not limited to, statements about:</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the initiation, timing, progress, results and costs of conducting our research and development programs, our current and future preclinical studies, and our current and future clinical trials, including statements regarding the timing of initiation and completion of studies or trials and related preparatory work, the period during which the results of the trials will become available, and our current and future programs;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the ability of our preclinical studies and clinical trials to demonstrate safety and efficacy of our therapeutic candidates, and other positive results;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the beneficial characteristics, and the potential safety, efficacy and therapeutic effects of our therapeutic candidates;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the timing, scope and likelihood of regulatory filings and approvals, including timing of any Investigational New Drug application ("IND") and final U.S. Food and Drug Administration ("FDA") or foreign equivalent approval of our current therapeutic candidates or any future therapeutic candidates;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the timing or content of any update regarding our regulatory filings;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the ability to leverage our proprietary EEV platform ("EEV Platform") to efficiently develop additional therapeutic candidates, including by applying learnings from one program to other programs and from one indication to our other indications;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our estimates of the number of patients that we will enroll and our ability to initiate, recruit and enroll patients in and conduct and successfully complete clinical trials at the pace that we project;</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the costs of manufacturing and our ability to scale-up our manufacturing and processing approaches to appropriately address our anticipated commercial needs, which will require significant resources;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our ability to establish or maintain collaborations or strategic relationships and the ability and willingness of our third-party strategic collaborators to undertake research and development activities relating to our current or future therapeutic candidates and discovery programs;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our expectations regarding the potential benefits of the partnership, licensing and/or collaboration arrangements and other strategic arrangements and transactions we have entered into or may enter into in the future;</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the potential benefits of our technologies and programs, including those with strategic partners;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our ability to obtain funding for our operations necessary to complete further development and commercialization of our therapeutic candidates;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our ability to take advantage of expedited regulatory pathways for our therapeutic candidates;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our ability to obtain and maintain regulatory approval of our therapeutic candidates;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the implementation of our business model, and strategic plans for our business, therapeutic candidates, and technology;</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the scope of protection we are able to establish and maintain for intellectual property rights covering our therapeutic candidates and other therapeutic candidates we may develop, including the extensions of existing patent terms where available, and the validity of intellectual property;</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rights held by third parties, and our ability not to infringe, misappropriate or otherwise violate any third-party intellectual property rights;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the period over which we estimate our available financial resources, together with ongoing research support will enable us to fund the Company's current and future operating expenses and capital expenditure requirements;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our financial performance and estimates of our future expenses, revenues, capital requirements, use of our cash reserves, and our needs for additional financing;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51485"/>
                <wp:effectExtent l="0" t="0" r="0" b="0"/>
                <wp:wrapNone/>
                <wp:docPr id="3" name="Frame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future agreements with third parties in connection with the development and commercialization of our therapeutic candidates and any other approved product;</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the rate and degree of market acceptance and the size and growth potential of the markets for our therapeutic candidates, and our ability to serve those markets;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our ability to contract with third-party suppliers and manufacturers and their ability to perform adequately;</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our ability to produce our therapeutic candidates with advantages in turnaround times or manufacturing cost;</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our competitive position and the success of competing therapies that are or may become available;</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our need for and ability to attract and retain key scientific, management and other personnel and to identify, hire and retain additional qualified professionals;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our expectations regarding the period during which we will remain an emerging growth company under the Jumpstart Our Business Startups Act of 2012 (the "JOBS Act");</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our anticipated use of our existing resources;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the expected timing, progress and success of our collaboration with Vertex Pharmaceuticals Incorporated ("Vertex"), including any future payments we may receive under our collaboration and license agreements, as well as our ability to identify and enter into future license agreements and collaborations;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our beliefs and expectations regarding milestone, royalty or other payments that could be due to third parties under existing agreements;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impact of macroeconomic and geopolitical developments on our business, including inflationary pressures and capital market disruptions, changes in or disruptions of U.S. governmental agencies, whether from a U.S. federal government shutdown or reduced resources, new or increased international tariffs and retaliatory tariffs, trade protection measures, military conflicts, such as the recent conflict in Iran and ongoing conflicts in Ukraine and the Middle East, economic sanctions and economic slowdowns or recessions that may result from such developments which could harm our research and development efforts as well as the value of our common stock and our ability to access capital markets;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other risks and uncertainties, including those listed under the caption "Risk Factors."</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some cases, you can identify forward-looking statements by terminology such as "may," "might," "will," "could," "would," "should," "expect," "plan," "anticipate," "intend," "believe," "estimate," "seek," "predict," "future," "project," "potential," "continue," "target," "contemplate," "possible," "can," or the negative of these terms or other comparable terminology, and similar expressions, although not all forward-looking statements contain these identifying words.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and elsewhere in this Quarterly Report.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and the documents that we reference in this Quarterly Report and have filed with the Securities and Exchange Commission thereto completely and with the understanding that our actual future results may be materially different from any future results expressed or implied by these forward-looking statements.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in this Quarterly Report represent our views as of the date of this Quarterly Report. We do not undertake any obligation to publicly update any forward-looking statement except to the extent required by applicable law. You should therefore not rely on these forward-looking statements as representing our views as of any date subsequent to the date of this Quarterly Report.</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All of the market data used in this Quarterly Report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51485"/>
                <wp:effectExtent l="0" t="0" r="0" b="0"/>
                <wp:wrapNone/>
                <wp:docPr id="4" name="Frame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Quarterly Report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as exhibits to this Quarterly Report. Unless the context otherwise requires, reference in this Quarterly Report to the terms "Entrada," "Entrada Therapeutics," "the Company," "we," "us," "our," and similar designations refer to Entrada Therapeutics, Inc. and, where appropriate, our wholly-owned subsidiary.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51485"/>
                <wp:effectExtent l="0" t="0" r="0" b="0"/>
                <wp:wrapNone/>
                <wp:docPr id="5" name="Frame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SUMMARY OF MATERIAL AND OTHER RISKS ASSOCIATED WITH OUR BUSINESS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and are subject to change based on various factors, including those highlighted in the section entitled "Risk Factors" and elsewhere in this Quarterly Report on Form 10-Q ("Quarterly Report"). These risks include, but are not limited to, the following:</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We have a limited operating history, have incurred significant operating losses since our inception and expect to incur significant losses for the foreseeable future. We may never generate any revenue from product sales or become profitable or, if we achieve profitability, we may not be able to sustain it.</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We will require additional financing to achieve our goals, and a failure to obtain this necessary capital when needed on acceptable terms, or at all, could force us to delay, limit, reduce or terminate our development programs, commercialization efforts or other operations.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We are early in our development efforts and as a result it will be years before we commercialize a therapeutic candidate, if ever. If we are unable to identify and advance therapeutic candidates through preclinical studies and/or clinical trials, obtain marketing approval and ultimately commercialize them, or experience significant delays in doing so, our business will be materially harmed.</w:t>
      </w:r>
    </w:p>
    <w:p>
      <w:pPr>
        <w:pStyle w:val="TextBody"/>
        <w:bidi w:val="0"/>
        <w:spacing w:lineRule="auto" w:line="268" w:before="120" w:after="283"/>
        <w:ind w:left="0" w:right="0" w:hanging="360"/>
        <w:jc w:val="left"/>
        <w:rPr/>
      </w:pPr>
      <w:r>
        <w:rPr>
          <w:color w:val="231F20"/>
        </w:rPr>
        <w:t>•</w:t>
      </w:r>
      <w:r>
        <w:rPr>
          <w:rFonts w:ascii="Times New Roman;serif" w:hAnsi="Times New Roman;serif"/>
          <w:b w:val="false"/>
          <w:color w:val="000000"/>
          <w:sz w:val="20"/>
        </w:rPr>
        <w:t>Our business is highly dependent on the clinical advancement of our programs and modalities and is especially dependent on the success of our lead therapeutic candidates, ENTR-601-44 and ENTR-601-45, as well as ENTR-601-50, ENTR-601-51, ENTR-801 and our partnered candidate VX-670. Delay or failure to advance programs or modalities, including ENTR-601-44, ENTR-601-45, ENTR-601-50, ENTR-601-51, ENTR-801 and VX-670 could adversely impact our business.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Our Endosomal Escape Vehicle ("EEV") therapeutic candidates are based on a novel therapeutic approach, which makes it difficult to predict the time and cost of development and of subsequently obtaining regulatory approval, if at all.</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Preclinical and clinical development involves a lengthy and expensive process with an uncertain outcome, and the results of preclinical studies are not necessarily predictive of the results of later preclinical studies and any clinical trials of our therapeutic candidates. We have not completed the testing of any of our therapeutic candidates in clinical trials and our therapeutic candidates may not have favorable results in clinical trials, if any, or receive regulatory approval on a timely basis, if at all.</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Substantial delays in the commencement, enrollment or completion of our planned clinical trials, or failure to demonstrate safety and efficacy to the satisfaction of applicable regulatory authorities could prevent us from commercializing any therapeutic candidates we determine to develop on a timely basis, if at all.</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Our approach to the discovery and development of therapeutic candidates that are based on our EEV platform ("EEV Platform") is unproven, and we do not know whether we will be able to develop any products of commercial value, or if competing technological approaches will limit the commercial value of our therapeutic candidates or render our EEV Platform obsolete.</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We rely, and expect to continue to rely, on third parties to conduct some or all aspects of our product manufacturing, research and preclinical and clinical testing, and these third parties may not perform satisfactorily or, dedicate adequate resources to meet our needs, or may be unable to acquire the necessary supplies to perform successfully.</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We have and may in the future enter into collaborations, licenses and other similar arrangements with third parties for the research, development and commercialization of certain of the therapeutic candidates we may develop, including our collaboration with Vertex Pharmaceuticals Incorporated ("Vertex"). If any such arrangements are not successful, we may not be able to capitalize on the market potential of those therapeutic candidates.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We face significant competition, and if our competitors develop technologies or therapeutic candidates more rapidly than we do or their technologies are more effective, our business and our ability to develop and successfully commercialize products may be adversely affected.</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While we will attempt to diversify our risks by developing one or more programs in each modality, there are risks that are unique to each modality and risks that are applicable across modalities. These risks may impair our ability to advance one or more of our programs in clinical development, obtain regulatory approval, or ultimately commercialize our programs, or cause us to experience significant delays in doing so, any of which may materially harm our business.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If we or our collaborators are unable to obtain and maintain patent protection for our EEV Platform, therapeutic development programs and other proprietary technologies we develop, or if the scope of the patent protection obtained is not sufficiently broad, our competitors could develop and commercialize products and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51485"/>
                <wp:effectExtent l="0" t="0" r="0" b="0"/>
                <wp:wrapNone/>
                <wp:docPr id="6" name="Frame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similar or identical to ours, and our ability to successfully commercialize our therapeutic programs and other proprietary technologies we may develop may be adversely affected.</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Our future success depends on our ability to retain key employees and to attract, retain and motivate qualified personnel.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The market price of our common stock may be volatile, and investors could lose all or part of their investment.</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Volatility in capital markets may affect our ability to access new capital, which may harm our liquidity, limit our ability to grow our business, pursue acquisitions or improve our operating infrastructure and restrict our ability to compete in our markets.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Unstable market and economic conditions may have adverse consequences for our business, financial condition and stock price.</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material and other risks summarized above should be read together with the text of the full risk factors and in the other information set forth in this Quarterly Report, including our condensed consolidated financial statements and the related notes, as well as in other documents that we file with the Securities and Exchange Commission (the "SEC"). If any such material and other risks and uncertainties actually occur, our business, prospects, financial condition and results of operations could be materially and adversely affected. The risks summarized above or described in full are not the only risks that we face. Additional risks and uncertainties not currently known to us, or that we currently deem to be immaterial may also materially adversely affect our business, prospects,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51485"/>
                <wp:effectExtent l="0" t="0" r="0" b="0"/>
                <wp:wrapNone/>
                <wp:docPr id="7" name="Frame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ENTRADA THERAPEUTICS,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76"/>
        <w:gridCol w:w="2356"/>
        <w:gridCol w:w="2308"/>
        <w:gridCol w:w="211"/>
        <w:gridCol w:w="826"/>
        <w:gridCol w:w="109"/>
        <w:gridCol w:w="109"/>
        <w:gridCol w:w="109"/>
        <w:gridCol w:w="109"/>
        <w:gridCol w:w="211"/>
        <w:gridCol w:w="826"/>
        <w:gridCol w:w="155"/>
      </w:tblGrid>
      <w:tr>
        <w:trPr/>
        <w:tc>
          <w:tcPr>
            <w:tcW w:w="287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90,394 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205,304 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232,704 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306,252 </w:t>
            </w:r>
          </w:p>
        </w:tc>
        <w:tc>
          <w:tcPr>
            <w:tcW w:w="15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operating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298,877 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377,378 </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21,371 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24,451 </w:t>
            </w:r>
          </w:p>
        </w:tc>
        <w:tc>
          <w:tcPr>
            <w:tcW w:w="15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65,466 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71,245 </w:t>
            </w:r>
          </w:p>
        </w:tc>
        <w:tc>
          <w:tcPr>
            <w:tcW w:w="15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11)</w:t>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$0.0001; 150,000,000 shares authorized; 38,936,669 shares issued and outstanding as of June 30, 2026; and 38,284,221 shares issued and outstanding as of December 31,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w:t>
              <w:noBreakHyphen/>
              <w:t>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588,915 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578,571 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(273,094)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233,411 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306,133 </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298,877 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377,378 </w:t>
            </w:r>
          </w:p>
        </w:tc>
        <w:tc>
          <w:tcPr>
            <w:tcW w:w="15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51485"/>
                <wp:effectExtent l="0" t="0" r="0" b="0"/>
                <wp:wrapNone/>
                <wp:docPr id="8" name="Frame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ENTRADA THERAPEUTICS,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58"/>
        <w:gridCol w:w="1376"/>
        <w:gridCol w:w="1383"/>
        <w:gridCol w:w="240"/>
        <w:gridCol w:w="841"/>
        <w:gridCol w:w="109"/>
        <w:gridCol w:w="109"/>
        <w:gridCol w:w="109"/>
        <w:gridCol w:w="109"/>
        <w:gridCol w:w="240"/>
        <w:gridCol w:w="841"/>
        <w:gridCol w:w="109"/>
        <w:gridCol w:w="109"/>
        <w:gridCol w:w="109"/>
        <w:gridCol w:w="109"/>
        <w:gridCol w:w="240"/>
        <w:gridCol w:w="841"/>
        <w:gridCol w:w="109"/>
        <w:gridCol w:w="109"/>
        <w:gridCol w:w="109"/>
        <w:gridCol w:w="109"/>
        <w:gridCol w:w="240"/>
        <w:gridCol w:w="841"/>
        <w:gridCol w:w="156"/>
      </w:tblGrid>
      <w:tr>
        <w:trPr/>
        <w:tc>
          <w:tcPr>
            <w:tcW w:w="1658"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24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22,508 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45,861 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48,799 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89,039 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91,147 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(44,963)</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(46,849)</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(87,266)</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(68,639)</w:t>
            </w:r>
          </w:p>
        </w:tc>
        <w:tc>
          <w:tcPr>
            <w:tcW w:w="1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8,365 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(42,728)</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(42,925)</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(82,407)</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(60,274)</w:t>
            </w:r>
          </w:p>
        </w:tc>
        <w:tc>
          <w:tcPr>
            <w:tcW w:w="1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(42,763)</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(43,103)</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(82,480)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(60,452)</w:t>
            </w:r>
          </w:p>
        </w:tc>
        <w:tc>
          <w:tcPr>
            <w:tcW w:w="1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4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w:t>
              <w:noBreakHyphen/>
              <w:t>average common shares outstanding, basic and diluted</w:t>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42,221,665 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41,338,752 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42,030,035 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41,206,974 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gain</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marketable securities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gain</w:t>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w:t>
            </w:r>
          </w:p>
        </w:tc>
        <w:tc>
          <w:tcPr>
            <w:tcW w:w="24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(42,943)</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(43,140)</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(83,066)</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(60,009)</w:t>
            </w:r>
          </w:p>
        </w:tc>
        <w:tc>
          <w:tcPr>
            <w:tcW w:w="15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51485"/>
                <wp:effectExtent l="0" t="0" r="0" b="0"/>
                <wp:wrapNone/>
                <wp:docPr id="9" name="Frame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ENTRADA THERAPEUTICS,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29"/>
        <w:gridCol w:w="490"/>
        <w:gridCol w:w="492"/>
        <w:gridCol w:w="480"/>
        <w:gridCol w:w="481"/>
        <w:gridCol w:w="186"/>
        <w:gridCol w:w="109"/>
        <w:gridCol w:w="109"/>
        <w:gridCol w:w="109"/>
        <w:gridCol w:w="196"/>
        <w:gridCol w:w="406"/>
        <w:gridCol w:w="109"/>
        <w:gridCol w:w="109"/>
        <w:gridCol w:w="109"/>
        <w:gridCol w:w="109"/>
        <w:gridCol w:w="196"/>
        <w:gridCol w:w="736"/>
        <w:gridCol w:w="109"/>
        <w:gridCol w:w="109"/>
        <w:gridCol w:w="109"/>
        <w:gridCol w:w="109"/>
        <w:gridCol w:w="437"/>
        <w:gridCol w:w="974"/>
        <w:gridCol w:w="245"/>
        <w:gridCol w:w="109"/>
        <w:gridCol w:w="109"/>
        <w:gridCol w:w="109"/>
        <w:gridCol w:w="196"/>
        <w:gridCol w:w="761"/>
        <w:gridCol w:w="109"/>
        <w:gridCol w:w="109"/>
        <w:gridCol w:w="109"/>
        <w:gridCol w:w="109"/>
        <w:gridCol w:w="204"/>
        <w:gridCol w:w="768"/>
        <w:gridCol w:w="166"/>
      </w:tblGrid>
      <w:tr>
        <w:trPr/>
        <w:tc>
          <w:tcPr>
            <w:tcW w:w="82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w:t>
              <w:noBreakHyphen/>
              <w:t>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Equity</w:t>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December 31, 2025</w:t>
            </w:r>
          </w:p>
        </w:tc>
        <w:tc>
          <w:tcPr>
            <w:tcW w:w="96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38,284,221 </w:t>
            </w:r>
          </w:p>
        </w:tc>
        <w:tc>
          <w:tcPr>
            <w:tcW w:w="1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578,571 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652 </w:t>
            </w:r>
          </w:p>
        </w:tc>
        <w:tc>
          <w:tcPr>
            <w:tcW w:w="24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(273,094)</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306,133 </w:t>
            </w:r>
          </w:p>
        </w:tc>
        <w:tc>
          <w:tcPr>
            <w:tcW w:w="16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10,104 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526,291 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w:t>
              <w:noBreakHyphen/>
              <w:t>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4,744 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(406)</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March 31, 2026</w:t>
            </w:r>
          </w:p>
        </w:tc>
        <w:tc>
          <w:tcPr>
            <w:tcW w:w="96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38,820,616 </w:t>
            </w:r>
          </w:p>
        </w:tc>
        <w:tc>
          <w:tcPr>
            <w:tcW w:w="1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583,415 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24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(312,811)</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270,854 </w:t>
            </w:r>
          </w:p>
        </w:tc>
        <w:tc>
          <w:tcPr>
            <w:tcW w:w="16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16,923 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41,979 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common stock under the employee stock purchase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57,151 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(42,763)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June 30, 2026</w:t>
            </w:r>
          </w:p>
        </w:tc>
        <w:tc>
          <w:tcPr>
            <w:tcW w:w="96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38,936,669 </w:t>
            </w:r>
          </w:p>
        </w:tc>
        <w:tc>
          <w:tcPr>
            <w:tcW w:w="1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588,915 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4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(355,574)</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233,411 </w:t>
            </w:r>
          </w:p>
        </w:tc>
        <w:tc>
          <w:tcPr>
            <w:tcW w:w="16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29"/>
        <w:gridCol w:w="490"/>
        <w:gridCol w:w="492"/>
        <w:gridCol w:w="480"/>
        <w:gridCol w:w="481"/>
        <w:gridCol w:w="186"/>
        <w:gridCol w:w="109"/>
        <w:gridCol w:w="109"/>
        <w:gridCol w:w="109"/>
        <w:gridCol w:w="196"/>
        <w:gridCol w:w="406"/>
        <w:gridCol w:w="109"/>
        <w:gridCol w:w="109"/>
        <w:gridCol w:w="109"/>
        <w:gridCol w:w="109"/>
        <w:gridCol w:w="196"/>
        <w:gridCol w:w="736"/>
        <w:gridCol w:w="109"/>
        <w:gridCol w:w="109"/>
        <w:gridCol w:w="109"/>
        <w:gridCol w:w="109"/>
        <w:gridCol w:w="447"/>
        <w:gridCol w:w="961"/>
        <w:gridCol w:w="249"/>
        <w:gridCol w:w="109"/>
        <w:gridCol w:w="109"/>
        <w:gridCol w:w="109"/>
        <w:gridCol w:w="196"/>
        <w:gridCol w:w="761"/>
        <w:gridCol w:w="109"/>
        <w:gridCol w:w="109"/>
        <w:gridCol w:w="109"/>
        <w:gridCol w:w="109"/>
        <w:gridCol w:w="204"/>
        <w:gridCol w:w="768"/>
        <w:gridCol w:w="165"/>
      </w:tblGrid>
      <w:tr>
        <w:trPr/>
        <w:tc>
          <w:tcPr>
            <w:tcW w:w="82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w:t>
              <w:noBreakHyphen/>
              <w:t>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Equity</w:t>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16"/>
              </w:rPr>
            </w:pPr>
            <w:r>
              <w:rPr>
                <w:rFonts w:ascii="Times New Roman;serif" w:hAnsi="Times New Roman;serif"/>
                <w:b/>
                <w:color w:val="000000"/>
                <w:sz w:val="16"/>
              </w:rPr>
              <w:t>Balances at December 31, 2024</w:t>
            </w:r>
          </w:p>
        </w:tc>
        <w:tc>
          <w:tcPr>
            <w:tcW w:w="96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37,574,538 </w:t>
            </w:r>
          </w:p>
        </w:tc>
        <w:tc>
          <w:tcPr>
            <w:tcW w:w="1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558,061 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24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(129,344)</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428,678 </w:t>
            </w:r>
          </w:p>
        </w:tc>
        <w:tc>
          <w:tcPr>
            <w:tcW w:w="16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40,984 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early exercised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1,676 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325,085 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w:t>
              <w:noBreakHyphen/>
              <w:t>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5,087 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(17,349)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16"/>
              </w:rPr>
            </w:pPr>
            <w:r>
              <w:rPr>
                <w:rFonts w:ascii="Times New Roman;serif" w:hAnsi="Times New Roman;serif"/>
                <w:b/>
                <w:color w:val="000000"/>
                <w:sz w:val="16"/>
              </w:rPr>
              <w:t>Balances at March 31, 2025</w:t>
            </w:r>
          </w:p>
        </w:tc>
        <w:tc>
          <w:tcPr>
            <w:tcW w:w="96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37,942,283 </w:t>
            </w:r>
          </w:p>
        </w:tc>
        <w:tc>
          <w:tcPr>
            <w:tcW w:w="1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563,512 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24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(146,693)</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417,260 </w:t>
            </w:r>
          </w:p>
        </w:tc>
        <w:tc>
          <w:tcPr>
            <w:tcW w:w="16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12,106 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29,163 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common stock under the employee stock purchase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50,418 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5,048 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(43,103)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June 30, 2025</w:t>
            </w:r>
          </w:p>
        </w:tc>
        <w:tc>
          <w:tcPr>
            <w:tcW w:w="96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38,033,970 </w:t>
            </w:r>
          </w:p>
        </w:tc>
        <w:tc>
          <w:tcPr>
            <w:tcW w:w="1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568,897 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24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(189,796)</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379,505 </w:t>
            </w:r>
          </w:p>
        </w:tc>
        <w:tc>
          <w:tcPr>
            <w:tcW w:w="16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51485"/>
                <wp:effectExtent l="0" t="0" r="0" b="0"/>
                <wp:wrapNone/>
                <wp:docPr id="10" name="Frame1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ENTRADA THERAPEUTICS,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368" w:type="dxa"/>
        <w:jc w:val="center"/>
        <w:tblInd w:w="0" w:type="dxa"/>
        <w:tblLayout w:type="fixed"/>
        <w:tblCellMar>
          <w:top w:w="28" w:type="dxa"/>
          <w:left w:w="28" w:type="dxa"/>
          <w:bottom w:w="28" w:type="dxa"/>
          <w:right w:w="28" w:type="dxa"/>
        </w:tblCellMar>
      </w:tblPr>
      <w:tblGrid>
        <w:gridCol w:w="2435"/>
        <w:gridCol w:w="2142"/>
        <w:gridCol w:w="2157"/>
        <w:gridCol w:w="211"/>
        <w:gridCol w:w="826"/>
        <w:gridCol w:w="109"/>
        <w:gridCol w:w="109"/>
        <w:gridCol w:w="109"/>
        <w:gridCol w:w="109"/>
        <w:gridCol w:w="211"/>
        <w:gridCol w:w="796"/>
        <w:gridCol w:w="154"/>
      </w:tblGrid>
      <w:tr>
        <w:trPr/>
        <w:tc>
          <w:tcPr>
            <w:tcW w:w="2435"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w:t>
              <w:noBreakHyphen/>
              <w:t>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Amortization/(accretion)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operating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(74,158)</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(67,996)</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(96,574)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81,936 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38,580 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the employee stock purchase plan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cash equivalents and restricted cash</w:t>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8,228 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(28,729)</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102,572 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76,432 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cash flow disclosures: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options early exercised subject to repurchase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51485"/>
                <wp:effectExtent l="0" t="0" r="0" b="0"/>
                <wp:wrapNone/>
                <wp:docPr id="11" name="Frame1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ENTRADA THERAPEUTICS,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Nature of the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Entrada Therapeutics, Inc. ("Entrada" or the "Company") is a clinical-stage biopharmaceutical company aiming to transform the lives of patients by establishing a new class of medicines that engage intracellular targets that have long been considered inaccessible. Through proprietary, versatile and modular approaches, Entrada is advancing a robust development portfolio of genetic medicines for the potential treatment of neuromuscular and inherited retinal diseases, among others. The Company was incorporated in Delaware on September 22, 2016, and its principal offices are located in Boston, Massachusetts.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its inception, the Company has devoted substantially all of its resources to its research and development efforts relating to its proprietary, highly versatile and modular EEV platform ("EEV Platform"), advancing development of its portfolio of programs and general and administrative support for these operations, including raising capital. The Company is subject to risks and uncertainties common to earlier-stage companies in the biotechnology industry, including, but not limited to, technical risks associated with the successful research, development and manufacturing of therapeutic candidates, development by competitors of new technological innovations, dependence on key personnel, protection of proprietary technology, compliance with government regulations, and the ability to secure additional capital to fund operations. Therapeutic candidates currently under development will require significant additional research and development efforts, including extensive preclinical and clinical testing and regulatory approval prior to commercialization. These efforts will require significant amounts of additional capital, adequate personnel and infrastructure. Even if the Company's product development efforts are successful, it is uncertain when, if ever, the Company will realize revenue from product sales.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accordance with Accounting Standards Codification ("ASC") 205-40, Going Concern, the Company evaluated whether there are conditions and events, considered in the aggregate, that raise substantial doubt about its ability to continue as a going concern within one year after the date that the condensed consolidated financial statements are issued. Since its inception, the Company has incurred significant net losses. As of June 30, 2026, the Company had an accumulated deficit of $355.6 million. To date, the Company has funded its operations primarily through the sale of equity securities and collaboration payments. Other than the recognition of revenue related to collaboration payments, the Company expects to continue to generate operating losses and negative operating cash flows for the foreseeable future.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expects that its cash, cash equivalents and marketable securities of $223.0 million as of June 30, 2026 will be sufficient to fund its operations and capital expenditure requirements for the next 12 months from the date of issuance of these condensed consolidated financial statements. The Company will need additional financing to pursue its business strategy and may pursue additional cash resources through a combination of equity offerings, debt financings, collaborations, strategic alliances, licensing, or other arrangements. The Company may be unable to raise additional funds or enter into such other agreements when needed or on favorable terms or at all.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The significant accounting policies used in preparation of these condensed consolidated financial statements as of and for the three and six months ended June 30, 2026 are consistent with those discussed in Note 2 to the consolidated financial statements included in the Company's Annual Report on Form 10-K for the fiscal year ended </w:t>
      </w:r>
      <w:r>
        <w:rPr>
          <w:rFonts w:ascii="Times New Roman;serif" w:hAnsi="Times New Roman;serif"/>
          <w:b w:val="false"/>
          <w:color w:val="000000"/>
          <w:sz w:val="20"/>
          <w:shd w:fill="FFFFFF" w:val="clear"/>
        </w:rPr>
        <w:t>December 31, 2025, which was filed with the Securities and Exchange Commission (the "SEC") on February 26, 2026 (the "Annual Report"), except as described below</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accompanying condensed consolidated financial statements are unaudited and have been prepared in conformity with generally accepted accounting principles in the United States of America ("GAAP"). Any reference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51485"/>
                <wp:effectExtent l="0" t="0" r="0" b="0"/>
                <wp:wrapNone/>
                <wp:docPr id="12" name="Frame1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these notes to applicable guidance is meant to refer to the authoritative GAAP as found in the ASC and Accounting Standards Update ("ASU") of the Financial Accounting Standards Board ("FASB"). The condensed consolidated financial statements have been prepared on the same basis as the audited annual financial statements. Certain information and footnote disclosures normally included in the Company's annual financial statements have been condensed or omitted, as is permitted by GAAP. These condensed consolidated financial statements, in the opinion of management, reflect all normal recurring adjustments necessary for a fair presentation of the Company's financial position as of June 30, 2026 and December 31, 2025, and results of operations for the interim periods ended June 30, 2026 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results of operations for the interim periods are not necessarily indicative of the results of operations to be expected for the full year. These condensed consolidated financial statements should be read in conjunction with the audited financial statements as of and for the years ended December 31, 2025 and 2024, and the notes thereto, included in the Annual Report.</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Recently Issued Accounting Pronouncements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new accounting pronouncements are issued by the FASB or other standard setting bodies that are adopted by the Company as of the specified effective date. Except as noted below, the Company believes that the impact of recently issued standards that are not yet effective will not have a material impact on its financial position or results of operations upon adoption.</w:t>
      </w:r>
    </w:p>
    <w:p>
      <w:pPr>
        <w:pStyle w:val="TextBody"/>
        <w:bidi w:val="0"/>
        <w:spacing w:lineRule="auto" w:line="288" w:before="240" w:after="240"/>
        <w:ind w:left="0" w:right="0" w:firstLine="720"/>
        <w:jc w:val="left"/>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which is intended to provide enhancements to annual income tax disclosures. In particular, the standard will require more detailed information in the income tax rate reconciliation, as well as the disclosure of income taxes paid disaggregated by jurisdiction, among other enhancements. The standard is effective for annual reporting periods beginning after December 15, 2024 for public business entities ("PBEs") and for annual reporting periods beginning after December 15, 2025 for all other entities. Early adoption is permitted. The Company has availed itself of the extended transition period afforded to EGCs and will adopt this ASU in connection with filing its 2026 annual financial statements. The Company is currently evaluating the impact of the standard on its disclosures.</w:t>
      </w:r>
    </w:p>
    <w:p>
      <w:pPr>
        <w:pStyle w:val="TextBody"/>
        <w:bidi w:val="0"/>
        <w:spacing w:lineRule="auto" w:line="288" w:before="240" w:after="240"/>
        <w:ind w:left="0" w:right="0" w:firstLine="720"/>
        <w:jc w:val="left"/>
        <w:rPr/>
      </w:pPr>
      <w:r>
        <w:rPr>
          <w:rFonts w:ascii="Times New Roman;serif" w:hAnsi="Times New Roman;serif"/>
          <w:b w:val="false"/>
          <w:color w:val="000000"/>
          <w:sz w:val="20"/>
        </w:rPr>
        <w:t xml:space="preserve">In November 2024, the FASB issued </w:t>
      </w:r>
      <w:r>
        <w:rPr>
          <w:rFonts w:ascii="Times New Roman;serif" w:hAnsi="Times New Roman;serif"/>
          <w:b w:val="false"/>
          <w:i/>
          <w:color w:val="000000"/>
          <w:sz w:val="20"/>
        </w:rPr>
        <w:t>ASU 2024-03, Income Statement – Reporting Comprehensive Income – Expense Disaggregation Disclosures</w:t>
      </w:r>
      <w:r>
        <w:rPr>
          <w:rFonts w:ascii="Times New Roman;serif" w:hAnsi="Times New Roman;serif"/>
          <w:b w:val="false"/>
          <w:color w:val="000000"/>
          <w:sz w:val="20"/>
        </w:rPr>
        <w:t>. The ASU requires PBEs to provide disaggregated disclosures of certain categories of expenses on an annual and interim basis including purchases of inventory, employee compensation, depreciation, and intangible asset amortization for each income statement line item that contains those expenses. This ASU is effective for annual reporting periods beginning after December 15, 2026, and interim periods within annual reporting periods beginning after December 15, 2027, with early adoption permitted. The Company is currently evaluating the impact of the standard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Cash, Cash Equivalents and Restricted Cash</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The Company </w:t>
      </w:r>
      <w:r>
        <w:rPr>
          <w:rFonts w:ascii="Times New Roman;serif" w:hAnsi="Times New Roman;serif"/>
          <w:b w:val="false"/>
          <w:color w:val="000000"/>
          <w:sz w:val="20"/>
          <w:shd w:fill="FFFFFF" w:val="clear"/>
        </w:rPr>
        <w:t>considers all highly liquid investments with an original maturity of 90 days or less at the date of purch</w:t>
      </w:r>
      <w:r>
        <w:rPr>
          <w:rFonts w:ascii="Times New Roman;serif" w:hAnsi="Times New Roman;serif"/>
          <w:b w:val="false"/>
          <w:color w:val="000000"/>
          <w:sz w:val="20"/>
        </w:rPr>
        <w:t xml:space="preserve">ase to be cash equivalents. At June 30, 2026 and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cash and cash equivalents include standard checking accounts and money market account funds that invest primarily in U.S. government-backed securities and treasuries.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As of June 30, 2026 and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restricted cash represents collateral provided for a letter of credit issued as a security deposi</w:t>
      </w:r>
      <w:r>
        <w:rPr>
          <w:rFonts w:ascii="Times New Roman;serif" w:hAnsi="Times New Roman;serif"/>
          <w:b w:val="false"/>
          <w:color w:val="000000"/>
          <w:sz w:val="20"/>
          <w:shd w:fill="FFFFFF" w:val="clear"/>
        </w:rPr>
        <w:t>t in connection with the Company's lease of its corporate facilities located at One Design Center Place, Boston, Massachusetts. A reconciliation of the cash, cash equivalents, and restricted cash reported within the balance sheet that sum to the total of the same amounts shown in the statement of cash flows is as follows (in thousands):</w:t>
      </w:r>
    </w:p>
    <w:p>
      <w:pPr>
        <w:pStyle w:val="TextBody"/>
        <w:bidi w:val="0"/>
        <w:spacing w:before="0" w:after="0"/>
        <w:ind w:left="0" w:right="0" w:firstLine="720"/>
        <w:jc w:val="left"/>
        <w:rPr/>
      </w:pPr>
      <w:r>
        <w:rPr/>
      </w:r>
    </w:p>
    <w:tbl>
      <w:tblPr>
        <w:tblW w:w="6557" w:type="dxa"/>
        <w:jc w:val="left"/>
        <w:tblInd w:w="0" w:type="dxa"/>
        <w:tblLayout w:type="fixed"/>
        <w:tblCellMar>
          <w:top w:w="28" w:type="dxa"/>
          <w:left w:w="28" w:type="dxa"/>
          <w:bottom w:w="28" w:type="dxa"/>
          <w:right w:w="28" w:type="dxa"/>
        </w:tblCellMar>
      </w:tblPr>
      <w:tblGrid>
        <w:gridCol w:w="1429"/>
        <w:gridCol w:w="1254"/>
        <w:gridCol w:w="1262"/>
        <w:gridCol w:w="211"/>
        <w:gridCol w:w="826"/>
        <w:gridCol w:w="109"/>
        <w:gridCol w:w="109"/>
        <w:gridCol w:w="109"/>
        <w:gridCol w:w="109"/>
        <w:gridCol w:w="221"/>
        <w:gridCol w:w="757"/>
        <w:gridCol w:w="161"/>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99,280 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90,394 </w:t>
            </w:r>
          </w:p>
        </w:tc>
        <w:tc>
          <w:tcPr>
            <w:tcW w:w="16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102,572 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94,344 </w:t>
            </w:r>
          </w:p>
        </w:tc>
        <w:tc>
          <w:tcPr>
            <w:tcW w:w="16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51485"/>
                <wp:effectExtent l="0" t="0" r="0" b="0"/>
                <wp:wrapNone/>
                <wp:docPr id="13" name="Frame1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The following are summaries of the Company's marketable securities at June 30, 2026 and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 xml:space="preserve">(in thousands). </w:t>
      </w:r>
    </w:p>
    <w:tbl>
      <w:tblPr>
        <w:tblW w:w="10205" w:type="dxa"/>
        <w:jc w:val="left"/>
        <w:tblInd w:w="0" w:type="dxa"/>
        <w:tblLayout w:type="fixed"/>
        <w:tblCellMar>
          <w:top w:w="28" w:type="dxa"/>
          <w:left w:w="28" w:type="dxa"/>
          <w:bottom w:w="28" w:type="dxa"/>
          <w:right w:w="28" w:type="dxa"/>
        </w:tblCellMar>
      </w:tblPr>
      <w:tblGrid>
        <w:gridCol w:w="1413"/>
        <w:gridCol w:w="1242"/>
        <w:gridCol w:w="1246"/>
        <w:gridCol w:w="109"/>
        <w:gridCol w:w="109"/>
        <w:gridCol w:w="109"/>
        <w:gridCol w:w="226"/>
        <w:gridCol w:w="886"/>
        <w:gridCol w:w="116"/>
        <w:gridCol w:w="109"/>
        <w:gridCol w:w="109"/>
        <w:gridCol w:w="109"/>
        <w:gridCol w:w="393"/>
        <w:gridCol w:w="675"/>
        <w:gridCol w:w="205"/>
        <w:gridCol w:w="109"/>
        <w:gridCol w:w="109"/>
        <w:gridCol w:w="109"/>
        <w:gridCol w:w="376"/>
        <w:gridCol w:w="726"/>
        <w:gridCol w:w="196"/>
        <w:gridCol w:w="109"/>
        <w:gridCol w:w="109"/>
        <w:gridCol w:w="109"/>
        <w:gridCol w:w="211"/>
        <w:gridCol w:w="826"/>
        <w:gridCol w:w="160"/>
      </w:tblGrid>
      <w:tr>
        <w:trPr/>
        <w:tc>
          <w:tcPr>
            <w:tcW w:w="141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7"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 and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110,709 </w:t>
            </w:r>
          </w:p>
        </w:tc>
        <w:tc>
          <w:tcPr>
            <w:tcW w:w="1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0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110,753 </w:t>
            </w:r>
          </w:p>
        </w:tc>
        <w:tc>
          <w:tcPr>
            <w:tcW w:w="16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securities with a maturity of one year or 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115,670 </w:t>
            </w:r>
          </w:p>
        </w:tc>
        <w:tc>
          <w:tcPr>
            <w:tcW w:w="1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0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115,716 </w:t>
            </w:r>
          </w:p>
        </w:tc>
        <w:tc>
          <w:tcPr>
            <w:tcW w:w="16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 and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securities with a maturity of more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7,989 </w:t>
            </w:r>
          </w:p>
        </w:tc>
        <w:tc>
          <w:tcPr>
            <w:tcW w:w="11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0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8,009 </w:t>
            </w:r>
          </w:p>
        </w:tc>
        <w:tc>
          <w:tcPr>
            <w:tcW w:w="16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123,659 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0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123,725 </w:t>
            </w:r>
          </w:p>
        </w:tc>
        <w:tc>
          <w:tcPr>
            <w:tcW w:w="1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13"/>
        <w:gridCol w:w="1242"/>
        <w:gridCol w:w="1246"/>
        <w:gridCol w:w="109"/>
        <w:gridCol w:w="109"/>
        <w:gridCol w:w="109"/>
        <w:gridCol w:w="226"/>
        <w:gridCol w:w="886"/>
        <w:gridCol w:w="116"/>
        <w:gridCol w:w="109"/>
        <w:gridCol w:w="109"/>
        <w:gridCol w:w="109"/>
        <w:gridCol w:w="341"/>
        <w:gridCol w:w="755"/>
        <w:gridCol w:w="178"/>
        <w:gridCol w:w="109"/>
        <w:gridCol w:w="109"/>
        <w:gridCol w:w="109"/>
        <w:gridCol w:w="376"/>
        <w:gridCol w:w="726"/>
        <w:gridCol w:w="196"/>
        <w:gridCol w:w="109"/>
        <w:gridCol w:w="109"/>
        <w:gridCol w:w="109"/>
        <w:gridCol w:w="211"/>
        <w:gridCol w:w="826"/>
        <w:gridCol w:w="159"/>
      </w:tblGrid>
      <w:tr>
        <w:trPr/>
        <w:tc>
          <w:tcPr>
            <w:tcW w:w="141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7" w:type="dxa"/>
            <w:gridSpan w:val="21"/>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As of </w:t>
            </w:r>
            <w:r>
              <w:rPr>
                <w:rFonts w:ascii="Times New Roman;serif" w:hAnsi="Times New Roman;serif"/>
                <w:b/>
                <w:color w:val="000000"/>
                <w:sz w:val="16"/>
                <w:shd w:fill="FFFFFF" w:val="clear"/>
              </w:rPr>
              <w:t>December 31, 2025</w:t>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 and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179,958 </w:t>
            </w:r>
          </w:p>
        </w:tc>
        <w:tc>
          <w:tcPr>
            <w:tcW w:w="1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7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180,452 </w:t>
            </w:r>
          </w:p>
        </w:tc>
        <w:tc>
          <w:tcPr>
            <w:tcW w:w="15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securities with a maturity of one year or 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191,733 </w:t>
            </w:r>
          </w:p>
        </w:tc>
        <w:tc>
          <w:tcPr>
            <w:tcW w:w="1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7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192,232 </w:t>
            </w:r>
          </w:p>
        </w:tc>
        <w:tc>
          <w:tcPr>
            <w:tcW w:w="15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 and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securities with a maturity of more than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12,919 </w:t>
            </w:r>
          </w:p>
        </w:tc>
        <w:tc>
          <w:tcPr>
            <w:tcW w:w="1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7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13,072 </w:t>
            </w:r>
          </w:p>
        </w:tc>
        <w:tc>
          <w:tcPr>
            <w:tcW w:w="15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204,652 </w:t>
            </w:r>
          </w:p>
        </w:tc>
        <w:tc>
          <w:tcPr>
            <w:tcW w:w="1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7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205,304 </w:t>
            </w:r>
          </w:p>
        </w:tc>
        <w:tc>
          <w:tcPr>
            <w:tcW w:w="15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6 marketable securities with a total fair market value of $33.7 million in an unrealized loss position. All of the Company's investments are classified as available-for-sale and are carried at fair value with unrealized gains and losses recorded as a component of accumulated other comprehensive income (loss). The Company considers all available-for-sale securities, including those with maturity dates beyond 12 months, as available to support current operational liquidity needs and therefore classifies all securities as available for sale.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believes that any unrealized losses associated with the decline in value of its securities are temporary and believes that it is more likely than not that it will be able to hold its debt securities to maturity and that there was no material change in the credit risk of the above instruments since January 1, 2026. Therefore, the Company anticipates a full recovery of the amortized cost basis of its debt securities at maturity and no allowance for credit losses was recognized.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As of June 30, 2026 and </w:t>
      </w:r>
      <w:r>
        <w:rPr>
          <w:rFonts w:ascii="Times New Roman;serif" w:hAnsi="Times New Roman;serif"/>
          <w:b w:val="false"/>
          <w:color w:val="000000"/>
          <w:sz w:val="20"/>
          <w:shd w:fill="FFFFFF" w:val="clear"/>
        </w:rPr>
        <w:t xml:space="preserve">December 31, 2025, </w:t>
      </w:r>
      <w:r>
        <w:rPr>
          <w:rFonts w:ascii="Times New Roman;serif" w:hAnsi="Times New Roman;serif"/>
          <w:b w:val="false"/>
          <w:color w:val="000000"/>
          <w:sz w:val="20"/>
        </w:rPr>
        <w:t>$0.9 million an</w:t>
      </w:r>
      <w:r>
        <w:rPr>
          <w:rFonts w:ascii="Times New Roman;serif" w:hAnsi="Times New Roman;serif"/>
          <w:b w:val="false"/>
          <w:color w:val="000000"/>
          <w:sz w:val="20"/>
          <w:shd w:fill="FFFFFF" w:val="clear"/>
        </w:rPr>
        <w:t xml:space="preserve">d </w:t>
      </w:r>
      <w:r>
        <w:rPr>
          <w:rFonts w:ascii="Times New Roman;serif" w:hAnsi="Times New Roman;serif"/>
          <w:b w:val="false"/>
          <w:color w:val="000000"/>
          <w:sz w:val="20"/>
        </w:rPr>
        <w:t>$1.4 million</w:t>
      </w:r>
      <w:r>
        <w:rPr>
          <w:rFonts w:ascii="Times New Roman;serif" w:hAnsi="Times New Roman;serif"/>
          <w:b w:val="false"/>
          <w:color w:val="000000"/>
          <w:sz w:val="20"/>
          <w:shd w:fill="FFFFFF" w:val="clear"/>
        </w:rPr>
        <w:t>, respectively, of accrued interest receivable was included in prepaid expenses and other current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51485"/>
                <wp:effectExtent l="0" t="0" r="0" b="0"/>
                <wp:wrapNone/>
                <wp:docPr id="14" name="Frame1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Company's fair value hierarchy for its assets that are measured at fair value on a recurring basis and indicate the level within the fair value hierarchy of the valuation techniques the Company utilized to determine such fair value (in thousands): </w:t>
      </w:r>
    </w:p>
    <w:tbl>
      <w:tblPr>
        <w:tblW w:w="9195" w:type="dxa"/>
        <w:jc w:val="left"/>
        <w:tblInd w:w="0" w:type="dxa"/>
        <w:tblLayout w:type="fixed"/>
        <w:tblCellMar>
          <w:top w:w="28" w:type="dxa"/>
          <w:left w:w="28" w:type="dxa"/>
          <w:bottom w:w="28" w:type="dxa"/>
          <w:right w:w="28" w:type="dxa"/>
        </w:tblCellMar>
      </w:tblPr>
      <w:tblGrid>
        <w:gridCol w:w="1491"/>
        <w:gridCol w:w="1306"/>
        <w:gridCol w:w="1313"/>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49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Fair Value Measurements at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Cash equivalents:</w:t>
            </w:r>
            <w:r>
              <w:rPr>
                <w:color w:val="000000"/>
              </w:rPr>
              <w:t xml:space="preserve"> </w:t>
            </w:r>
            <w:r>
              <w:rPr>
                <w:rFonts w:ascii="Times New Roman;serif" w:hAnsi="Times New Roman;serif"/>
                <w:b w:val="false"/>
                <w:color w:val="000000"/>
                <w:sz w:val="13"/>
              </w:rPr>
              <w:t>(1)</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U.S. government agency securities and treasuries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98,780 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123,725 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222,505 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149" w:type="dxa"/>
        <w:jc w:val="left"/>
        <w:tblInd w:w="0" w:type="dxa"/>
        <w:tblLayout w:type="fixed"/>
        <w:tblCellMar>
          <w:top w:w="28" w:type="dxa"/>
          <w:left w:w="28" w:type="dxa"/>
          <w:bottom w:w="28" w:type="dxa"/>
          <w:right w:w="28" w:type="dxa"/>
        </w:tblCellMar>
      </w:tblPr>
      <w:tblGrid>
        <w:gridCol w:w="1474"/>
        <w:gridCol w:w="1292"/>
        <w:gridCol w:w="1298"/>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47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Fair Value Measurements at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Cash equivalents:</w:t>
            </w:r>
            <w:r>
              <w:rPr>
                <w:color w:val="000000"/>
              </w:rPr>
              <w:t xml:space="preserve"> </w:t>
            </w:r>
            <w:r>
              <w:rPr>
                <w:rFonts w:ascii="Times New Roman;serif" w:hAnsi="Times New Roman;serif"/>
                <w:b w:val="false"/>
                <w:color w:val="000000"/>
                <w:sz w:val="13"/>
              </w:rPr>
              <w:t>(1)</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 and treasuries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89,894 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205,304 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295,198 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pPr>
      <w:r>
        <w:rPr>
          <w:rFonts w:ascii="Times New Roman;serif" w:hAnsi="Times New Roman;serif"/>
          <w:b w:val="false"/>
          <w:color w:val="000000"/>
          <w:sz w:val="16"/>
        </w:rPr>
        <w:t>(1)The cash equivalent amounts above do not include $0.5 million and $0.5 million of cash related to checking accounts included in cash and cash equivalents as of June 30, 2026 and December 31, 2025, respectively. These amounts are excluded as no valuation is needed for cash in checking accounts</w:t>
      </w:r>
      <w:r>
        <w:rPr>
          <w:rFonts w:ascii="Times New Roman;serif" w:hAnsi="Times New Roman;serif"/>
          <w:b w:val="false"/>
          <w:color w:val="000000"/>
          <w:sz w:val="20"/>
        </w:rPr>
        <w:t>.</w:t>
      </w:r>
    </w:p>
    <w:p>
      <w:pPr>
        <w:pStyle w:val="TextBody"/>
        <w:bidi w:val="0"/>
        <w:spacing w:lineRule="auto" w:line="288" w:before="240" w:after="283"/>
        <w:ind w:left="0" w:right="0" w:firstLine="720"/>
        <w:jc w:val="left"/>
        <w:rPr/>
      </w:pPr>
      <w:r>
        <w:rPr>
          <w:rFonts w:ascii="Times New Roman;serif" w:hAnsi="Times New Roman;serif"/>
          <w:b w:val="false"/>
          <w:color w:val="000000"/>
          <w:sz w:val="20"/>
        </w:rPr>
        <w:t>Money market funds are classified within Level 1 of the fair value hierarchy because they are valued using quoted market prices in active</w:t>
      </w:r>
      <w:r>
        <w:rPr>
          <w:color w:val="000000"/>
          <w:shd w:fill="FFFFFF" w:val="clear"/>
        </w:rPr>
        <w:t xml:space="preserve"> </w:t>
      </w:r>
      <w:r>
        <w:rPr>
          <w:rFonts w:ascii="Times New Roman;serif" w:hAnsi="Times New Roman;serif"/>
          <w:b w:val="false"/>
          <w:color w:val="000000"/>
          <w:sz w:val="20"/>
          <w:shd w:fill="FFFFFF" w:val="clear"/>
        </w:rPr>
        <w:t xml:space="preserve">markets. The Company measures its debt securities at fair value on a recurring basis using inputs that are observable or can be corroborated by observable market data and classifies those instruments within Level 2 of the fair value hierarchy.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Property and Equipment, Net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at June 30, 2026 and December 31, 2025 (in thousands):</w:t>
      </w:r>
    </w:p>
    <w:tbl>
      <w:tblPr>
        <w:tblW w:w="5192" w:type="dxa"/>
        <w:jc w:val="left"/>
        <w:tblInd w:w="0" w:type="dxa"/>
        <w:tblLayout w:type="fixed"/>
        <w:tblCellMar>
          <w:top w:w="28" w:type="dxa"/>
          <w:left w:w="28" w:type="dxa"/>
          <w:bottom w:w="28" w:type="dxa"/>
          <w:right w:w="28" w:type="dxa"/>
        </w:tblCellMar>
      </w:tblPr>
      <w:tblGrid>
        <w:gridCol w:w="972"/>
        <w:gridCol w:w="855"/>
        <w:gridCol w:w="858"/>
        <w:gridCol w:w="211"/>
        <w:gridCol w:w="721"/>
        <w:gridCol w:w="109"/>
        <w:gridCol w:w="109"/>
        <w:gridCol w:w="109"/>
        <w:gridCol w:w="109"/>
        <w:gridCol w:w="221"/>
        <w:gridCol w:w="757"/>
        <w:gridCol w:w="161"/>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13,584 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14,428 </w:t>
            </w:r>
          </w:p>
        </w:tc>
        <w:tc>
          <w:tcPr>
            <w:tcW w:w="16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16,403 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17,247 </w:t>
            </w:r>
          </w:p>
        </w:tc>
        <w:tc>
          <w:tcPr>
            <w:tcW w:w="16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(9,934)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5,722 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7,313 </w:t>
            </w:r>
          </w:p>
        </w:tc>
        <w:tc>
          <w:tcPr>
            <w:tcW w:w="16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expense for the three months ended June 30, 2026 and 2025 was $0.8 million and $1.1 million, respectively. Depreciation expense for the six months ended June 30, 2026 and 2025 was $1.6 million and $2.0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51485"/>
                <wp:effectExtent l="0" t="0" r="0" b="0"/>
                <wp:wrapNone/>
                <wp:docPr id="15" name="Frame1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Accrued Expenses and Other Current Liabilities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at June 30, 2026 and December 31, 2025 (in thousands):</w:t>
      </w:r>
    </w:p>
    <w:tbl>
      <w:tblPr>
        <w:tblW w:w="7246" w:type="dxa"/>
        <w:jc w:val="left"/>
        <w:tblInd w:w="0" w:type="dxa"/>
        <w:tblLayout w:type="fixed"/>
        <w:tblCellMar>
          <w:top w:w="28" w:type="dxa"/>
          <w:left w:w="28" w:type="dxa"/>
          <w:bottom w:w="28" w:type="dxa"/>
          <w:right w:w="28" w:type="dxa"/>
        </w:tblCellMar>
      </w:tblPr>
      <w:tblGrid>
        <w:gridCol w:w="1718"/>
        <w:gridCol w:w="1507"/>
        <w:gridCol w:w="1514"/>
        <w:gridCol w:w="211"/>
        <w:gridCol w:w="721"/>
        <w:gridCol w:w="109"/>
        <w:gridCol w:w="109"/>
        <w:gridCol w:w="109"/>
        <w:gridCol w:w="109"/>
        <w:gridCol w:w="221"/>
        <w:gridCol w:w="757"/>
        <w:gridCol w:w="161"/>
      </w:tblGrid>
      <w:tr>
        <w:trPr/>
        <w:tc>
          <w:tcPr>
            <w:tcW w:w="171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8,045 </w:t>
            </w:r>
          </w:p>
        </w:tc>
        <w:tc>
          <w:tcPr>
            <w:tcW w:w="16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research and development expenses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professional service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13,003 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17,682 </w:t>
            </w:r>
          </w:p>
        </w:tc>
        <w:tc>
          <w:tcPr>
            <w:tcW w:w="16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Common Stock and Preferred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Company's certificate of incorporation, as amended and restated, authorized the Company to issue 150,000,000 shares of common stock, par value $0.0001 per share.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both June 30, 2026 and December 31, 2025, there were pre-funded warrants outstanding to purchase 3,367,000 shares of common stock, with an exercise price of $0.0001 per share (the "Pre-Funded Warrants"). The Pre-Funded Warrants do not expire and are exercisable at any time, subject to certain ownership limitations. The Company classified the Pre-Funded Warrants as a component of permanent stockholders' equity within additional paid-in capital, and they were recorded at the issuance date at fair value.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2025, the Company entered into a sales agreement (the "Sales Agreement"), with TD Securities (USA) LLC (f/k/a Cowen and Company, LLC), acting as the Company's agent and/or principal (the "Sales Agent"), with respect to an "at the market offering" program under which the Company may, from time to time, at its sole discretion, issue and sell shares of its common stock having an aggregate offering price of up to $150.0 million through the Sales Agent. During the three months ended June 30, 2026, there have been no sales of common stock pursuant to the Sales Agreement.</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Shares Reserved for Future Issuance</w:t>
      </w:r>
    </w:p>
    <w:p>
      <w:pPr>
        <w:pStyle w:val="TextBody"/>
        <w:bidi w:val="0"/>
        <w:spacing w:lineRule="auto" w:line="26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reserved the following shares of common stock for future issuance as of:</w:t>
      </w:r>
    </w:p>
    <w:tbl>
      <w:tblPr>
        <w:tblW w:w="9228" w:type="dxa"/>
        <w:jc w:val="left"/>
        <w:tblInd w:w="0" w:type="dxa"/>
        <w:tblLayout w:type="fixed"/>
        <w:tblCellMar>
          <w:top w:w="28" w:type="dxa"/>
          <w:left w:w="28" w:type="dxa"/>
          <w:bottom w:w="28" w:type="dxa"/>
          <w:right w:w="28" w:type="dxa"/>
        </w:tblCellMar>
      </w:tblPr>
      <w:tblGrid>
        <w:gridCol w:w="2065"/>
        <w:gridCol w:w="1813"/>
        <w:gridCol w:w="1821"/>
        <w:gridCol w:w="109"/>
        <w:gridCol w:w="109"/>
        <w:gridCol w:w="109"/>
        <w:gridCol w:w="540"/>
        <w:gridCol w:w="541"/>
        <w:gridCol w:w="241"/>
        <w:gridCol w:w="109"/>
        <w:gridCol w:w="109"/>
        <w:gridCol w:w="109"/>
        <w:gridCol w:w="540"/>
        <w:gridCol w:w="541"/>
        <w:gridCol w:w="472"/>
      </w:tblGrid>
      <w:tr>
        <w:trPr/>
        <w:tc>
          <w:tcPr>
            <w:tcW w:w="2065"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outstanding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6,768,248 </w:t>
            </w:r>
          </w:p>
        </w:tc>
        <w:tc>
          <w:tcPr>
            <w:tcW w:w="24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5,960,989 </w:t>
            </w:r>
          </w:p>
        </w:tc>
        <w:tc>
          <w:tcPr>
            <w:tcW w:w="47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Vesting of outstanding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2,879,685 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2,284,277 </w:t>
            </w:r>
          </w:p>
        </w:tc>
        <w:tc>
          <w:tcPr>
            <w:tcW w:w="4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Vesting of outstanding performance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438,500 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Future awards under the 2021 Stock Option and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1,163,233 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1,383,679 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Future awards under the 2021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1,755,292 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1,429,601 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Future awards under the 2025 Inducement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541,730 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79,380 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authorized common stock reserved for future issuance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13,323,188 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11,576,426 </w:t>
            </w:r>
          </w:p>
        </w:tc>
        <w:tc>
          <w:tcPr>
            <w:tcW w:w="4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Preferred Stock</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 xml:space="preserve">June 30, 2026 and December 31, 2025, </w:t>
      </w:r>
      <w:r>
        <w:rPr>
          <w:rFonts w:ascii="Times New Roman;serif" w:hAnsi="Times New Roman;serif"/>
          <w:b w:val="false"/>
          <w:color w:val="000000"/>
          <w:sz w:val="20"/>
          <w:shd w:fill="FFFFFF" w:val="clear"/>
        </w:rPr>
        <w:t xml:space="preserve">the Company was authorized to issue 10,000,000 shares of undesignated preferred stock, par value </w:t>
      </w:r>
      <w:r>
        <w:rPr>
          <w:rFonts w:ascii="Times New Roman;serif" w:hAnsi="Times New Roman;serif"/>
          <w:b w:val="false"/>
          <w:color w:val="000000"/>
          <w:sz w:val="20"/>
        </w:rPr>
        <w:t>$0.0001</w:t>
      </w:r>
      <w:r>
        <w:rPr>
          <w:color w:val="000000"/>
          <w:shd w:fill="FFFFFF" w:val="clear"/>
        </w:rPr>
        <w:t xml:space="preserve"> </w:t>
      </w:r>
      <w:r>
        <w:rPr>
          <w:rFonts w:ascii="Times New Roman;serif" w:hAnsi="Times New Roman;serif"/>
          <w:b w:val="false"/>
          <w:color w:val="000000"/>
          <w:sz w:val="20"/>
          <w:shd w:fill="FFFFFF" w:val="clear"/>
        </w:rPr>
        <w:t xml:space="preserve">per share, </w:t>
      </w:r>
      <w:r>
        <w:rPr>
          <w:rFonts w:ascii="Times New Roman;serif" w:hAnsi="Times New Roman;serif"/>
          <w:b w:val="false"/>
          <w:color w:val="000000"/>
          <w:sz w:val="20"/>
        </w:rPr>
        <w:t xml:space="preserve">in one or more series and to fix the rights, preferences, privileges and restrictions thereof.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 and December 31, 2025, there were no shares of undesignated preferred stock issued or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51485"/>
                <wp:effectExtent l="0" t="0" r="0" b="0"/>
                <wp:wrapNone/>
                <wp:docPr id="16" name="Frame1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Stock-Based Compensation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recorded in the condensed consolidated statements of operations and comprehensive loss is as follows (in thousands):</w:t>
      </w:r>
    </w:p>
    <w:tbl>
      <w:tblPr>
        <w:tblW w:w="8027" w:type="dxa"/>
        <w:jc w:val="left"/>
        <w:tblInd w:w="0" w:type="dxa"/>
        <w:tblLayout w:type="fixed"/>
        <w:tblCellMar>
          <w:top w:w="28" w:type="dxa"/>
          <w:left w:w="28" w:type="dxa"/>
          <w:bottom w:w="28" w:type="dxa"/>
          <w:right w:w="28" w:type="dxa"/>
        </w:tblCellMar>
      </w:tblPr>
      <w:tblGrid>
        <w:gridCol w:w="1120"/>
        <w:gridCol w:w="982"/>
        <w:gridCol w:w="987"/>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721"/>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21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1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1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5,150 </w:t>
            </w:r>
          </w:p>
        </w:tc>
        <w:tc>
          <w:tcPr>
            <w:tcW w:w="11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5,048 </w:t>
            </w:r>
          </w:p>
        </w:tc>
        <w:tc>
          <w:tcPr>
            <w:tcW w:w="11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9,894 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10,135 </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 Option Valuation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on a weighted-average basis, the assumptions used in the Black-Scholes option-pricing model to determine the fair value of stock options granted during the six months ended June 30, 2026 and 2025:</w:t>
      </w:r>
    </w:p>
    <w:tbl>
      <w:tblPr>
        <w:tblW w:w="4330" w:type="dxa"/>
        <w:jc w:val="left"/>
        <w:tblInd w:w="0" w:type="dxa"/>
        <w:tblLayout w:type="fixed"/>
        <w:tblCellMar>
          <w:top w:w="28" w:type="dxa"/>
          <w:left w:w="28" w:type="dxa"/>
          <w:bottom w:w="28" w:type="dxa"/>
          <w:right w:w="28" w:type="dxa"/>
        </w:tblCellMar>
      </w:tblPr>
      <w:tblGrid>
        <w:gridCol w:w="771"/>
        <w:gridCol w:w="677"/>
        <w:gridCol w:w="681"/>
        <w:gridCol w:w="255"/>
        <w:gridCol w:w="256"/>
        <w:gridCol w:w="399"/>
        <w:gridCol w:w="109"/>
        <w:gridCol w:w="109"/>
        <w:gridCol w:w="109"/>
        <w:gridCol w:w="255"/>
        <w:gridCol w:w="256"/>
        <w:gridCol w:w="453"/>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w:t>
              <w:noBreakHyphen/>
              <w:t>free interest rate</w:t>
            </w:r>
          </w:p>
        </w:tc>
        <w:tc>
          <w:tcPr>
            <w:tcW w:w="51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39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45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9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option activity during the six months ended June 30, 2026:</w:t>
      </w:r>
    </w:p>
    <w:tbl>
      <w:tblPr>
        <w:tblW w:w="5745" w:type="dxa"/>
        <w:jc w:val="left"/>
        <w:tblInd w:w="0" w:type="dxa"/>
        <w:tblLayout w:type="fixed"/>
        <w:tblCellMar>
          <w:top w:w="28" w:type="dxa"/>
          <w:left w:w="28" w:type="dxa"/>
          <w:bottom w:w="28" w:type="dxa"/>
          <w:right w:w="28" w:type="dxa"/>
        </w:tblCellMar>
      </w:tblPr>
      <w:tblGrid>
        <w:gridCol w:w="1147"/>
        <w:gridCol w:w="1008"/>
        <w:gridCol w:w="1010"/>
        <w:gridCol w:w="488"/>
        <w:gridCol w:w="488"/>
        <w:gridCol w:w="296"/>
        <w:gridCol w:w="109"/>
        <w:gridCol w:w="109"/>
        <w:gridCol w:w="109"/>
        <w:gridCol w:w="211"/>
        <w:gridCol w:w="616"/>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noBreakHyphen/>
              <w:br/>
              <w:t>Average</w:t>
              <w:br/>
              <w:t>Exercise</w:t>
              <w:br/>
              <w:t>Price</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5,960,989 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883,600 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(27,027)</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(49,314)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9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6,768,248 </w:t>
            </w:r>
          </w:p>
        </w:tc>
        <w:tc>
          <w:tcPr>
            <w:tcW w:w="29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97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4,932,674 </w:t>
            </w:r>
          </w:p>
        </w:tc>
        <w:tc>
          <w:tcPr>
            <w:tcW w:w="2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of stock options granted during the six months ended June 30, 2026 and 2025 was $8.18 per share and $7.90 per share, respectively. As of June 30, 2026, there was $14.2 million of unrecognized compensation cost related to unvested stock options, which is expected to be recognized over a weighted-average period of 2.8 years.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restricted stock units ("RSUs") were granted to employees with vesting conditions based on continued service over time. Accordingly, stock-based compensation expense for such awards is recognized using a straight-line attribution model over the vesting term of each RSU. The fair value of each RSU is based on the closing price of the Company's common stock on the date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51485"/>
                <wp:effectExtent l="0" t="0" r="0" b="0"/>
                <wp:wrapNone/>
                <wp:docPr id="17" name="Frame1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pPr>
      <w:r>
        <w:rPr>
          <w:rFonts w:ascii="Times New Roman;serif" w:hAnsi="Times New Roman;serif"/>
          <w:b w:val="false"/>
          <w:color w:val="000000"/>
          <w:sz w:val="20"/>
        </w:rPr>
        <w:t>A summary of restricted stock activity during the six months ended June 30, 2026 is as follows</w:t>
      </w:r>
      <w:r>
        <w:rPr>
          <w:rFonts w:ascii="Times New Roman;serif" w:hAnsi="Times New Roman;serif"/>
          <w:b w:val="false"/>
          <w:color w:val="000000"/>
          <w:sz w:val="20"/>
          <w:shd w:fill="FFFFFF" w:val="clear"/>
        </w:rPr>
        <w:t>:</w:t>
      </w:r>
    </w:p>
    <w:tbl>
      <w:tblPr>
        <w:tblW w:w="5430" w:type="dxa"/>
        <w:jc w:val="left"/>
        <w:tblInd w:w="0" w:type="dxa"/>
        <w:tblLayout w:type="fixed"/>
        <w:tblCellMar>
          <w:top w:w="28" w:type="dxa"/>
          <w:left w:w="28" w:type="dxa"/>
          <w:bottom w:w="28" w:type="dxa"/>
          <w:right w:w="28" w:type="dxa"/>
        </w:tblCellMar>
      </w:tblPr>
      <w:tblGrid>
        <w:gridCol w:w="1060"/>
        <w:gridCol w:w="931"/>
        <w:gridCol w:w="934"/>
        <w:gridCol w:w="488"/>
        <w:gridCol w:w="488"/>
        <w:gridCol w:w="196"/>
        <w:gridCol w:w="109"/>
        <w:gridCol w:w="109"/>
        <w:gridCol w:w="109"/>
        <w:gridCol w:w="216"/>
        <w:gridCol w:w="631"/>
        <w:gridCol w:w="159"/>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noBreakHyphen/>
              <w:br/>
              <w:t>Average</w:t>
              <w:br/>
              <w:t>Grant</w:t>
              <w:noBreakHyphen/>
              <w:t>Date</w:t>
              <w:br/>
              <w:t>Fair Value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2025</w:t>
            </w:r>
          </w:p>
        </w:tc>
        <w:tc>
          <w:tcPr>
            <w:tcW w:w="9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2,284,277 </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5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1,229,730 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(568,270)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Unvested as of June 30, 2026</w:t>
            </w:r>
          </w:p>
        </w:tc>
        <w:tc>
          <w:tcPr>
            <w:tcW w:w="976"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2,879,685 </w:t>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$29.6 million of unrecognized stock-based compensation expense related to restricted stock that is expected to vest. These costs are expected to be recognized over a weighted-average remaining vesting period of 2.7 years.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there were 215,000 and 438,500 performance stock units ("PSUs") outstanding, respectively. The PSUs will vest upon achievement of certain clinical milestones and continued employment thereafter.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no PSUs have vested and no stock-based compensation expense has been recognized as the performance condition was not deemed probable. As of June 30, 2026, there was $3.2 million of unrecognized stock-based compensation expense related to unvested PSUs.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recognizes deferred tax assets and liabilities for the expected future tax consequences of temporary differences between the financial reporting and tax bases of assets and liabilities. These differences are measured using the enacted statutory tax rates that are expected to be in effect for the years in which differences are expected to reverse. A valuation allowance is recorded against deferred tax assets if it is more likely than not that some or all of the deferred tax assets will not be realized. The Company continues to maintain a full valuation allowance against all of its deferred tax assets based on its evaluation of all available evidence.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 xml:space="preserve">There were no significant income tax provisions or benefits recorded for the three and six 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Commitments and Contingencies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The Company's commitments, including significant license agreements, are disclosed in Note 10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in the audited financial statements for the year ended December 31, 2025, and notes thereto, included in the Annual Report. Since the date of those financial statements, there have been no material changes to its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Collaboration and License Agreements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Vertex Agreement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 xml:space="preserve">he Company and Vertex closed their Strategic Collaboration and License Agreement in February 2023, as amended in October 2023 (the "Vertex Agreement"), pursuant to which the Company granted Vertex an exclusive worldwide license to research, develop, manufacture and commercialize VX-670, the Company's intracellular EEV-based therapeutic candidate for the treatment of myotonic dystrophy type 1 ("DM1"), as well as any additional EEV-based therapeutic candidates that may be identified by the Company for the potential treatment of DM1 in the course of the parties' global research collaboration.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Vertex Agreement provides for a four-year global research collaboration under which Entrada will continue to perform preclinical development of the Company's partnered candidate VX-670, as well as work on additional EEV-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51485"/>
                <wp:effectExtent l="0" t="0" r="0" b="0"/>
                <wp:wrapNone/>
                <wp:docPr id="18" name="Frame1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20"/>
          <w:shd w:fill="FFFFFF" w:val="clear"/>
        </w:rPr>
        <w:t>based therapeutic candidates f</w:t>
      </w:r>
      <w:r>
        <w:rPr>
          <w:rFonts w:ascii="Times New Roman;serif" w:hAnsi="Times New Roman;serif"/>
          <w:b w:val="false"/>
          <w:color w:val="000000"/>
          <w:sz w:val="20"/>
        </w:rPr>
        <w:t>or the potential treatment of DM1 (the "Research Plan").</w:t>
      </w:r>
      <w:r>
        <w:rPr>
          <w:color w:val="000000"/>
          <w:shd w:fill="FFFFFF" w:val="clear"/>
        </w:rPr>
        <w:t xml:space="preserve"> </w:t>
      </w:r>
      <w:r>
        <w:rPr>
          <w:rFonts w:ascii="Times New Roman;serif" w:hAnsi="Times New Roman;serif"/>
          <w:b w:val="false"/>
          <w:color w:val="000000"/>
          <w:sz w:val="20"/>
          <w:shd w:fill="FFFFFF" w:val="clear"/>
        </w:rPr>
        <w:t xml:space="preserve">Vertex is obligated to reimburse the Company's research expenses incurred in performing activities under the Research Plan.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 xml:space="preserve">The Company determined that the Vertex Agreement contains two performance obligations: (1) the combination of the exclusive license and the performance of the research activities for VX-670 ("Performance Obligation One") and (2) research activities performed on additional EEV-based therapeutic candidates for the potential treatment of DM1 ("Performance Obligation Two"). </w:t>
      </w:r>
      <w:r>
        <w:rPr>
          <w:rFonts w:ascii="Times New Roman;serif" w:hAnsi="Times New Roman;serif"/>
          <w:b w:val="false"/>
          <w:color w:val="000000"/>
          <w:sz w:val="20"/>
        </w:rPr>
        <w:t>As of June 30, 2026, Performance Obligation One is complete and the Company continues to perform research activities for Performance Obligation Two.</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0"/>
        </w:rPr>
        <w:t>During the three months ended June 30, 2026, the Company recognized $0.9 million in revenue under the Vertex Agreement, including $0.8 million of cost reimbursements and $0.1 million from amounts that were recorded in deferred revenue as of December 31, 2025. During the six months ended June 30, 2026, the Company recognized $1.8 million in revenue under the Vertex Agreement, including $1.6 million of cost reimbursements and $0.2 million</w:t>
      </w:r>
      <w:r>
        <w:rPr>
          <w:color w:val="000000"/>
        </w:rPr>
        <w:t xml:space="preserve"> </w:t>
      </w:r>
      <w:r>
        <w:rPr>
          <w:rFonts w:ascii="Times New Roman;serif" w:hAnsi="Times New Roman;serif"/>
          <w:b w:val="false"/>
          <w:color w:val="000000"/>
          <w:sz w:val="20"/>
        </w:rPr>
        <w:t>from amounts that were recorded in deferred revenue as of December 31,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the Company recognized $2.0 million of revenue under the Vertex Agreement, including $1.2 million of cost reimbursements and $0.8 million from amounts recorded in deferred revenue as of December 31, 2024. During the six months ended June 30, 2025, the Company recognized $22.5 million of revenue under the Vertex Agreement, including $2.8 million of cost reimbursements and $19.7 million from amounts recorded in deferred revenue as of December 31,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aggregate amount of the transaction price allocated to the Company's unsatisfied performance obligation recorded in deferred revenue at June 30, 2026 is $0.2 million. The Company will recognize the deferred revenue related to the research and development services based on a cost input method, over the remaining term of the Research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Net Loss per Share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computation of basic net loss per share is based on the weighted-average number of the Company's common shares outstanding. The weighted-average common shares outstanding used in the basic and diluted net loss per share calculation includes the outstanding Pre-Funded Warrants as they are exercisable for nominal cash consideration.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computation of diluted net loss per share is based on the weighted-average number of the Company's common shares outstanding and potential dilutive common shares outstanding during the period as determined by using the treasury stock method.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illustrates the determination of basic and diluted net loss per share for each period presented (in thousands, except share and per share amounts): </w:t>
      </w:r>
    </w:p>
    <w:tbl>
      <w:tblPr>
        <w:tblW w:w="10205" w:type="dxa"/>
        <w:jc w:val="left"/>
        <w:tblInd w:w="0" w:type="dxa"/>
        <w:tblLayout w:type="fixed"/>
        <w:tblCellMar>
          <w:top w:w="28" w:type="dxa"/>
          <w:left w:w="28" w:type="dxa"/>
          <w:bottom w:w="28" w:type="dxa"/>
          <w:right w:w="28" w:type="dxa"/>
        </w:tblCellMar>
      </w:tblPr>
      <w:tblGrid>
        <w:gridCol w:w="1593"/>
        <w:gridCol w:w="1403"/>
        <w:gridCol w:w="1422"/>
        <w:gridCol w:w="240"/>
        <w:gridCol w:w="841"/>
        <w:gridCol w:w="109"/>
        <w:gridCol w:w="109"/>
        <w:gridCol w:w="109"/>
        <w:gridCol w:w="109"/>
        <w:gridCol w:w="240"/>
        <w:gridCol w:w="841"/>
        <w:gridCol w:w="109"/>
        <w:gridCol w:w="109"/>
        <w:gridCol w:w="109"/>
        <w:gridCol w:w="109"/>
        <w:gridCol w:w="240"/>
        <w:gridCol w:w="841"/>
        <w:gridCol w:w="109"/>
        <w:gridCol w:w="109"/>
        <w:gridCol w:w="109"/>
        <w:gridCol w:w="109"/>
        <w:gridCol w:w="240"/>
        <w:gridCol w:w="841"/>
        <w:gridCol w:w="155"/>
      </w:tblGrid>
      <w:tr>
        <w:trPr/>
        <w:tc>
          <w:tcPr>
            <w:tcW w:w="159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Weighted</w:t>
              <w:noBreakHyphen/>
              <w:t>average common shares outstanding, basic and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42,221,665 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41,338,752 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42,030,035 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41,206,974 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51485"/>
                <wp:effectExtent l="0" t="0" r="0" b="0"/>
                <wp:wrapNone/>
                <wp:docPr id="19" name="Frame1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tbl>
      <w:tblPr>
        <w:tblW w:w="10149" w:type="dxa"/>
        <w:jc w:val="left"/>
        <w:tblInd w:w="0" w:type="dxa"/>
        <w:tblLayout w:type="fixed"/>
        <w:tblCellMar>
          <w:top w:w="28" w:type="dxa"/>
          <w:left w:w="28" w:type="dxa"/>
          <w:bottom w:w="28" w:type="dxa"/>
          <w:right w:w="28" w:type="dxa"/>
        </w:tblCellMar>
      </w:tblPr>
      <w:tblGrid>
        <w:gridCol w:w="1250"/>
        <w:gridCol w:w="1098"/>
        <w:gridCol w:w="1102"/>
        <w:gridCol w:w="678"/>
        <w:gridCol w:w="298"/>
        <w:gridCol w:w="251"/>
        <w:gridCol w:w="251"/>
        <w:gridCol w:w="251"/>
        <w:gridCol w:w="251"/>
        <w:gridCol w:w="678"/>
        <w:gridCol w:w="298"/>
        <w:gridCol w:w="251"/>
        <w:gridCol w:w="109"/>
        <w:gridCol w:w="109"/>
        <w:gridCol w:w="109"/>
        <w:gridCol w:w="612"/>
        <w:gridCol w:w="364"/>
        <w:gridCol w:w="224"/>
        <w:gridCol w:w="224"/>
        <w:gridCol w:w="224"/>
        <w:gridCol w:w="224"/>
        <w:gridCol w:w="612"/>
        <w:gridCol w:w="364"/>
        <w:gridCol w:w="317"/>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9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2,879,685 </w:t>
            </w:r>
          </w:p>
        </w:tc>
        <w:tc>
          <w:tcPr>
            <w:tcW w:w="25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2,484,038 </w:t>
            </w:r>
          </w:p>
        </w:tc>
        <w:tc>
          <w:tcPr>
            <w:tcW w:w="25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2,879,685 </w:t>
            </w:r>
          </w:p>
        </w:tc>
        <w:tc>
          <w:tcPr>
            <w:tcW w:w="22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2,484,038 </w:t>
            </w:r>
          </w:p>
        </w:tc>
        <w:tc>
          <w:tcPr>
            <w:tcW w:w="31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Unvested performance stock units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438,500 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215,000 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438,500 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to purchase common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6,768,248 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6,008,644 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6,768,248 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6,008,644 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9,862,933 </w:t>
            </w:r>
          </w:p>
        </w:tc>
        <w:tc>
          <w:tcPr>
            <w:tcW w:w="25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8,931,182 </w:t>
            </w:r>
          </w:p>
        </w:tc>
        <w:tc>
          <w:tcPr>
            <w:tcW w:w="25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9,862,933 </w:t>
            </w:r>
          </w:p>
        </w:tc>
        <w:tc>
          <w:tcPr>
            <w:tcW w:w="22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8,931,182 </w:t>
            </w:r>
          </w:p>
        </w:tc>
        <w:tc>
          <w:tcPr>
            <w:tcW w:w="31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manages its operations as a single segment. The Company's Chief Operating Decision Maker ("CODM"), its Chief Executive Officer, manages the Company's operations on a consolidated basis for the purposes of assessing performance and making operating decisions. The segment measure of profit or loss is consolidated net (loss) income.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with respect to the Company's single operating segment for each period presented:</w:t>
      </w:r>
    </w:p>
    <w:p>
      <w:pPr>
        <w:pStyle w:val="TextBody"/>
        <w:bidi w:val="0"/>
        <w:spacing w:before="0" w:after="0"/>
        <w:ind w:left="0" w:right="0" w:firstLine="720"/>
        <w:jc w:val="left"/>
        <w:rPr/>
      </w:pPr>
      <w:r>
        <w:rPr/>
      </w:r>
    </w:p>
    <w:tbl>
      <w:tblPr>
        <w:tblW w:w="10155" w:type="dxa"/>
        <w:jc w:val="left"/>
        <w:tblInd w:w="0" w:type="dxa"/>
        <w:tblLayout w:type="fixed"/>
        <w:tblCellMar>
          <w:top w:w="28" w:type="dxa"/>
          <w:left w:w="28" w:type="dxa"/>
          <w:bottom w:w="28" w:type="dxa"/>
          <w:right w:w="28" w:type="dxa"/>
        </w:tblCellMar>
      </w:tblPr>
      <w:tblGrid>
        <w:gridCol w:w="1691"/>
        <w:gridCol w:w="1483"/>
        <w:gridCol w:w="1491"/>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691"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22,508 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research and development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ENTR-601-44</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ENTR-601-45</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ENTR-601-50</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ENTR-601-51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DMD franchise-wide</w:t>
            </w:r>
            <w:r>
              <w:rPr>
                <w:rFonts w:ascii="Times New Roman;serif" w:hAnsi="Times New Roman;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services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Ocular programs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preclinical and discovery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research and development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related (including 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related and 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69,951 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(loss) income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(42,763)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(43,103)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(82,480)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(60,452)</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(1)Represents manufacturing and clinical costs that support across the Company's product candidates targeting DMD.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Assets regularly provided to the CODM are consistent with those reported on the condensed consolidated balance sheets with particular emphasis on the Company's available liquidity, including its cash, cash equivalents and marketable securities balances. All of the Company's tangible assets are held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51485"/>
                <wp:effectExtent l="0" t="0" r="0" b="0"/>
                <wp:wrapNone/>
                <wp:docPr id="20" name="Frame2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15. Subsequent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considers events or transactions that occur after the balance sheet date but prior to the issuance of the condensed consolidated financial statements to provide additional evidence for certain estimates or to identify matters that require additional disclosure. The Company has concluded that no subsequent events have occurred that require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51485"/>
                <wp:effectExtent l="0" t="0" r="0" b="0"/>
                <wp:wrapNone/>
                <wp:docPr id="21" name="Frame2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720"/>
        <w:jc w:val="left"/>
        <w:rPr/>
      </w:pPr>
      <w:r>
        <w:rPr>
          <w:rFonts w:ascii="Times New Roman;serif" w:hAnsi="Times New Roman;serif"/>
          <w:b w:val="false"/>
          <w:i/>
          <w:color w:val="000000"/>
          <w:sz w:val="20"/>
        </w:rPr>
        <w:t>You should read the following discussion and analysis of our financial condition and results of operations together with the condensed consolidated financial statements and related notes appearing elsewhere in this Quarterly Report on Form 10-Q ("Quarterly Report") and the audited financial information and the notes thereto included in the Company's Annual Report on Form 10-K, which was filed with the Securities and Exchange Commission (the "SEC") on February 26, 2026 ("Annual Report").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"Cautionary Note Regarding Forward-Looking Statements"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"Risk Factors" section of this Quarterly Report, our actual results could differ materially from the results described in, or implied by, the forward-looking statements contained in the following discussion and analysis. You should carefully read the "Cautionary Note Regarding Forward-Looking Statements"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"Risk Factors" sections of this Quarterly Report to gain an understanding of the important factors that could cause actual results to differ materially from our forward-looking statements contained in the following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 xml:space="preserve">We are a clinical-stage biopharmaceutical company </w:t>
      </w:r>
      <w:r>
        <w:rPr>
          <w:rFonts w:ascii="Times New Roman;serif" w:hAnsi="Times New Roman;serif"/>
          <w:b w:val="false"/>
          <w:color w:val="000000"/>
          <w:sz w:val="20"/>
        </w:rPr>
        <w:t>aiming to transform the lives of patients by e</w:t>
      </w:r>
      <w:r>
        <w:rPr>
          <w:rFonts w:ascii="Times New Roman;serif" w:hAnsi="Times New Roman;serif"/>
          <w:b w:val="false"/>
          <w:color w:val="000000"/>
          <w:sz w:val="20"/>
          <w:shd w:fill="FFFFFF" w:val="clear"/>
        </w:rPr>
        <w:t>stablishing a new class of medicines that engage intracellular targets that have long been considered inaccessible</w:t>
      </w:r>
      <w:r>
        <w:rPr>
          <w:rFonts w:ascii="Times New Roman;serif" w:hAnsi="Times New Roman;serif"/>
          <w:b w:val="false"/>
          <w:color w:val="000000"/>
          <w:sz w:val="20"/>
        </w:rPr>
        <w:t>. Through proprietary, versatile and modular approaches, we are advancing a robust development portfolio of genetic medicines for the potential treatment of neuromuscular and inherited retinal diseases, among others. In 2026, we have been actively progressing our ELEVATE-44 and ELEVATE-45 clinical trials. In addition, our VX-670 partnership with Vertex Pharmaceuticals Incorporated ("Vertex") continues to progress, with Vertex on track to share results during the second half of this year. In addition to the ELEVATE-44-201 Cohort 1 results included in this Quarterly Report, we anticipate reporting additional ELEVATE-44-201 Cohort 1 open-label data by the end of 2026 and topline results from the second cohort of our ELEVATE-44-201 trial in the first quarter of 2027. We expect to report our Cohort 1 ELEVATE-45-201 multiple ascending dose ("MAD") data in October 2026. As of June 30, 2026, we had cash, cash equivalents and marketable securities of $223.0 million. Based on our current operating plans, we believe that our cash, cash equivalents and marketable securities as of June 30, 2026 will be sufficient to fund our operations into the third quarter of 2027.</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Clinical-Stage Development Pipeline: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Entrada continues to advance multiple clinical programs in people living with Duchenne muscular dystrophy ("DMD") in the United Kingdom ("UK"), European Union ("EU") and United States ("U.S.")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0"/>
        </w:rPr>
        <w:t xml:space="preserve">In 2026, we have four clinical-stage programs in our DMD franchise (ENTR-601-44, ENTR-601-45, ENTR-601-50 and ENTR-601-51, which has completed IND-enabling studies but has not yet filed a regulatory application). When combined, we estimate that there are over 11,500 patients in the U.S. and Europe that carry mutations amenable to Entrada's current exon skipping programs. Complementing the ongoing clinical progress of the DMD franchise is the myotonic dystrophy type 1 ("DM1") partnership with Vertex ("VX-670"). Each of these programs utilize the same endosomal escape vehicle, and as such, we anticipate initial data readouts from any one of the candidate clinical trials to provide critical insights for the rest.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 xml:space="preserve">ELEVATE-44-201: </w:t>
      </w:r>
      <w:r>
        <w:rPr>
          <w:rFonts w:ascii="Times New Roman;serif" w:hAnsi="Times New Roman;serif"/>
          <w:b w:val="false"/>
          <w:color w:val="000000"/>
          <w:sz w:val="20"/>
        </w:rPr>
        <w:t>The Company completed Cohort 1 (dosing at 6 mg/kg) of the global Phase 1/2 MAD portion of the clinical study of ENTR-601-44 in ambulatory patients living with DMD who are amenable to exon 44 skipping. Previously announced data from Cohort 1 achieved the primary objective of favorable safety and tolerability, while also demonstrating (</w:t>
      </w:r>
      <w:r>
        <w:rPr>
          <w:rFonts w:ascii="Times New Roman;serif" w:hAnsi="Times New Roman;serif"/>
          <w:b w:val="false"/>
          <w:i/>
          <w:color w:val="000000"/>
          <w:sz w:val="20"/>
        </w:rPr>
        <w:t>post hoc</w:t>
      </w:r>
      <w:r>
        <w:rPr>
          <w:color w:val="000000"/>
        </w:rPr>
        <w:t xml:space="preserve"> </w:t>
      </w:r>
      <w:r>
        <w:rPr>
          <w:rFonts w:ascii="Times New Roman;serif" w:hAnsi="Times New Roman;serif"/>
          <w:b w:val="false"/>
          <w:color w:val="000000"/>
          <w:sz w:val="20"/>
        </w:rPr>
        <w:t>analysis) significant improvements in functional benefit as measured by change in Time to Rise ("TTR") and Time to Rise velocity ("TTRV") from baseline, versus placebo. All eight of the previously-treated and placebo patients have now transitioned to the 6-dose open-label period of the study, which is on track to report data by the end of 2026. A continuation of safety and functional benefit in this portion of the study would strengthen the competitive profile of the program. Enrollment is complete for Cohort 2 of the global Phase 1/2 MAD portion of the study at the increased dose of 12 mg/kg, and we expect to report topline results including safety, exon skipping, dystrophin and functional readouts in the first quarter of 2027. Data from Cohort 3 (up to 18 mg/kg) will follow, if needed. Based on a combination of non-clinical data, healthy volunteer data and Cohort 1 patient data, we anticipate seeing an increase in dystrophin as we increase dosing amounts in the second and third cohorts. We also intend to open an expansion cohort to increase the number of participants treated in the ELEVATE-44-201 study, as this study has been designed to support an accelerated approval in the U.S. Separately, the U.S. Food and Drug Administration ("FDA") granted Rare Pediatric Disease Designation to ENTR-601-44.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51485"/>
                <wp:effectExtent l="0" t="0" r="0" b="0"/>
                <wp:wrapNone/>
                <wp:docPr id="22" name="Frame2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firstLine="720"/>
        <w:jc w:val="left"/>
        <w:rPr/>
      </w:pPr>
      <w:r>
        <w:rPr>
          <w:rFonts w:ascii="Times New Roman;serif" w:hAnsi="Times New Roman;serif"/>
          <w:b/>
          <w:color w:val="000000"/>
          <w:sz w:val="20"/>
        </w:rPr>
        <w:t xml:space="preserve">ELEVATE-44-102: </w:t>
      </w:r>
      <w:r>
        <w:rPr>
          <w:rFonts w:ascii="Times New Roman;serif" w:hAnsi="Times New Roman;serif"/>
          <w:b w:val="false"/>
          <w:color w:val="000000"/>
          <w:sz w:val="20"/>
        </w:rPr>
        <w:t>The Company believes this clinical trial, in the underserved adult patient population, would be best to initiate at the highest advisable starting dose in patients with advanced disease. Following a review of safety, pharmacokinetic and pharmacodynamic data from Cohort 1 of the ELEVATE-44-201 study in the U.K and EU, we plan to re-engage with the FDA to discuss increasing the planned starting dose in this clinical study. The Company will provide an update on clinical study design and timing following interactions with the FDA.</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 xml:space="preserve">ELEVATE-45-201: </w:t>
      </w:r>
      <w:r>
        <w:rPr>
          <w:rFonts w:ascii="Times New Roman;serif" w:hAnsi="Times New Roman;serif"/>
          <w:b w:val="false"/>
          <w:color w:val="000000"/>
          <w:sz w:val="20"/>
        </w:rPr>
        <w:t>The Company has completed enrollment and dosing of Cohort 1 of the global Phase 1/2 MAD portion of the clinical study of ENTR-601-45 in ambulatory patients living with DMD who are amenable to exon 45 skipping. The Company expects to report data from Cohort 1 (5 mg/kg) in October 2026. All participants from Cohort 1 have transitioned into the open-label, Phase 2 portion of the study. Cohort 2 is dosing at 10 mg/kg and is ongoing. Data from Cohort 2 is expected in the first half of 2027, and data from Cohort 3 (up to 15 mg/kg) will follow, if needed. The proposed ELEVATE-45-201 clinical trial design and dosing regimen is similar to ELEVATE-44-201, incorporating a MAD Phase 1 portion, a 6 dose open-label Phase 2 portion and an expansion cohort. We expect ENTR-601-45 to be both best in class and to be the first PMO-conjugate to generate clinically meaningful data in a population where only low single digit competitive dystrophin production has been observed to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 xml:space="preserve">ELEVATE-LTE: </w:t>
      </w:r>
      <w:r>
        <w:rPr>
          <w:rFonts w:ascii="Times New Roman;serif" w:hAnsi="Times New Roman;serif"/>
          <w:b w:val="false"/>
          <w:color w:val="000000"/>
          <w:sz w:val="20"/>
        </w:rPr>
        <w:t>A Long Term Extension (LTE) platform study protocol (ENTR-DMD-202) was accepted by U.K. and European authorities. This is a phase 2, open-label long-term extension study in participants with Duchenne muscular dystrophy amenable to exon skipping to assess the long-term safety, tolerability, pharmacokinetics, and efficacy of endosomal escape vehicle phosphorodiamidate morpholino oligomer platform products which will enable continued access to drug for study participants while collecting longer-term safety and efficacy data, including functional measures.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ELEVATE-50-201 and ENTR-601-51</w:t>
      </w:r>
      <w:r>
        <w:rPr>
          <w:rFonts w:ascii="Times New Roman;serif" w:hAnsi="Times New Roman;serif"/>
          <w:b w:val="false"/>
          <w:color w:val="000000"/>
          <w:sz w:val="20"/>
        </w:rPr>
        <w:t xml:space="preserve">: We expect to submit additional regulatory applications following a review of data from the ongoing trials of our lead programs. We are evaluating a variety of options to optimize clinical study execution, and we expect to provide more specific timeline guidance as the new strategy is finalized.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rPr>
        <w:t xml:space="preserve">VX-670: </w:t>
      </w:r>
      <w:r>
        <w:rPr>
          <w:rFonts w:ascii="Times New Roman;serif" w:hAnsi="Times New Roman;serif"/>
          <w:b w:val="false"/>
          <w:color w:val="000000"/>
          <w:sz w:val="20"/>
        </w:rPr>
        <w:t>Vertex has completed enrollment and continues dosing in the MAD portion of the GALILEO global Phase 1/2 clinical trial of VX-670 in people with DM1. The study is assessing safety and preliminary efficacy, including change from baseline in the splicing index and other endpoints evaluating muscle function and strength. Vertex is on track to complete dosing and report results in the second half of 2026.</w:t>
      </w:r>
    </w:p>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erif" w:hAnsi="Times New Roman;serif"/>
          <w:b/>
          <w:color w:val="000000"/>
          <w:sz w:val="20"/>
        </w:rPr>
        <w:t>Expanding Preclinical Pipeline:</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advanced two ocular programs into lead optimization for the potential treatment of inherited retinal diseases. Both programs are novel oligonucleotide-based therapeutics with the potential to address areas of high unmet need. In December 2025, Entrada announced its first ocular clinical candidate, ENTR-801, for the potential treatment of Usher syndrome type 2A ("USH2A"). The Company plans to announce a second clinical candidate in ocular diseases in the second half of 2026 and continues to explore novel targets to address both rare and more common retinal conditions. From a strategic point of view, progress in a new therapeutic area enables portfolio diversification in the form of tissue type, route of administration and regulatory pathway. At the same time, however, as in our neuromuscular franchise, initial targets are selected based on well-understood biology, significant unmet need, translational clarity and the potential to differentiate based on our proprietary technologies and capabilities.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 xml:space="preserve">ENTR-801: </w:t>
      </w:r>
      <w:r>
        <w:rPr>
          <w:rFonts w:ascii="Times New Roman;serif" w:hAnsi="Times New Roman;serif"/>
          <w:b w:val="false"/>
          <w:color w:val="000000"/>
          <w:sz w:val="20"/>
        </w:rPr>
        <w:t>The Company's first ocular candidate is an optimized, proprietary oligonucleotide-based therapy for the potential treatment of a subgroup of patients with USH2A, who are amenable to exon 13 skipping. The clinical candidate was designed to restore functional usherin protein production with the goal of preserving photoreceptors (the light-sensing cells in the eye) to stabilize the overall retinal architecture and preserve function. ENTR-801 was selected from a library of 200 sequences based on its robust exon skipping and usherin protein production, as well as initial safety data in multiple animal models.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believe that the robust supporting data and ongoing progress of our growing portfolio of clinical and preclinical candidates has the potential to make a significant difference in the lives of patients.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ENTR-601-44-201 (ELEVATE-44-201) Phase 1/2 Cohort 1 Results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Clinical Trial Overview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ELEVATE-44-201 is a global, two-part, randomized, double-blind, placebo-controlled Phase 1/2 study evaluating the safety, tolerability and effectiveness of ENTR-601-44 in ambulatory participants ages four to twenty with DMD who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51485"/>
                <wp:effectExtent l="0" t="0" r="0" b="0"/>
                <wp:wrapNone/>
                <wp:docPr id="23" name="Frame2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are exon 44 skipping amenable. The multiple ascending dose Part A portion of the study is evaluating the safety, pharmacokinetics, pharmacodynamics and functional parameters following intravenous administration of ENTR-601-44 to study participants in three cohorts at sites in the U.K. and EU. The MAD portion of the study enrolled eight participants with DMD in Cohort 1. They were randomized 3:1 to receive ENTR-601-44 at a dose of 6 mg/kg or placebo, administered intravenously. During this double-blind period, doses were administered on days one, 43 and 85, and muscle biopsies were performed at the time of screening and at six weeks after the last dose. Following the initial three doses administered in Part A, all participants continued into the Phase 2, open-label portion in which the safety and efficacy of ENTR-601-44 are evaluated over a longer period of time. </w:t>
      </w:r>
    </w:p>
    <w:p>
      <w:pPr>
        <w:pStyle w:val="TextBody"/>
        <w:bidi w:val="0"/>
        <w:spacing w:before="0" w:after="0"/>
        <w:ind w:left="0" w:right="0" w:firstLine="720"/>
        <w:jc w:val="left"/>
        <w:rPr/>
      </w:pPr>
      <w:r>
        <w:rPr/>
      </w:r>
    </w:p>
    <w:p>
      <w:pPr>
        <w:pStyle w:val="TextBody"/>
        <w:bidi w:val="0"/>
        <w:spacing w:before="0" w:after="0"/>
        <w:jc w:val="center"/>
        <w:rPr/>
      </w:pPr>
      <w:r>
        <w:rPr/>
        <w:drawing>
          <wp:inline distT="0" distB="0" distL="0" distR="0">
            <wp:extent cx="6305550" cy="2695575"/>
            <wp:effectExtent l="0" t="0" r="0" b="0"/>
            <wp:docPr id="2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 descr=""/>
                    <pic:cNvPicPr>
                      <a:picLocks noChangeAspect="1" noChangeArrowheads="1"/>
                    </pic:cNvPicPr>
                  </pic:nvPicPr>
                  <pic:blipFill>
                    <a:blip r:embed="rId2"/>
                    <a:stretch>
                      <a:fillRect/>
                    </a:stretch>
                  </pic:blipFill>
                  <pic:spPr bwMode="auto">
                    <a:xfrm>
                      <a:off x="0" y="0"/>
                      <a:ext cx="6305550" cy="2695575"/>
                    </a:xfrm>
                    <a:prstGeom prst="rect">
                      <a:avLst/>
                    </a:prstGeom>
                  </pic:spPr>
                </pic:pic>
              </a:graphicData>
            </a:graphic>
          </wp:inline>
        </w:drawing>
      </w:r>
      <w:bookmarkStart w:id="0" w:name="i-1"/>
      <w:bookmarkEnd w:id="0"/>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Summary of Demographics and Baseline Patient Characteristics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average age of treated participants in Cohort 1 was 9.3 years old with a mean age of disease onset of 2.2 years. Per protocol, all participants were ambulatory and all were on a stable dose of steroids. Baseline dystrophin in both the placebo and treatment population was also lower than that reported in competitive exon 44 skipping clinical trials. This is notable as treatment response is generally considered to correlate with higher baseline dystrophin levels.</w:t>
      </w:r>
    </w:p>
    <w:p>
      <w:pPr>
        <w:pStyle w:val="TextBody"/>
        <w:bidi w:val="0"/>
        <w:spacing w:before="0" w:after="0"/>
        <w:jc w:val="center"/>
        <w:rPr/>
      </w:pPr>
      <w:r>
        <w:rPr/>
      </w:r>
    </w:p>
    <w:p>
      <w:pPr>
        <w:pStyle w:val="TextBody"/>
        <w:bidi w:val="0"/>
        <w:spacing w:before="0" w:after="0"/>
        <w:jc w:val="center"/>
        <w:rPr/>
      </w:pPr>
      <w:r>
        <w:rPr/>
        <w:drawing>
          <wp:inline distT="0" distB="0" distL="0" distR="0">
            <wp:extent cx="6286500" cy="2371725"/>
            <wp:effectExtent l="0" t="0" r="0" b="0"/>
            <wp:docPr id="2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 descr=""/>
                    <pic:cNvPicPr>
                      <a:picLocks noChangeAspect="1" noChangeArrowheads="1"/>
                    </pic:cNvPicPr>
                  </pic:nvPicPr>
                  <pic:blipFill>
                    <a:blip r:embed="rId3"/>
                    <a:stretch>
                      <a:fillRect/>
                    </a:stretch>
                  </pic:blipFill>
                  <pic:spPr bwMode="auto">
                    <a:xfrm>
                      <a:off x="0" y="0"/>
                      <a:ext cx="6286500" cy="2371725"/>
                    </a:xfrm>
                    <a:prstGeom prst="rect">
                      <a:avLst/>
                    </a:prstGeom>
                  </pic:spPr>
                </pic:pic>
              </a:graphicData>
            </a:graphic>
          </wp:inline>
        </w:drawing>
      </w:r>
      <w:bookmarkStart w:id="1" w:name="i-2"/>
      <w:bookmarkEnd w:id="1"/>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Safety and Tolerability Data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Cohort 1 achieved its primary endpoint, demonstrating a generally favorable safety and tolerability profile. All treatment emergent adverse events (TEAEs) were mild to moderate. There were no discontinuations and no serious adverse events reported. The most common adverse event (AE) seen was headache.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51485"/>
                <wp:effectExtent l="0" t="0" r="0" b="0"/>
                <wp:wrapNone/>
                <wp:docPr id="26" name="Frame2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720"/>
        <w:jc w:val="center"/>
        <w:rPr/>
      </w:pPr>
      <w:r>
        <w:rPr/>
        <w:drawing>
          <wp:inline distT="0" distB="0" distL="0" distR="0">
            <wp:extent cx="5829300" cy="2047875"/>
            <wp:effectExtent l="0" t="0" r="0" b="0"/>
            <wp:docPr id="2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3" descr=""/>
                    <pic:cNvPicPr>
                      <a:picLocks noChangeAspect="1" noChangeArrowheads="1"/>
                    </pic:cNvPicPr>
                  </pic:nvPicPr>
                  <pic:blipFill>
                    <a:blip r:embed="rId4"/>
                    <a:stretch>
                      <a:fillRect/>
                    </a:stretch>
                  </pic:blipFill>
                  <pic:spPr bwMode="auto">
                    <a:xfrm>
                      <a:off x="0" y="0"/>
                      <a:ext cx="5829300" cy="2047875"/>
                    </a:xfrm>
                    <a:prstGeom prst="rect">
                      <a:avLst/>
                    </a:prstGeom>
                  </pic:spPr>
                </pic:pic>
              </a:graphicData>
            </a:graphic>
          </wp:inline>
        </w:drawing>
      </w:r>
      <w:bookmarkStart w:id="2" w:name="i-3"/>
      <w:bookmarkEnd w:id="2"/>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Importantly, clinically relevant markers of kidney function including eGFR, Cystatin-C and magnesium were all within normal ranges and treated subjects were comparable to placebo. Participant level data is presented below.</w:t>
      </w:r>
    </w:p>
    <w:p>
      <w:pPr>
        <w:pStyle w:val="TextBody"/>
        <w:bidi w:val="0"/>
        <w:spacing w:before="0" w:after="0"/>
        <w:ind w:left="0" w:right="0" w:firstLine="720"/>
        <w:jc w:val="left"/>
        <w:rPr/>
      </w:pPr>
      <w:r>
        <w:rPr/>
      </w:r>
    </w:p>
    <w:p>
      <w:pPr>
        <w:pStyle w:val="TextBody"/>
        <w:bidi w:val="0"/>
        <w:spacing w:before="0" w:after="0"/>
        <w:jc w:val="center"/>
        <w:rPr/>
      </w:pPr>
      <w:r>
        <w:rPr/>
        <w:drawing>
          <wp:inline distT="0" distB="0" distL="0" distR="0">
            <wp:extent cx="6581775" cy="2933700"/>
            <wp:effectExtent l="0" t="0" r="0" b="0"/>
            <wp:docPr id="2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4" descr=""/>
                    <pic:cNvPicPr>
                      <a:picLocks noChangeAspect="1" noChangeArrowheads="1"/>
                    </pic:cNvPicPr>
                  </pic:nvPicPr>
                  <pic:blipFill>
                    <a:blip r:embed="rId5"/>
                    <a:stretch>
                      <a:fillRect/>
                    </a:stretch>
                  </pic:blipFill>
                  <pic:spPr bwMode="auto">
                    <a:xfrm>
                      <a:off x="0" y="0"/>
                      <a:ext cx="6581775" cy="2933700"/>
                    </a:xfrm>
                    <a:prstGeom prst="rect">
                      <a:avLst/>
                    </a:prstGeom>
                  </pic:spPr>
                </pic:pic>
              </a:graphicData>
            </a:graphic>
          </wp:inline>
        </w:drawing>
      </w:r>
      <w:bookmarkStart w:id="3" w:name="i-4"/>
      <w:bookmarkEnd w:id="3"/>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these results to be encouraging, given that the kidney has historically been the organ of toxicity concern for PMO-based oligonucleotides and peptide conjugates in particular, and because similarly favorable safety was observed at 6 mg/kg in the Phase 1 healthy normal volunteer trial disclosed in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Biodistribution and Biomarkers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Lower than expected plasma Cmax and AUC (area under the curve) was observed in the ENTR-601-44-201 pediatric DMD patient study when compared with our prior ENTR-601-44-101 Phase 1 healthy adult volunteer study. Our current understanding is that this difference is due to a combination of age and disease status, and that higher doses of drug may result in higher levels of drug concentration in circulation. This lower than expected drug concentration, along with lower than expected baseline dystrophin value and a high number of patients with multi-exon deletions or more complex arrangements other than exon 45 deletion mutation may have impacted initial biomarker responses. There was a demonstrated mean increase of 2.36% in dystrophin over a baseline of 4.00% (total mean 6.36% dystrophin) and a demonstrated mean increase of 2.31% in exon skipping over baseline of 2.66% (total mean of 4.97%) in treated patients. Importantly, however, even at this first dose with lower than expected exposures, there was a correlation observed between exon skipping, dystrophin production and functional improvement.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Functional Improvement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51485"/>
                <wp:effectExtent l="0" t="0" r="0" b="0"/>
                <wp:wrapNone/>
                <wp:docPr id="29" name="Frame2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Meaningful and potentially differentiated early functional benefit was observed in Cohort 1. Results from these initial patients demonstrated a statistically significant improvement in mean TTR and TTR velocity in treated versus placebo patients (p&lt;.05, </w:t>
      </w:r>
      <w:r>
        <w:rPr>
          <w:rFonts w:ascii="Times New Roman;serif" w:hAnsi="Times New Roman;serif"/>
          <w:b w:val="false"/>
          <w:i/>
          <w:color w:val="000000"/>
          <w:sz w:val="20"/>
        </w:rPr>
        <w:t>post hoc</w:t>
      </w:r>
      <w:r>
        <w:rPr>
          <w:color w:val="000000"/>
        </w:rPr>
        <w:t xml:space="preserve"> </w:t>
      </w:r>
      <w:r>
        <w:rPr>
          <w:rFonts w:ascii="Times New Roman;serif" w:hAnsi="Times New Roman;serif"/>
          <w:b w:val="false"/>
          <w:color w:val="000000"/>
          <w:sz w:val="20"/>
        </w:rPr>
        <w:t>analysis). Functional data is the ultimate goal for a DMD therapeutic, and we are pleased to have observed this benefit at its starting dose of 6 mg/kg.</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"Time To Rise" (referred to as TTSTAND, TTR, and TRF in the literature) is standardized procedure and double-blind evaluative process conducted under GCP conditions and is expressed as the number of seconds taken to rise from a supine position without assistance to standing upright. The clinical evaluators (CEs) are physiotherapists with experience evaluating neuromuscular patients, trained as specified in the protocol, and as detailed in the Evaluator Manual. All CE assessments are videotaped and videos are reviewed by a Master Physiotherapist to ensure that the tests are performed correctly and to remove inter site evaluator variability. TTR declines rapidly over time in patients with DMD and has been previously shown to be an early prognostic factor for disease progression and loss of ambulation.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TTR velocity is calculated as 1/TTR, expressed as rises/second. The measure is designed to reduce the impact of outliers and imputed data. The calculation handles the "unable to perform problem" if a patient cannot rise from the floor without external support by scoring that observation at zero avoiding arbitrary imputation. It dampens clinically meaningless scoring noise between visits and it compresses the long tail seen in readings and produces a distribution that's much closer to normal, which matters for parametric statistics.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TTR velocity is increasingly preferred as an approvable clinical endpoint in Phase 3 trials over alternatives, given its sensitivity, lower variability and limited outlier bias. There are several completed or ongoing Phase 3 clinical trials in DMD using this as the primary endpoint or as one of several primary endpoints. Currently, steroids are standard of care in DMD, because of their proven ability to impact function. As a reference, vamorolone (Santhera Therapeutics) is a corticosteroid approved in 2023 and indicated for the treatment of DMD in patients 2 years of age and older. In the vamorolone registrational trial, the primary endpoint was the change from baseline to Week 24 in TTR velocity at 6 mg/kg/day compared to placebo. In that study, the mean change from baseline was reported as 0.048 (rises/second) and was 0.06 versus placebo (and these remains the highest number published to date in a registrational trial).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Functional Improvement Results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Improvement in TTR and in TTRV was seen across the majority of treated participants, irrespective of age: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Statistically significant TTR improvement versus placebo of 2.40 seconds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Statistically significant TTRV improvement versus placebo of 0.09 rises per second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The mean change in TTR velocity in the study was 3.5 times higher than the Minimal Clinical Important Difference (MCID) in annual rate of change of timed function threshold (</w:t>
      </w:r>
      <w:r>
        <w:rPr>
          <w:rFonts w:ascii="Times New Roman;serif" w:hAnsi="Times New Roman;serif"/>
          <w:b w:val="false"/>
          <w:i/>
          <w:color w:val="000000"/>
          <w:sz w:val="20"/>
        </w:rPr>
        <w:t>post hoc</w:t>
      </w:r>
      <w:r>
        <w:rPr>
          <w:color w:val="000000"/>
        </w:rPr>
        <w:t xml:space="preserve"> </w:t>
      </w:r>
      <w:r>
        <w:rPr>
          <w:rFonts w:ascii="Times New Roman;serif" w:hAnsi="Times New Roman;serif"/>
          <w:b w:val="false"/>
          <w:color w:val="000000"/>
          <w:sz w:val="20"/>
        </w:rPr>
        <w:t xml:space="preserve">analysis) of 0.023 (literature derived), suggesting that ENTR-601-44 has the potential to change the trajectory of the disease at the lowest dose tested in the Phase 1/2 study.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Importantly, the change in TTR velocity was consistent and seen across the majority of patients, irrespective of their severity of disease. In addition, there was no observed correlation between age and TTR velocity, but there was a statistically significant correlation observed between the change from baseline in TTRV and change from baseline in MHC–normalized dystrophin levels. This suggests that dystrophin production may have crossed a critical threshold for functional improvement and that the functional benefit observed in Cohort 1 could represent a true drug related effect. Positive trends were seen in the treated patients' 10-meter walk/run assessments.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Discussion of Functional Improvement Results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 ideal treatment for DMD is regenerative – replacing damaged, dystrophic muscle with healthy muscle; This requires satellite cell correction which then promotes asymmetric differentiation.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DMD challenge: Damage and impaired repair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lack of dystrophin not only leaves mature tissue prone to damage but also inhibits the body's repair mechanism; This "double hit" results in an inevitable decline in function as damaged tissues fail and are replaced with fat and fibrosis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Satellite (stem) cells are responsible for muscle regeneration and a lack of dystrophin inhibits the proliferation and differentiation of these progenitor cells which in turn limits muscle repair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significant unmet need in DMD: Muscle repair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Competitive treatments target mature, damaged cells to slow decline but may not significantly or substantially promote repair via enhanced satellite cell proliferation and asymmetric division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51485"/>
                <wp:effectExtent l="0" t="0" r="0" b="0"/>
                <wp:wrapNone/>
                <wp:docPr id="30" name="Frame2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Biomarkers (Dystrophin, CK) will improve as damaged tissue is protected, but functional benefit is likely to come back slowly as the repair mechanism is still impaired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Transferrin receptors are not expressed on quiescent satellite cells, preventing transferrin receptor mediated antibody uptake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AAV-enabled gene therapies lack the ability to efficiently reach satellite cells, which limits response durability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ENTR-601-44's ability to access the satellite cells is emerging as a competitive differentiator.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Upregulated dystrophin may be enabling the asymmetric division of satellite cells, which could in turn be responsible for the functional data signals seen at the starting dose of 6 mg/kg. DMD progression is driven by both muscle breakdown and impaired regeneration. It has been shown that satellite cells lacking dystrophin have an impaired ability to effectively proliferate, asymmetrically divide and differentiate when compared to healthy stem cells. We believe that enhanced satellite cell activity could result in the regeneration of healthy fibers and the stabilization of the overall muscle, which in turn would be expected to manifest in greater strength as measured by TTR velocity. Therefore we believe that dystrophin levels may have increased enough to cross a threshold and impact satellite cell proliferation and differentiation - enhancing the body's muscle repair mechanisms. If correct, at low drug candidate doses, as damaged muscle is replaced by healthy muscle tissue, the overall stability and strength of the muscle is expected to improve, potentially preceding traditional biomarkers such as creatine kinase (CK) that would be more sensitive to the stabilization of damaged muscle cells specifically. Over time, and at higher doses, those biomarkers would potentially then improve as damaged tissue is replaced by new tissue and as remaining damaged tissue is stabilized. The results observed from this initial dose level of ENTR-601-44, with room to go up to 18 mg/kg in later cohorts, may explain why improved TTR velocity was observed at the dystrophin levels reported in Cohort 1.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Clinical Trial Progress</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study participants in Cohort 1 have now progressed to the open-label, Phase 2 portion of the study, where they are receiving six additional doses of 6 mg/kg of ENTR-601-44. We believe that evidence of continued functional responses from this open-label period will further support the early suggestion of a potential drug related improvement in function. Additional study participants are now being dosed in Cohort 2, in which they will receive placebo or three doses of 12 mg/kg of ENTR-601-44. We expect topline safety and efficacy results from Cohort 2 in the first quarter of 2027.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Substantially all of our revenue to date has been derived from the Vertex Agreement. We do not expect to generate any revenue from the sale of products unless and until such time that our product candidates have advanced through clinical development and regulatory approval, if ever. If our development efforts for our therapeutic candidates are successful and result in regulatory approval or we successfully enter into collaboration or license arrangements with third parties, we may generate revenue in the future from product sales, payments from collaboration or license arrangements including those that we may enter into with third parties, or any combination thereof.</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costs incurred for our research activities, including our discovery efforts, and the development of our programs. These expenses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personnel-related expenses, including salaries, related benefits, and stock-based compensation expense for individuals engaged in research and development functions;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expenses incurred in connection with our research programs and development of our therapeutic candidates, including those incurred under agreements with third parties, such as consultants, contractors, and contract research organizations ("CROs") to conduct preclinical studies and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cost of developing and validating our manufacturing process for use in our preclinical studies and clinical trials, including the cost of raw materials used in our research and development activities, and engaging with third party contract manufacturing organizations ("CMOs");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51485"/>
                <wp:effectExtent l="0" t="0" r="0" b="0"/>
                <wp:wrapNone/>
                <wp:docPr id="31" name="Frame2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costs incurred in connection with the performance of research and development activities under the Vertex Agreement;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cost of laboratory supplies and research materials;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costs of payments made under third-party licensing agreements and related future payments should certain development and regulatory milestones be achieved;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facilities, depreciation and other direct and allocated expenses, including rent and other operating costs, incurred as a result of our research and development activities.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 Upfront payments under license agreements are expensed upon receipt of the license and annual maintenance fees under license agreements are expensed in the period in which they are incurred. Milestone payments under license agreements are accrued, with a corresponding expense being recognized, in the period in which the milestone is determined to be probable of achievement and the related amount is reasonably estimable.</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Our research and development costs are primarily devoted to supporting our neuromuscular program development efforts. </w:t>
      </w:r>
      <w:r>
        <w:rPr>
          <w:rFonts w:ascii="Times New Roman;serif" w:hAnsi="Times New Roman;serif"/>
          <w:b w:val="false"/>
          <w:color w:val="000000"/>
          <w:sz w:val="20"/>
          <w:shd w:fill="FFFFFF" w:val="clear"/>
        </w:rPr>
        <w:t>Our direct, external research and development expenses consist primarily of fees paid to outside consultants, CROs, CMOs and research laboratories in connection with our process development, manufacturing and clinical development activities. Our direct external research and development expenses also include fees incurred under license and intellectual property purchase agreements. Where specifically identifiable, we expect to track these external research and development costs on a program-by-program basis as we identify product candidates to advance into clinical development</w:t>
      </w:r>
      <w:r>
        <w:rPr>
          <w:rFonts w:ascii="Times New Roman;serif" w:hAnsi="Times New Roman;serif"/>
          <w:b w:val="false"/>
          <w:color w:val="000000"/>
          <w:sz w:val="20"/>
        </w:rPr>
        <w:t>.</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do not allocate employee costs, costs associated with our development efforts and facilities, including depreciation or other indirect costs, to specific programs because these costs are deployed across multiple programs and, as such, are not separately classified. We use internal resources and third-party consultants primarily to conduct our research and development activities as well as for managing our process development, manufacturing and clinical development activities.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Therapeutic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platform development efforts and planned preclinical and planned and current clinical development activities in the near term and in the future. We further expect that the research and development expenses of our programs will increase in the near term as we initiate or continue CTA/IND-enabling activities for our therapeutic candidates. Therefore, we cannot reasonably estimate or know the nature, timing, and costs of the efforts that will be necessary to complete the preclinical and clinical development of any of our therapeutic candidates. The successful development of our therapeutic candidates is highly uncertain. This is due to the numerous risks and uncertainties associated with product development, including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scope, timing, rate of progress and expenses of our ongoing and potential future research activities, including preclinical and CTA/IND-enabling studies, clinical trials and other research and development activities we decide to pursue;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successful initiation, enrollment and completion of clinical trials under current good clinical practices ("GCPs");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timing of filing and acceptance of INDs or comparable foreign applications that allow commencement of future clinical trials for our therapeutic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whether our therapeutic candidates show safety and efficacy in our clinical trials and an acceptable risk-benefit profile in the intended populations;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hire and retain key research and development personnel to meet our strategic goals;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successfully develop, obtain regulatory and marketing approvals of our therapeutic candidates for the expected indications and patient populations;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establish and maintain agreements with third-party manufacturers for clinical supply for our clinical trials and commercial manufacturing, if our therapeutic candidates are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51485"/>
                <wp:effectExtent l="0" t="0" r="0" b="0"/>
                <wp:wrapNone/>
                <wp:docPr id="32" name="Frame2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commercializing therapeutic candidates, if and when approved, whether alone or in collaboration with others;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maintain a continued acceptable safety, tolerability and efficacy profile of our therapeutic candidates following approval;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establish new licensing or collaboration arrangements to support our potential therapeutic candidates on favorable business terms;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decisions we make to discontinue, delay or modify our programs to focus on others;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obtaining, maintaining, protecting and enforcing patent and trade secret protection and regulatory exclusivity for our therapeutic candidates;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obtaining and maintaining adequate coverage and reimbursement from third party payors.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change in the outcome of any of these variables with respect to the development of any of our therapeutic candidates could significantly change the costs and timing associated with the development of that therapeutic candidate. We may never succeed in obtaining regulatory approval for any of our therapeutic candidates.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salaries and personnel-related costs, including stock-based compensation, for our personnel in executive, legal, finance and accounting, corporate and business development, human resources and other administrative functions. General and administrative expenses also include: legal fees relating to intellectual property and corporate matters; professional fees paid for accounting, auditing, consulting and tax services; insurance costs; travel expenses; information technology expenses; and facility costs not otherwise included in research and development expenses.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anticipate that our general and administrative expenses will increase in the future as we increase our headcount and expand our facilities to support our continued research activities and development of our programs and our EEV platform ("EEV Platform").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and Other Income (Expense)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consists primarily of interest earned on our invested cash equivalents and marketable securities, gains and losses on disposal of fixed assets and gains and losses on foreign currency transactions.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Provision for income tax expense (benefit) recorded in any interim period is based on the estimated effective tax rate for the fiscal year for those tax jurisdictions that can be reliably estimated. </w:t>
      </w:r>
      <w:r>
        <w:rPr>
          <w:rFonts w:ascii="Times New Roman;serif" w:hAnsi="Times New Roman;serif"/>
          <w:b w:val="false"/>
          <w:color w:val="000000"/>
          <w:sz w:val="20"/>
          <w:shd w:fill="FFFFFF" w:val="clear"/>
        </w:rPr>
        <w:t xml:space="preserve">There were no significant income tax provisions or benefits recorded for the three and six 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financial condition and results of operations is based on our financial statements, which have been prepared in accordance with generally accepted accounting principles in the United States. The preparation of our financial statements and related disclosures requires us to make judgments, estimates and assumptions that affect the reported amounts of assets and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There have been no material changes to our critical accounting policies and estimates from those reported in the Annual Report, except as described further in Note 2 </w:t>
      </w:r>
      <w:r>
        <w:rPr>
          <w:rFonts w:ascii="Times New Roman;serif" w:hAnsi="Times New Roman;serif"/>
          <w:b w:val="false"/>
          <w:i/>
          <w:color w:val="000000"/>
          <w:sz w:val="20"/>
        </w:rPr>
        <w:t xml:space="preserve">Summary of Significant Accounting Policies </w:t>
      </w:r>
      <w:r>
        <w:rPr>
          <w:rFonts w:ascii="Times New Roman;serif" w:hAnsi="Times New Roman;serif"/>
          <w:b w:val="false"/>
          <w:color w:val="000000"/>
          <w:sz w:val="20"/>
        </w:rPr>
        <w:t>in the condensed consolidated financial statements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51485"/>
                <wp:effectExtent l="0" t="0" r="0" b="0"/>
                <wp:wrapNone/>
                <wp:docPr id="33" name="Frame2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Comparison of the three months ended June 30, 2026 and 2025</w:t>
      </w:r>
    </w:p>
    <w:tbl>
      <w:tblPr>
        <w:tblW w:w="7197" w:type="dxa"/>
        <w:jc w:val="left"/>
        <w:tblInd w:w="0" w:type="dxa"/>
        <w:tblLayout w:type="fixed"/>
        <w:tblCellMar>
          <w:top w:w="28" w:type="dxa"/>
          <w:left w:w="28" w:type="dxa"/>
          <w:bottom w:w="28" w:type="dxa"/>
          <w:right w:w="28" w:type="dxa"/>
        </w:tblCellMar>
      </w:tblPr>
      <w:tblGrid>
        <w:gridCol w:w="1174"/>
        <w:gridCol w:w="1036"/>
        <w:gridCol w:w="1045"/>
        <w:gridCol w:w="211"/>
        <w:gridCol w:w="796"/>
        <w:gridCol w:w="109"/>
        <w:gridCol w:w="109"/>
        <w:gridCol w:w="109"/>
        <w:gridCol w:w="109"/>
        <w:gridCol w:w="211"/>
        <w:gridCol w:w="796"/>
        <w:gridCol w:w="109"/>
        <w:gridCol w:w="109"/>
        <w:gridCol w:w="109"/>
        <w:gridCol w:w="109"/>
        <w:gridCol w:w="211"/>
        <w:gridCol w:w="691"/>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(1,052)</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45,861 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48,799 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(2,938)</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(44,963)</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(46,849)</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(1,689)</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(42,728)</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(42,925)</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(42,763)</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(43,103)</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Collaboration Revenue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Collaboration revenue was $0.9 million for the three months ended June 30, 2026 and $2.0 million for the three months ended June 30, 2025.</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tbl>
      <w:tblPr>
        <w:tblW w:w="8456" w:type="dxa"/>
        <w:jc w:val="left"/>
        <w:tblInd w:w="0" w:type="dxa"/>
        <w:tblLayout w:type="fixed"/>
        <w:tblCellMar>
          <w:top w:w="28" w:type="dxa"/>
          <w:left w:w="28" w:type="dxa"/>
          <w:bottom w:w="28" w:type="dxa"/>
          <w:right w:w="28" w:type="dxa"/>
        </w:tblCellMar>
      </w:tblPr>
      <w:tblGrid>
        <w:gridCol w:w="1684"/>
        <w:gridCol w:w="1482"/>
        <w:gridCol w:w="1498"/>
        <w:gridCol w:w="211"/>
        <w:gridCol w:w="721"/>
        <w:gridCol w:w="109"/>
        <w:gridCol w:w="109"/>
        <w:gridCol w:w="109"/>
        <w:gridCol w:w="109"/>
        <w:gridCol w:w="211"/>
        <w:gridCol w:w="721"/>
        <w:gridCol w:w="109"/>
        <w:gridCol w:w="109"/>
        <w:gridCol w:w="109"/>
        <w:gridCol w:w="109"/>
        <w:gridCol w:w="211"/>
        <w:gridCol w:w="691"/>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research and development expenses</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ENTR-601-44</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ENTR-601-45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ENTR-601-50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ENTR-601-51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DMD franchise-wide</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Ocular programs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preclinical and discovery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research and development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related (including 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related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35,369 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37,877 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(2,508)</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(1)Represents manufacturing and clinical costs that support across the Company's product candidates targeting DMD.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$35.4 million for the three months ended June 30, 2026, compared to $37.9 million for the three months ended June 30, 2025. The decrease of $2.5 million in research and development expenses was primarily attributable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 decrease of $3.2 million in unallocated research and development expenses is driven by a decrease in personnel costs of $1.4 million and a decrease in facilities related costs of $1.8 million. Personnel costs are inclusive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51485"/>
                <wp:effectExtent l="0" t="0" r="0" b="0"/>
                <wp:wrapNone/>
                <wp:docPr id="34" name="Frame3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of $2.4 million and $2.1 million for the three months ended June 30, 2026 and 2025, respectively;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 increase of $0.7 million in direct research and development expenses, driven by additional costs incurred related to the progress of our Duchenne and ocular programs.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our research and development expenses will increase as we continue to advance our Duchenne franchise through clinical trials, advance our ocular programs through preclinical development and into clinical trials and continue to perform discovery work for future product candidates.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for the three months ended June 30, 2026 were $10.5 million, compared to $10.9 million for the three months ended June 30, 2025. The decrease of $0.4 million was primarily attributable to a decrease in professional services.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and Other Income, net</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Total interest and other income, net was </w:t>
      </w:r>
      <w:r>
        <w:rPr>
          <w:rFonts w:ascii="Times New Roman;serif" w:hAnsi="Times New Roman;serif"/>
          <w:b w:val="false"/>
          <w:color w:val="000000"/>
          <w:sz w:val="20"/>
        </w:rPr>
        <w:t>$2.2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June 30, 2026</w:t>
      </w:r>
      <w:r>
        <w:rPr>
          <w:rFonts w:ascii="Times New Roman;serif" w:hAnsi="Times New Roman;serif"/>
          <w:b w:val="false"/>
          <w:color w:val="000000"/>
          <w:sz w:val="20"/>
          <w:shd w:fill="FFFFFF" w:val="clear"/>
        </w:rPr>
        <w:t xml:space="preserve">, compared to </w:t>
      </w:r>
      <w:r>
        <w:rPr>
          <w:rFonts w:ascii="Times New Roman;serif" w:hAnsi="Times New Roman;serif"/>
          <w:b w:val="false"/>
          <w:color w:val="000000"/>
          <w:sz w:val="20"/>
        </w:rPr>
        <w:t>$3.9 million</w:t>
      </w:r>
      <w:r>
        <w:rPr>
          <w:color w:val="000000"/>
          <w:shd w:fill="FFFFFF" w:val="clear"/>
        </w:rPr>
        <w:t xml:space="preserve"> </w:t>
      </w:r>
      <w:r>
        <w:rPr>
          <w:rFonts w:ascii="Times New Roman;serif" w:hAnsi="Times New Roman;serif"/>
          <w:b w:val="false"/>
          <w:color w:val="000000"/>
          <w:sz w:val="20"/>
          <w:shd w:fill="FFFFFF" w:val="clear"/>
        </w:rPr>
        <w:t xml:space="preserve">of interest and other income for the </w:t>
      </w:r>
      <w:r>
        <w:rPr>
          <w:rFonts w:ascii="Times New Roman;serif" w:hAnsi="Times New Roman;serif"/>
          <w:b w:val="false"/>
          <w:color w:val="000000"/>
          <w:sz w:val="20"/>
        </w:rPr>
        <w:t>three months ended June 30, 2025. The decrease was driven by changes in interest earned from debt securities and money market funds as well as a decrease in the amount of marketable securities held.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Comparison of the six months ended June 30, 2026 and 2025</w:t>
      </w:r>
    </w:p>
    <w:tbl>
      <w:tblPr>
        <w:tblW w:w="7302" w:type="dxa"/>
        <w:jc w:val="left"/>
        <w:tblInd w:w="0" w:type="dxa"/>
        <w:tblLayout w:type="fixed"/>
        <w:tblCellMar>
          <w:top w:w="28" w:type="dxa"/>
          <w:left w:w="28" w:type="dxa"/>
          <w:bottom w:w="28" w:type="dxa"/>
          <w:right w:w="28" w:type="dxa"/>
        </w:tblCellMar>
      </w:tblPr>
      <w:tblGrid>
        <w:gridCol w:w="1174"/>
        <w:gridCol w:w="1036"/>
        <w:gridCol w:w="1045"/>
        <w:gridCol w:w="211"/>
        <w:gridCol w:w="796"/>
        <w:gridCol w:w="109"/>
        <w:gridCol w:w="109"/>
        <w:gridCol w:w="109"/>
        <w:gridCol w:w="109"/>
        <w:gridCol w:w="211"/>
        <w:gridCol w:w="796"/>
        <w:gridCol w:w="109"/>
        <w:gridCol w:w="109"/>
        <w:gridCol w:w="109"/>
        <w:gridCol w:w="109"/>
        <w:gridCol w:w="211"/>
        <w:gridCol w:w="796"/>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22,508 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(20,735)</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89,039 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91,147 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(2,108)</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(87,266)</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(68,639)</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(18,627)</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8,365 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(3,506)</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(82,407)</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(60,274)</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(22,133)</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(82,480)</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(60,452)</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(22,028)</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Collaboration Revenue</w:t>
      </w:r>
    </w:p>
    <w:p>
      <w:pPr>
        <w:pStyle w:val="TextBody"/>
        <w:bidi w:val="0"/>
        <w:spacing w:lineRule="auto" w:line="288" w:before="240" w:after="283"/>
        <w:ind w:left="0" w:right="0" w:firstLine="720"/>
        <w:jc w:val="left"/>
        <w:rPr/>
      </w:pPr>
      <w:r>
        <w:rPr>
          <w:rFonts w:ascii="Times New Roman;serif" w:hAnsi="Times New Roman;serif"/>
          <w:b w:val="false"/>
          <w:color w:val="000000"/>
          <w:sz w:val="20"/>
        </w:rPr>
        <w:t>Collaboration revenue was $1.8 million for the six months ended June 30, 2026 and $22.5 million for the six months ended June 30, 2025. The decrease of $20.7 million was primarily a result of us substantially completing our research plan activities for VX-670 during the first quarter of 2025. We continue to perform research activities</w:t>
      </w:r>
      <w:r>
        <w:rPr>
          <w:color w:val="000000"/>
          <w:shd w:fill="FFFFFF" w:val="clear"/>
        </w:rPr>
        <w:t xml:space="preserve"> </w:t>
      </w:r>
      <w:r>
        <w:rPr>
          <w:rFonts w:ascii="Times New Roman;serif" w:hAnsi="Times New Roman;serif"/>
          <w:b w:val="false"/>
          <w:color w:val="000000"/>
          <w:sz w:val="20"/>
          <w:shd w:fill="FFFFFF" w:val="clear"/>
        </w:rPr>
        <w:t>on additional EEV-based therapeutic candidates for the potential treatment of DM1 pursuant to the Vertex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51485"/>
                <wp:effectExtent l="0" t="0" r="0" b="0"/>
                <wp:wrapNone/>
                <wp:docPr id="35" name="Frame3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tbl>
      <w:tblPr>
        <w:tblW w:w="8456" w:type="dxa"/>
        <w:jc w:val="left"/>
        <w:tblInd w:w="0" w:type="dxa"/>
        <w:tblLayout w:type="fixed"/>
        <w:tblCellMar>
          <w:top w:w="28" w:type="dxa"/>
          <w:left w:w="28" w:type="dxa"/>
          <w:bottom w:w="28" w:type="dxa"/>
          <w:right w:w="28" w:type="dxa"/>
        </w:tblCellMar>
      </w:tblPr>
      <w:tblGrid>
        <w:gridCol w:w="1684"/>
        <w:gridCol w:w="1482"/>
        <w:gridCol w:w="1498"/>
        <w:gridCol w:w="211"/>
        <w:gridCol w:w="721"/>
        <w:gridCol w:w="109"/>
        <w:gridCol w:w="109"/>
        <w:gridCol w:w="109"/>
        <w:gridCol w:w="109"/>
        <w:gridCol w:w="211"/>
        <w:gridCol w:w="721"/>
        <w:gridCol w:w="109"/>
        <w:gridCol w:w="109"/>
        <w:gridCol w:w="109"/>
        <w:gridCol w:w="109"/>
        <w:gridCol w:w="211"/>
        <w:gridCol w:w="691"/>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research and development expenses</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ENTR-601-44</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ENTR-601-45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ENTR-601-50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ENTR-601-51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DMD franchise-wide</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Ocular programs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preclinical and discovery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research and development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related (including 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related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68,423 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69,951 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(1,528)</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(1)Represents manufacturing and clinical costs that support across the Company's product candidates targeting DMD.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$68.4 million for the six months ended June 30, 2026, compared to $70.0 million for the six months ended June 30, 2025. The decrease of $1.6 million in research and development expenses was primarily attributable to:</w:t>
      </w:r>
    </w:p>
    <w:p>
      <w:pPr>
        <w:pStyle w:val="TextBody"/>
        <w:bidi w:val="0"/>
        <w:spacing w:lineRule="auto" w:line="288" w:before="240" w:after="283"/>
        <w:ind w:left="0" w:right="0" w:firstLine="360"/>
        <w:jc w:val="left"/>
        <w:rPr/>
      </w:pPr>
      <w:r>
        <w:rPr>
          <w:color w:val="000000"/>
        </w:rPr>
        <w:t>•</w:t>
      </w:r>
      <w:r>
        <w:rPr>
          <w:rFonts w:ascii="Times New Roman;serif" w:hAnsi="Times New Roman;serif"/>
          <w:b w:val="false"/>
          <w:color w:val="000000"/>
          <w:sz w:val="20"/>
        </w:rPr>
        <w:t>a decrease of $6.1 million in unallocated research and development expenses driven by a decrease in personnel costs of $2.2 million and a decrease in facilities related costs of $3.9 million. Personnel costs are inclusive of stock-based compensation expense of $4.5 million and $4.5 million for the six months ended June 30, 2026 and 2025, respectively.</w:t>
      </w:r>
    </w:p>
    <w:p>
      <w:pPr>
        <w:pStyle w:val="TextBody"/>
        <w:bidi w:val="0"/>
        <w:spacing w:lineRule="auto" w:line="288" w:before="240" w:after="283"/>
        <w:ind w:left="0" w:right="0" w:firstLine="360"/>
        <w:jc w:val="left"/>
        <w:rPr/>
      </w:pPr>
      <w:r>
        <w:rPr>
          <w:color w:val="000000"/>
        </w:rPr>
        <w:t>•</w:t>
      </w:r>
      <w:r>
        <w:rPr>
          <w:rFonts w:ascii="Times New Roman;serif" w:hAnsi="Times New Roman;serif"/>
          <w:b w:val="false"/>
          <w:color w:val="000000"/>
          <w:sz w:val="20"/>
        </w:rPr>
        <w:t>an increase of $4.5 million in direct research and development expenses, driven by additional costs incurred related to the progress of our Duchenne and ocular programs, partially offset by fewer costs incurred related to our collaboration with Vertex and other preclinical and discovery activities; and</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our research and development expenses will increase as we continue to advance our Duchenne franchise through clinical trials, advance our ocular programs through preclinical development and into clinical trials and continue to perform discovery work for future product candidates.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for the six months ended June 30, 2026 were $20.6 million, compared to $21.2 million for the six months ended June 30, 2025. The decrease of $0.6 million was primarily attributable to a decrease in professional services.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and Other Income, net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interest and other income, net was $4.9 million for the six months ended June 30, 2026, compared to $8.4 million of interest and other income for the six months ended June 30, 2025. The decrease was driven by changes in interest earned from debt securities and money market funds as well as a decrease in the amount of marketable securities held.</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51485"/>
                <wp:effectExtent l="0" t="0" r="0" b="0"/>
                <wp:wrapNone/>
                <wp:docPr id="36" name="Frame3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Since our inception, we have devoted substantially all our resources to research and development efforts relating to our EEV Platform, advancing development of our portfolio of genetic medicines for the potential treatment of neuromuscular and inherited retinal diseases and administrative support for these operations, including raising capital.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inception, we have incurred significant net losses. As of June 30, 2026, we had an accumulated deficit of $355.6 million. Other than the recognition of revenue related to collaboration payments, we expect to continue to generate operating losses and negative operating cash flows for the foreseeable future as we advance our platform and therapeutic candidates. We will not generate any revenue from product sales unless and until we successfully complete clinical development and obtain regulatory approval for one or more therapeutic candidates, if ever. If we obtain regulatory approval for any therapeutic candidates, we expect to incur significant expenses related to developing our internal commercialization capability to support product sales, marketing and distribution.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we expect to incur additional costs associated with operating as a public company, including significant legal, accounting, investor relations and other expenses. As a result, we will need substantial additional funding to support our continuing operations and pursue our growth strategy, as we advance therapeutic candidates through preclinical and, if successful, into clinical development, seek regulatory approval, prepare for and, if any therapeutic candidates are approved, proceed to commercialization and operate as a public company. Until such time as we can generate significant revenue from product sales, if ever, we expect to finance our operations through the sale of equity, debt financings or other capital sources, including potential collaborations with other companies or other strategic transactions.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unable to obtain funding, we will be forced to delay, reduce, or eliminate some or all of our research and development programs, product portfolio expansion and ultimate commercialization efforts, which would adversely affect our business prospects, or we may be unable to continue operations. Although we continue to pursue these plans, we may not be successful in obtaining sufficient funding on terms acceptable to us to fund continuing operations, if at all.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product development, we are unable to predict the timing or amount of increased expenses or when or if we will be able to achieve or maintain profitability. Even if we can generate product sales, we may not become profitable. If we fail to become profitable or are unable to sustain profitability on a continuing basis, we may be unable to continue our operations at planned levels and be forced to reduce or terminate our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cash equivalents and marketable securities of $223.0 million. Based on our current operating plans, we believe that our cash, cash equivalents and marketable securities as of June 30, 2026 will be sufficient to fund our operations for at least 12 months from the date of this report. We have based this estimate on assumptions that may prove to be wrong, and we could exhaust our available capital resources sooner than we expect. To finance our operations beyond that point we will need to raise additional capital, which cannot be assured.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To date, </w:t>
      </w:r>
      <w:r>
        <w:rPr>
          <w:rFonts w:ascii="Times New Roman;serif" w:hAnsi="Times New Roman;serif"/>
          <w:b w:val="false"/>
          <w:color w:val="000000"/>
          <w:sz w:val="20"/>
        </w:rPr>
        <w:t xml:space="preserve">we have raised over $850.0 million of gross proceeds from sales of stock to leading biotechnology investors and from the Vertex Agreement. As of June 30, 2026, we had cash, cash equivalents and marketable securities of $223.0 million.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2025, we entered into a sales agreement (the "Sales Agreement"), with TD Securities (USA) LLC (f/k/a Cowen and Company, LLC), acting as our agent and/or principal (the "Sales Agent"), with respect to an "at the market offering" program under which we may, from time to time, at our sole discretion, issue and sell shares of our common stock having an aggregate offering price of up to $150.0 million through the Sales Agent. During the three months ended June 30, 2026, there have been no sales of common stock pursuant to the Sales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51485"/>
                <wp:effectExtent l="0" t="0" r="0" b="0"/>
                <wp:wrapNone/>
                <wp:docPr id="37" name="Frame3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our cash flows for each of the periods presented:</w:t>
      </w:r>
    </w:p>
    <w:tbl>
      <w:tblPr>
        <w:tblW w:w="8169" w:type="dxa"/>
        <w:jc w:val="left"/>
        <w:tblInd w:w="0" w:type="dxa"/>
        <w:tblLayout w:type="fixed"/>
        <w:tblCellMar>
          <w:top w:w="28" w:type="dxa"/>
          <w:left w:w="28" w:type="dxa"/>
          <w:bottom w:w="28" w:type="dxa"/>
          <w:right w:w="28" w:type="dxa"/>
        </w:tblCellMar>
      </w:tblPr>
      <w:tblGrid>
        <w:gridCol w:w="2014"/>
        <w:gridCol w:w="1773"/>
        <w:gridCol w:w="1778"/>
        <w:gridCol w:w="211"/>
        <w:gridCol w:w="796"/>
        <w:gridCol w:w="109"/>
        <w:gridCol w:w="109"/>
        <w:gridCol w:w="109"/>
        <w:gridCol w:w="109"/>
        <w:gridCol w:w="211"/>
        <w:gridCol w:w="796"/>
        <w:gridCol w:w="154"/>
      </w:tblGrid>
      <w:tr>
        <w:trPr/>
        <w:tc>
          <w:tcPr>
            <w:tcW w:w="201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(74,158)</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(67,996)</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8,228 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(28,729)</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Operating Activities</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net cash </w:t>
      </w:r>
      <w:r>
        <w:rPr>
          <w:rFonts w:ascii="Times New Roman;serif" w:hAnsi="Times New Roman;serif"/>
          <w:b w:val="false"/>
          <w:color w:val="000000"/>
          <w:sz w:val="20"/>
        </w:rPr>
        <w:t>used in</w:t>
      </w:r>
      <w:r>
        <w:rPr>
          <w:color w:val="000000"/>
          <w:shd w:fill="FFFFFF" w:val="clear"/>
        </w:rPr>
        <w:t xml:space="preserve"> </w:t>
      </w:r>
      <w:r>
        <w:rPr>
          <w:rFonts w:ascii="Times New Roman;serif" w:hAnsi="Times New Roman;serif"/>
          <w:b w:val="false"/>
          <w:color w:val="000000"/>
          <w:sz w:val="20"/>
          <w:shd w:fill="FFFFFF" w:val="clear"/>
        </w:rPr>
        <w:t xml:space="preserve">operating activities was $74.2 million and was driven by our net </w:t>
      </w:r>
      <w:r>
        <w:rPr>
          <w:rFonts w:ascii="Times New Roman;serif" w:hAnsi="Times New Roman;serif"/>
          <w:b w:val="false"/>
          <w:color w:val="000000"/>
          <w:sz w:val="20"/>
        </w:rPr>
        <w:t>loss</w:t>
      </w:r>
      <w:r>
        <w:rPr>
          <w:color w:val="000000"/>
          <w:shd w:fill="FFFFFF" w:val="clear"/>
        </w:rPr>
        <w:t xml:space="preserve"> </w:t>
      </w:r>
      <w:r>
        <w:rPr>
          <w:rFonts w:ascii="Times New Roman;serif" w:hAnsi="Times New Roman;serif"/>
          <w:b w:val="false"/>
          <w:color w:val="000000"/>
          <w:sz w:val="20"/>
          <w:shd w:fill="FFFFFF" w:val="clear"/>
        </w:rPr>
        <w:t xml:space="preserve">of $82.5 million, net cash </w:t>
      </w:r>
      <w:r>
        <w:rPr>
          <w:rFonts w:ascii="Times New Roman;serif" w:hAnsi="Times New Roman;serif"/>
          <w:b w:val="false"/>
          <w:color w:val="000000"/>
          <w:sz w:val="20"/>
        </w:rPr>
        <w:t>used</w:t>
      </w:r>
      <w:r>
        <w:rPr>
          <w:color w:val="000000"/>
          <w:shd w:fill="FFFFFF" w:val="clear"/>
        </w:rPr>
        <w:t xml:space="preserve"> </w:t>
      </w:r>
      <w:r>
        <w:rPr>
          <w:rFonts w:ascii="Times New Roman;serif" w:hAnsi="Times New Roman;serif"/>
          <w:b w:val="false"/>
          <w:color w:val="000000"/>
          <w:sz w:val="20"/>
          <w:shd w:fill="FFFFFF" w:val="clear"/>
        </w:rPr>
        <w:t>in changes in our operating assets and liabilities of $2.2 million, adjustments for non-cash expenses relating to stock-based compensation expense of $9.9 million and depreciation expense of $1.6 million, and adjustments for non-cash income relating to accretion of premiums and discounts of $1.0 million.</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net cash used in operating activities was $68.0 million and was driven by our net </w:t>
      </w:r>
      <w:r>
        <w:rPr>
          <w:rFonts w:ascii="Times New Roman;serif" w:hAnsi="Times New Roman;serif"/>
          <w:b w:val="false"/>
          <w:color w:val="000000"/>
          <w:sz w:val="20"/>
        </w:rPr>
        <w:t>loss</w:t>
      </w:r>
      <w:r>
        <w:rPr>
          <w:color w:val="000000"/>
          <w:shd w:fill="FFFFFF" w:val="clear"/>
        </w:rPr>
        <w:t xml:space="preserve"> </w:t>
      </w:r>
      <w:r>
        <w:rPr>
          <w:rFonts w:ascii="Times New Roman;serif" w:hAnsi="Times New Roman;serif"/>
          <w:b w:val="false"/>
          <w:color w:val="000000"/>
          <w:sz w:val="20"/>
          <w:shd w:fill="FFFFFF" w:val="clear"/>
        </w:rPr>
        <w:t xml:space="preserve">of $60.5 million, net cash </w:t>
      </w:r>
      <w:r>
        <w:rPr>
          <w:rFonts w:ascii="Times New Roman;serif" w:hAnsi="Times New Roman;serif"/>
          <w:b w:val="false"/>
          <w:color w:val="000000"/>
          <w:sz w:val="20"/>
        </w:rPr>
        <w:t>used</w:t>
      </w:r>
      <w:r>
        <w:rPr>
          <w:color w:val="000000"/>
          <w:shd w:fill="FFFFFF" w:val="clear"/>
        </w:rPr>
        <w:t xml:space="preserve"> </w:t>
      </w:r>
      <w:r>
        <w:rPr>
          <w:rFonts w:ascii="Times New Roman;serif" w:hAnsi="Times New Roman;serif"/>
          <w:b w:val="false"/>
          <w:color w:val="000000"/>
          <w:sz w:val="20"/>
          <w:shd w:fill="FFFFFF" w:val="clear"/>
        </w:rPr>
        <w:t>in changes in our operating assets and liabilities of $17.3 million, adjustments for non-cash expenses relating to stock-based compensation expense of $10.1 million and depreciation expense of $2.0 million, and adjustments for non-cash income relating to accretion of premiums and discounts of $2.3 million.</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Investing Activities</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Net cash </w:t>
      </w:r>
      <w:r>
        <w:rPr>
          <w:rFonts w:ascii="Times New Roman;serif" w:hAnsi="Times New Roman;serif"/>
          <w:b w:val="false"/>
          <w:color w:val="000000"/>
          <w:sz w:val="20"/>
        </w:rPr>
        <w:t>provided by</w:t>
      </w:r>
      <w:r>
        <w:rPr>
          <w:color w:val="000000"/>
          <w:shd w:fill="FFFFFF" w:val="clear"/>
        </w:rPr>
        <w:t xml:space="preserve"> </w:t>
      </w:r>
      <w:r>
        <w:rPr>
          <w:rFonts w:ascii="Times New Roman;serif" w:hAnsi="Times New Roman;serif"/>
          <w:b w:val="false"/>
          <w:color w:val="000000"/>
          <w:sz w:val="20"/>
          <w:shd w:fill="FFFFFF" w:val="clear"/>
        </w:rPr>
        <w:t xml:space="preserve">investing activities was $81.9 million for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consisting primarily of $97.7 million from the maturities of marketable securities, partially offset by $15.8 million in purchases of marketable securities.</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Net cash </w:t>
      </w:r>
      <w:r>
        <w:rPr>
          <w:rFonts w:ascii="Times New Roman;serif" w:hAnsi="Times New Roman;serif"/>
          <w:b w:val="false"/>
          <w:color w:val="000000"/>
          <w:sz w:val="20"/>
        </w:rPr>
        <w:t>provided by</w:t>
      </w:r>
      <w:r>
        <w:rPr>
          <w:color w:val="000000"/>
          <w:shd w:fill="FFFFFF" w:val="clear"/>
        </w:rPr>
        <w:t xml:space="preserve"> </w:t>
      </w:r>
      <w:r>
        <w:rPr>
          <w:rFonts w:ascii="Times New Roman;serif" w:hAnsi="Times New Roman;serif"/>
          <w:b w:val="false"/>
          <w:color w:val="000000"/>
          <w:sz w:val="20"/>
          <w:shd w:fill="FFFFFF" w:val="clear"/>
        </w:rPr>
        <w:t xml:space="preserve">investing activities was $38.6 million for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consisting primarily of $136.6 million from the maturities of marketable securities, partially offset by $96.6 million in purchases of marketable securities and $1.4 million of purchases of property and equipment.</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Financing Activities</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Net cash </w:t>
      </w:r>
      <w:r>
        <w:rPr>
          <w:rFonts w:ascii="Times New Roman;serif" w:hAnsi="Times New Roman;serif"/>
          <w:b w:val="false"/>
          <w:color w:val="000000"/>
          <w:sz w:val="20"/>
        </w:rPr>
        <w:t>provided by</w:t>
      </w:r>
      <w:r>
        <w:rPr>
          <w:color w:val="000000"/>
          <w:shd w:fill="FFFFFF" w:val="clear"/>
        </w:rPr>
        <w:t xml:space="preserve"> </w:t>
      </w:r>
      <w:r>
        <w:rPr>
          <w:rFonts w:ascii="Times New Roman;serif" w:hAnsi="Times New Roman;serif"/>
          <w:b w:val="false"/>
          <w:color w:val="000000"/>
          <w:sz w:val="20"/>
          <w:shd w:fill="FFFFFF" w:val="clear"/>
        </w:rPr>
        <w:t xml:space="preserve">financing activities was $0.5 million for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consisting of $0.2 million in proceeds from stock option exercises and $0.3 million</w:t>
      </w:r>
      <w:r>
        <w:rPr>
          <w:color w:val="000000"/>
        </w:rPr>
        <w:t xml:space="preserve"> </w:t>
      </w:r>
      <w:r>
        <w:rPr>
          <w:rFonts w:ascii="Times New Roman;serif" w:hAnsi="Times New Roman;serif"/>
          <w:b w:val="false"/>
          <w:color w:val="000000"/>
          <w:sz w:val="20"/>
        </w:rPr>
        <w:t>from the issuance of common stock under our 2021 Employee Stock Purchase Plan, as amended (the "2021 ESPP").</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Net cash </w:t>
      </w:r>
      <w:r>
        <w:rPr>
          <w:rFonts w:ascii="Times New Roman;serif" w:hAnsi="Times New Roman;serif"/>
          <w:b w:val="false"/>
          <w:color w:val="000000"/>
          <w:sz w:val="20"/>
        </w:rPr>
        <w:t>provided by</w:t>
      </w:r>
      <w:r>
        <w:rPr>
          <w:color w:val="000000"/>
          <w:shd w:fill="FFFFFF" w:val="clear"/>
        </w:rPr>
        <w:t xml:space="preserve"> </w:t>
      </w:r>
      <w:r>
        <w:rPr>
          <w:rFonts w:ascii="Times New Roman;serif" w:hAnsi="Times New Roman;serif"/>
          <w:b w:val="false"/>
          <w:color w:val="000000"/>
          <w:sz w:val="20"/>
          <w:shd w:fill="FFFFFF" w:val="clear"/>
        </w:rPr>
        <w:t xml:space="preserve">financing activities was $0.7 million for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consisting of $0.4 million in proceeds from stock option exercises and $0.3 million from the issuance of common stock under the 2021 ESPP.</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Future Funding Requirements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to incur significant expenses and operating losses for the foreseeable future as we advance the preclinical and, if successful, the clinical development of our programs. Our operating expenses and future funding requirements are expected to increase substantially as we continue to advance our portfolio of programs. Based on our current operating plans, we believe that our cash, cash equivalents and marketable securities as of June 30, 2026 will be sufficient to fund our operations for at least 12 months from the date of this report. We have based this estimate on assumptions that may prove to be wrong, and we could utilize our available capital resources sooner than we expect.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51485"/>
                <wp:effectExtent l="0" t="0" r="0" b="0"/>
                <wp:wrapNone/>
                <wp:docPr id="38" name="Frame3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research, development, and commercialization of our candidates, we are unable to estimate the exact amount of our working capital requirements. Our future capital requirements will depend on many factors, including costs associated with:</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continuation of our current research programs and our clinical and preclinical development of therapeutic candidates from our current research programs;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advancing our existing and future therapeutic candidates into clinical development;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initiating preclinical studies and clinical trials for any therapeutic candidates we identify and develop or expand development of existing programs into additional indications;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maintaining, expanding, enforcing, defending and protecting our intellectual property portfolio and providing reimbursement of third-party expenses related to our patent portfolio;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timing of manufacturing for our therapeutic candidates and commercial manufacturing if any therapeutic candidate is approved;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establishing and maintaining clinical and commercial supply for the development and manufacture of our therapeutic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seeking regulatory and marketing approvals for any of our therapeutic candidates that we develop, if any;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seeking to identify, establish and maintain additional collaborations and license agreements, and the success of those collaborations and license agreements;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ultimately establishing a sales, marketing and distribution infrastructure to commercialize any platforms for which we may obtain marketing approval, either by ourselves or in collaboration with others;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generating revenue from commercial sales of therapeutic candidates we may develop for which we receive marketing approval;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hiring additional personnel, including research and development, clinical and commercial personnel, to meet our strategic goals;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adding operational, financial and management information systems and personnel, including personnel to support our product development;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achieving sufficient market acceptance, coverage and adequate reimbursement from third-party payors and adequate market share and revenue for any approved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acquiring or in-licensing products, intellectual property, and technologies;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ongoing costs of operating as a public company.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Until such time, if ever, as we can generate substantial product revenue to support our cost structure, we expect to finance our cash needs through a combination of equity offerings, debt financings, collaborations, and other similar arrangements.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therapeutic candidates or grant licenses on terms that may not be favorable to us and/or may reduce the value of our common stock. If we are unable to raise additional funds when needed, we may be required to delay, limit, reduce or terminate our product development or future commercialization efforts or grant rights to develop and market our therapeutic candidates even if we would otherwise prefer to develop and market such therapeutic candidates 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51485"/>
                <wp:effectExtent l="0" t="0" r="0" b="0"/>
                <wp:wrapNone/>
                <wp:docPr id="39" name="Frame3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240" w:after="180"/>
        <w:jc w:val="left"/>
        <w:rPr>
          <w:rFonts w:ascii="Times New Roman;serif" w:hAnsi="Times New Roman;serif"/>
          <w:b/>
          <w:i/>
          <w:color w:val="000000"/>
          <w:sz w:val="20"/>
        </w:rPr>
      </w:pPr>
      <w:r>
        <w:rPr>
          <w:rFonts w:ascii="Times New Roman;serif" w:hAnsi="Times New Roman;serif"/>
          <w:b/>
          <w:i/>
          <w:color w:val="000000"/>
          <w:sz w:val="20"/>
        </w:rPr>
        <w:t>Lease Commitments</w:t>
      </w:r>
    </w:p>
    <w:p>
      <w:pPr>
        <w:pStyle w:val="TextBody"/>
        <w:bidi w:val="0"/>
        <w:spacing w:lineRule="auto" w:line="288" w:before="240" w:after="180"/>
        <w:ind w:left="0" w:right="0" w:firstLine="720"/>
        <w:jc w:val="left"/>
        <w:rPr/>
      </w:pPr>
      <w:r>
        <w:rPr>
          <w:rFonts w:ascii="Times New Roman;serif" w:hAnsi="Times New Roman;serif"/>
          <w:b w:val="false"/>
          <w:color w:val="000000"/>
          <w:sz w:val="20"/>
        </w:rPr>
        <w:t xml:space="preserve">During the six months ended June 30, 2026, there were no material changes to our lease commitments from those described in Note 11, </w:t>
      </w:r>
      <w:r>
        <w:rPr>
          <w:rFonts w:ascii="Times New Roman;serif" w:hAnsi="Times New Roman;serif"/>
          <w:b w:val="false"/>
          <w:i/>
          <w:color w:val="000000"/>
          <w:sz w:val="20"/>
        </w:rPr>
        <w:t xml:space="preserve">Leases, </w:t>
      </w:r>
      <w:r>
        <w:rPr>
          <w:rFonts w:ascii="Times New Roman;serif" w:hAnsi="Times New Roman;serif"/>
          <w:b w:val="false"/>
          <w:color w:val="000000"/>
          <w:sz w:val="20"/>
        </w:rPr>
        <w:t>of our financial statements in the Annual Report.</w:t>
      </w:r>
    </w:p>
    <w:p>
      <w:pPr>
        <w:pStyle w:val="TextBody"/>
        <w:bidi w:val="0"/>
        <w:spacing w:lineRule="auto" w:line="288" w:before="240" w:after="180"/>
        <w:jc w:val="left"/>
        <w:rPr>
          <w:rFonts w:ascii="Times New Roman;serif" w:hAnsi="Times New Roman;serif"/>
          <w:b/>
          <w:i/>
          <w:color w:val="000000"/>
          <w:sz w:val="20"/>
        </w:rPr>
      </w:pPr>
      <w:r>
        <w:rPr>
          <w:rFonts w:ascii="Times New Roman;serif" w:hAnsi="Times New Roman;serif"/>
          <w:b/>
          <w:i/>
          <w:color w:val="000000"/>
          <w:sz w:val="20"/>
        </w:rPr>
        <w:t>Purchase and Other Obligations</w:t>
      </w:r>
    </w:p>
    <w:p>
      <w:pPr>
        <w:pStyle w:val="TextBody"/>
        <w:bidi w:val="0"/>
        <w:spacing w:lineRule="auto" w:line="288" w:before="24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enter into contracts in the normal course of business with CROs, third-party manufacturers, and other third parties for preclinical research studies and testing and manufacturing services. These contracts do not contain minimum purchase commitments and are cancellable by us upon prior written notice. Payments due upon cancellation consist only of payments for services provided or expenses incurred, including non-cancelable obligations of our service providers, up to the date of cancellation.</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have also entered into license agreements under which we are obligated to make certain payments. During the six months ended June 30, 2026, there were no material changes to our commitments and contingencies related to our license agreements from those described in "Business—Intellectual property— License agreement with The Ohio State University" and Note 11,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to our financial statements in the Annual Report. For additional information regarding our license agreements, refer to Note 11,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to our condensed consolidated financial statements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Emerging Growth Company and Smaller Reporting Company Status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an "emerging growth company" ("EGC") under the Jumpstart Our Business Startups Act of 2012 (the "JOBS Act"). Section 107 of the JOBS Act provides that an EGC can take advantage of the extended transition period provided in Section 7(a)(2)(B) of the Securities Act of 1933, as amended (the "Securities Act"), for complying with new or revised accounting standards. Thus, an EGC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 entities.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an EGC, we may, and intend to, take advantage of certain exemptions and reduced reporting requirements under the JOBS Act. Subject to certain conditions, as an EGC:</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avail ourselves of the exemption from providing an auditor's attestation report on our system of internal controls over financial reporting pursuant to Section 404(b) of the Sarbanes-Oxley Act of 2002, as amended (the "Sarbanes-Oxley Act");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avail ourselves of the exemption from complying with any requirement that may be adopted by the Public Company Accounting Oversight Board ("PCAOB") regarding mandatory audit firm rotation or a supplement to the auditor's report providing additional information about the audit and the financial statements, known as the auditor discussion and analysis;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provide reduced disclosure about our executive compensation arrangements;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not require nonbinding advisory votes on executive compensation or stockholder approval of any golden parachute payments.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remain an EGC until the earliest to occur of (i) the last day of the fiscal year following the fifth anniversary of the completion of our initial public offering ("IPO"), (ii) the last day of the fiscal year in which we have total annual gross revenues of $1.235 billion or more, (iii) the date on which we have issued more than $1.0 billion in non-convertible debt during the previous rolling three-year period or (iv) the date on which we are deemed to be a large accelerated filer under the Securities Exchange Act of 1934, as amended (the "Exchange Act").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a "smaller reporting company" because the market value of our stock held by non-affiliates was less than $250 million as of June 30, 2025.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51485"/>
                <wp:effectExtent l="0" t="0" r="0" b="0"/>
                <wp:wrapNone/>
                <wp:docPr id="40" name="Frame3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 we may choose to present only the two most recent fiscal years of audited financial statements in our Annual Report and, similar to emerging growth companies, smaller reporting companies have reduced disclosure obligations regarding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See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to our condensed consolidated financial statements included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Item 3.</w:t>
      </w:r>
      <w:r>
        <w:rPr>
          <w:color w:val="000000"/>
        </w:rPr>
        <w:t xml:space="preserve"> </w:t>
      </w:r>
      <w:r>
        <w:rPr>
          <w:rFonts w:ascii="Times New Roman;serif" w:hAnsi="Times New Roman;serif"/>
          <w:b/>
          <w:color w:val="000000"/>
          <w:sz w:val="20"/>
        </w:rPr>
        <w:t>Quantitative and Qualitative Disclosures About Market Risk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by Rule 12b-2 of the Exchange Act and are not required to provide the information required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Our management, with the participation of our Chief Executive Officer and our Chief Financial Officer (our principal executive officer and principal financial and accounting officer, respectively), evaluated the effectiveness of our disclosure controls and procedures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our Chief Executive Officer and our Chief Financial Officer concluded that, as of such date, our disclosure controls and procedures were effective at the reasonable assurance level</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51485"/>
                <wp:effectExtent l="0" t="0" r="0" b="0"/>
                <wp:wrapNone/>
                <wp:docPr id="41" name="Frame3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claims are made against the Company in the ordinary course of business, which could result in litigation. Claims and associated litigation are subject to inherent uncertainties, and unfavorable outcomes could occur. In the opinion of management, the resolution of these matters, if any, will not have a material adverse impact on the Company's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40"/>
        <w:ind w:left="0" w:right="0" w:firstLine="720"/>
        <w:jc w:val="left"/>
        <w:rPr/>
      </w:pPr>
      <w:r>
        <w:rPr>
          <w:rFonts w:ascii="Times New Roman;serif" w:hAnsi="Times New Roman;serif"/>
          <w:b w:val="false"/>
          <w:i/>
          <w:color w:val="000000"/>
          <w:sz w:val="20"/>
        </w:rPr>
        <w:t>In evaluating the Company and our business, careful consideration should be given to the following risk factors, in addition to the other information set forth in this Quarterly Report on Form 10-Q ("Quarterly Report") and in other documents that we file with the Securities and Exchange Commission ("SEC"). Investing in our common stock involves a high degree of risk. If any of the following risks are realized, our business, financial condition, results of operations and prospects could be materially and adversely affected. In that event, the trading price of our common stock could decline and you could lose part or all of your investment. Unless otherwise indicated, reference in this section and elsewhere in this Quarterly Report to our business being adversely affected, negatively impacted or harmed will include an adverse effect on, or a negative impact or harm to, the business, reputation, financial condition, results of operations, revenue and our future prospects. The material and other risks and uncertainties summarized above and described below are not intended to be exhaustive and are not the only ones we face. Additional risks and uncertainties not presently known to us or that we currently deem immaterial may also impair our business operations. This Quarterly Report also contains forward-looking statements that involve risks and uncertainties. Our actual results could differ materially from those anticipated in the forward-looking statements as a result of a number of factors, including the risks described below. See the section titled "Cautionary Note Regarding Forward-Looking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pPr>
      <w:r>
        <w:rPr>
          <w:rFonts w:ascii="Times New Roman;serif" w:hAnsi="Times New Roman;serif"/>
          <w:b/>
          <w:color w:val="000000"/>
          <w:sz w:val="20"/>
        </w:rPr>
        <w:t>Risks Related to Our Limited Operating History, Financial Position and Capital Requirements</w:t>
      </w:r>
      <w:r>
        <w:rPr>
          <w:color w:val="000000"/>
        </w:rPr>
        <w:t xml:space="preserve"> </w:t>
      </w:r>
    </w:p>
    <w:p>
      <w:pPr>
        <w:pStyle w:val="TextBody"/>
        <w:bidi w:val="0"/>
        <w:spacing w:lineRule="auto" w:line="268" w:before="240" w:after="283"/>
        <w:jc w:val="left"/>
        <w:rPr/>
      </w:pPr>
      <w:r>
        <w:rPr>
          <w:rFonts w:ascii="Times New Roman;serif" w:hAnsi="Times New Roman;serif"/>
          <w:b/>
          <w:i/>
          <w:color w:val="000000"/>
          <w:sz w:val="20"/>
        </w:rPr>
        <w:t>We have a limited operating history, have incurred significant operating losses since our inception and expect to incur significant losses for the foreseeable future. We may never generate any revenue from product sales or become profitable or, if we achieve profitability, we may not be able to sustain it.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Biopharmaceutical product development is a highly speculative undertaking and involves a substantial degree of risk. We are a clinical-stage biopharmaceutical company with a limited operating history upon which our stockholders can evaluate our business and prospects. While our programs for ENTR-601-44, ENTR-601-45, ENTR-601-50, ENTR-601-51 and our partnered candidate VX-670 are in the clinical development stage or have completed Investigational New Drug</w:t>
      </w:r>
      <w:r>
        <w:rPr>
          <w:color w:val="000000"/>
        </w:rPr>
        <w:t xml:space="preserve"> </w:t>
      </w:r>
      <w:r>
        <w:rPr>
          <w:rFonts w:ascii="Times New Roman;serif" w:hAnsi="Times New Roman;serif"/>
          <w:b w:val="false"/>
          <w:color w:val="000000"/>
          <w:sz w:val="20"/>
        </w:rPr>
        <w:t xml:space="preserve">application ("IND") and/or Clinical Trial Application ("CTA")-enabling studies, we have additional programs in the preclinical development or in the drug discovery stage. We commenced operations in 2016, and to date, we have focused primarily on organizing and staffing our company, business planning, raising capital, developing our proprietary, highly versatile and modular Endosomal Escape Vehicle ("EEV") platform ("EEV Platform"), identifying therapeutic candidates, establishing our intellectual property portfolio and conducting research and preclinical studies. Our approach to the discovery and development of therapeutic candidates that are based on our EEV Platform is unproven, and we do not know whether we will be able to conduct clinical studies on any of our therapeutic candidates beyond ENTR-601-44, ENTR-601-45 and our partnered candidate VX-670, develop any therapeutic candidates that succeed in clinical development or produce products of commercial value. As an organization, we have only completed a Phase 1 clinical trial of ENTR-601-44 in healthy volunteers in the UK and the MAD portion of the first cohorts of Phase 1/2 clinical trials in the UK and the EU for ENTR-601-44 and ENTR-601-45, and we have not completed the clinical development of any therapeutic candidate nor have we obtained any regulatory approvals, manufactured a commercial-scale product, or arranged for a third party to do so on our behalf, or conducted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 </w:t>
      </w:r>
    </w:p>
    <w:p>
      <w:pPr>
        <w:pStyle w:val="TextBody"/>
        <w:bidi w:val="0"/>
        <w:spacing w:lineRule="auto" w:line="268" w:before="240" w:after="283"/>
        <w:ind w:left="0" w:right="0" w:firstLine="720"/>
        <w:jc w:val="left"/>
        <w:rPr/>
      </w:pPr>
      <w:r>
        <w:rPr>
          <w:rFonts w:ascii="Times New Roman;serif" w:hAnsi="Times New Roman;serif"/>
          <w:b w:val="false"/>
          <w:color w:val="000000"/>
          <w:sz w:val="20"/>
        </w:rPr>
        <w:t xml:space="preserve">We have incurred significant operating losses since our inception. We do not have any products approved for sale and have not generated any product revenue since our inception. If our therapeutic candidates are not successfully developed and approved, we may never generate any significant revenue from product sales. We have incurred significant net losses since inception. As of June 30, 2026, we had an accumulated deficit of </w:t>
      </w:r>
      <w:r>
        <w:rPr>
          <w:rFonts w:ascii="Times New Roman;serif" w:hAnsi="Times New Roman;serif"/>
          <w:b w:val="false"/>
          <w:color w:val="000000"/>
          <w:sz w:val="20"/>
          <w:shd w:fill="FFFFFF" w:val="clear"/>
        </w:rPr>
        <w:t>$355.6 million</w:t>
      </w:r>
      <w:r>
        <w:rPr>
          <w:rFonts w:ascii="Times New Roman;serif" w:hAnsi="Times New Roman;serif"/>
          <w:b w:val="false"/>
          <w:color w:val="000000"/>
          <w:sz w:val="20"/>
        </w:rPr>
        <w:t xml:space="preserve">. Substantially all of our losses have resulted from expenses incurred in connection with our research and development programs and from general and administrative costs associated with our operations. All of our therapeutic candidates will require substantial additional development time and resources before we would be able to apply for or receive regulatory approvals and begin generating revenue from product sales. We expect to continue to incur losses for the foreseeable future, and we anticipate these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51485"/>
                <wp:effectExtent l="0" t="0" r="0" b="0"/>
                <wp:wrapNone/>
                <wp:docPr id="42" name="Frame3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will increase substantially as we continue our development of, seek regulatory approval for and potentially commercialize any of our therapeutic candidates.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become and remain profitable, we must succeed in developing and eventually commercializing products that generate significant revenue. This will require us to be successful in a range of challenging activities, including completing preclinical studies and clinical trials of our therapeutic candidates, identifying lead therapeutic candidates, discovering additional therapeutic candidates, conducting preclinical studies prior to submitting an IND and/or CTA, obtaining clearance for INDs/CTAs, obtaining regulatory approval for these therapeutic candidates and manufacturing, marketing and selling any products for which we may obtain regulatory approval. We are only in the preliminary stages of most of these activities. We may not succeed in completing necessary activities and regulatory approvals necessary to bring a product to market and, even if we do, may never generate revenues that are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therapeutic candidates or even continue our operations. A decline in the value of our company could also cause our stockholders to lose all or part of their investment.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limited operating history may make it difficult to evaluate our technology and industry and predict our future performance. Though several groups have conducted or are conducting studies involving the intracellular delivery of therapeutic molecules, the relevance of those studies to the evaluation of therapeutic candidates developed using our EEV Platform may be difficult to ascertain. Our short history as an operating company and novel therapeutic approach make any assessment of our future success or viability subject to significant uncertainty. We will encounter risks and difficulties frequently experienced by earlier stage companies in rapidly evolving fields. Failure to address these risks successfully will cause our business to suffer. Similarly, we expect that our financial condition and operating results will fluctuate significantly from quarter to quarter and year to year due to a variety of factors, many of which are beyond our control. As a result, our stockholders should not rely upon the results of any quarterly or annual period as an indicator of future operating performance.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as an early clinical-stage company, we have encountered unforeseen expenses, difficulties, complications, delays and other known and unknown circumstances. As we advance our therapeutic candidates, we will need to continue our transition from a company with a research focus to a company supporting clinical development and if successful, capable of supporting commercial activities. We may not continue to be successful in our transition. </w:t>
      </w:r>
    </w:p>
    <w:p>
      <w:pPr>
        <w:pStyle w:val="TextBody"/>
        <w:bidi w:val="0"/>
        <w:spacing w:lineRule="auto" w:line="268" w:before="240" w:after="283"/>
        <w:jc w:val="left"/>
        <w:rPr/>
      </w:pPr>
      <w:r>
        <w:rPr>
          <w:rFonts w:ascii="Times New Roman;serif" w:hAnsi="Times New Roman;serif"/>
          <w:b/>
          <w:i/>
          <w:color w:val="000000"/>
          <w:sz w:val="20"/>
        </w:rPr>
        <w:t>We will require additional financing to achieve our goals, and a failure to obtain this necessary capital when needed on acceptable terms, or at all, could force us to delay, limit, reduce or terminate our development programs, commercialization efforts or other operations.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development of biopharmaceutical therapeutic candidates is capital-intensive. We expect our expenses to increase in connection with our ongoing activities, particularly as we conduct our ongoing and planned preclinical studies of our development programs, continue to initiate clinical trials for our therapeutic candidates and seek regulatory approval for our current therapeutic candidates and any future therapeutic candidates we may develop. If we obtain regulatory approval for any of our therapeutic candidates, we also expect to incur significant commercialization expenses related to product manufacturing, marketing, sales and distribution. Because the outcome of any preclinical study or clinical trial is highly uncertain, we cannot reasonably estimate the actual amounts necessary to successfully complete the development and commercialization of our therapeutic candidates. Furthermore, we expect to incur additional costs associated with operating as a public company. Accordingly, we will need to obtain substantial additional funding in connection with our continuing operations. Failing to raise capital when needed or on attractive terms could force us to delay, reduce or eliminate our research and development programs or any future commercialization efforts. Based on our current operating plans, we believe that our cash, cash equivalents and marketable securities as of June 30, 2026 will be sufficient to fund our operations into the third quarter of 2027. We have based this estimate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capital sources, including potentially additional collaborations, licenses and other similar arrangements. In addition, we may seek additional capital due to favorable market conditions or strategic considerations even if we believe we have sufficient funds for our current or future operating plans. For example, in November 2025, we entered into a sales agreement (the "Sales Agreement") with TD Securities (USA) LLC (f/k/a Cowen and Company, LLC) acting as our agent and/or principal (the "Sales Agent"), with respect to an "at the market offering" program under which we may offer and sell, from time to time, at our sole discretion,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51485"/>
                <wp:effectExtent l="0" t="0" r="0" b="0"/>
                <wp:wrapNone/>
                <wp:docPr id="43" name="Frame3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pPr>
      <w:r>
        <w:rPr>
          <w:rFonts w:ascii="Times New Roman;serif" w:hAnsi="Times New Roman;serif"/>
          <w:b w:val="false"/>
          <w:color w:val="000000"/>
          <w:sz w:val="20"/>
        </w:rPr>
        <w:t>shares of common stock having an aggregate offering price of up to $150.0 million through the Sales Agent. However, there can be no assurance that the Sales Agent will be successful in consummating future sales based on prevailing market conditions or in the quantities or at the prices that we deem appropriate.</w:t>
      </w:r>
      <w:r>
        <w:rPr>
          <w:color w:val="008080"/>
        </w:rPr>
        <w:t xml:space="preserve"> </w:t>
      </w:r>
      <w:r>
        <w:rPr>
          <w:rFonts w:ascii="Times New Roman;serif" w:hAnsi="Times New Roman;serif"/>
          <w:b w:val="false"/>
          <w:color w:val="000000"/>
          <w:sz w:val="20"/>
        </w:rPr>
        <w:t xml:space="preserve">Attempting to secure additional financing may divert our management from our day-to-day activities, which may adversely affect our ability to develop our therapeutic candidates. Our future capital requirements will depend on many factors, including, but not limited to: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type, number, scope, progress, expansions, results, costs and timing of our preclinical studies and any clinical trials of the therapeutic candidates that we are pursuing or may choose to pursue in the future;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clinical development plans we establish for our therapeutic candidates;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costs and timing of manufacturing for our therapeutic candidates and commercial manufacturing if any therapeutic candidate is approved;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costs of establishing and maintaining clinical and commercial supply for the development and manufacture of our therapeutic candidates;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costs, timing and outcome of regulatory review of our therapeutic candidates;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terms and timing of establishing and maintaining collaborations, licenses and other similar arrangements;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costs of obtaining, maintaining and enforcing our patents and other intellectual property rights;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our efforts to enhance operational systems and hire additional personnel to satisfy our obligations as a public company, including enhanced internal controls over financial reporting;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costs associated with hiring additional personnel and consultants as our preclinical and clinical activities increase;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achievement of milestones or occurrence of other developments that trigger payments under any collaboration agreements, if any;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costs and timing of establishing or securing sales and marketing capabilities if any therapeutic candidate is approved;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subject to receipt of regulatory approval, revenue, if any, received from commercial sales of our therapeutic candidates;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our ability to achieve sufficient market acceptance, coverage and adequate reimbursement from third-party payors and adequate market share and revenue for any approved products;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costs of preparing, filing and prosecuting patent applications, maintaining and protecting our intellectual property rights, including enforcing and defending intellectual property related claims; and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ongoing costs of operating as a public company.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Identifying potential therapeutic candidates and conducting preclinical studies and clinical trials is a time-consuming, expensive and uncertain process that takes years to complete, and we may never generate the necessary data or results required to obtain regulatory approval and commercialize our therapeutic candidates. In addition, our therapeutic candidates, if approved, may not achieve commercial success. Our commercial revenues, if any, will be derived from sales of products that we do not expect to be commercially available for many years, if at all.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we will need to continue to rely on additional financing to achieve our business objectives. Adequate additional financing may not be available to us on acceptable terms, or at all. </w:t>
      </w:r>
    </w:p>
    <w:p>
      <w:pPr>
        <w:pStyle w:val="TextBody"/>
        <w:bidi w:val="0"/>
        <w:spacing w:lineRule="auto" w:line="268" w:before="240" w:after="283"/>
        <w:jc w:val="left"/>
        <w:rPr/>
      </w:pPr>
      <w:r>
        <w:rPr>
          <w:rFonts w:ascii="Times New Roman;serif" w:hAnsi="Times New Roman;serif"/>
          <w:b/>
          <w:i/>
          <w:color w:val="000000"/>
          <w:sz w:val="20"/>
        </w:rPr>
        <w:t>Our operating results may fluctuate significantly, which makes our future operating results difficult to predict and could cause our operating results to fall below expectations or our guidance.</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51485"/>
                <wp:effectExtent l="0" t="0" r="0" b="0"/>
                <wp:wrapNone/>
                <wp:docPr id="44" name="Frame4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time, including our underlying stock price and stock price volatility, the magnitude of the expense that we must recognize may vary significantly.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our operating results may fluctuate due to a variety of other factors, many of which are outside of our control and may be difficult to predict, including the following: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timing and cost of, and level of investment in, research and development activities relating to our programs, which will change from time to time;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our ability to enroll patients in clinical trials and the timing of enrollment;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cost of manufacturing our current therapeutic candidates and any future therapeutic candidates, which may vary depending on the U.S. Food and Drug Administration ("FDA"), the European Medicines Agency ("EMA") or other comparable foreign regulatory authority guidelines and requirements, the quantity of production and the terms of our agreements with manufacturers;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expenditures that we will or may incur to acquire or develop additional therapeutic candidates and technologies or other assets;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timing and outcomes of preclinical studies and clinical trials for ENTR-601-44, ENTR-601-45, ENTR-601-50, ENTR-601-51, ENTR-801, our partnered candidate VX-670 and any therapeutic candidates from our discovery programs, or competing therapeutic candidates;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need to conduct unanticipated clinical trials or trials that are larger or more complex than anticipated; </w:t>
      </w:r>
    </w:p>
    <w:p>
      <w:pPr>
        <w:pStyle w:val="TextBody"/>
        <w:bidi w:val="0"/>
        <w:spacing w:lineRule="auto" w:line="268" w:before="120" w:after="283"/>
        <w:ind w:left="0" w:right="0" w:hanging="360"/>
        <w:jc w:val="left"/>
        <w:rPr/>
      </w:pPr>
      <w:r>
        <w:rPr>
          <w:color w:val="000000"/>
          <w:shd w:fill="FFFFFF" w:val="clear"/>
        </w:rPr>
        <w:t>•</w:t>
      </w:r>
      <w:r>
        <w:rPr>
          <w:rFonts w:ascii="Times New Roman;serif" w:hAnsi="Times New Roman;serif"/>
          <w:b w:val="false"/>
          <w:color w:val="000000"/>
          <w:sz w:val="20"/>
        </w:rPr>
        <w:t xml:space="preserve">competition from existing and potential future products that compete with ENTR-601-44, ENTR-601-45, </w:t>
      </w:r>
      <w:r>
        <w:rPr>
          <w:rFonts w:ascii="Times New Roman;serif" w:hAnsi="Times New Roman;serif"/>
          <w:b w:val="false"/>
          <w:color w:val="000000"/>
          <w:sz w:val="20"/>
          <w:shd w:fill="FFFFFF" w:val="clear"/>
        </w:rPr>
        <w:t xml:space="preserve">ENTR-601-50, ENTR-601-51, </w:t>
      </w:r>
      <w:r>
        <w:rPr>
          <w:rFonts w:ascii="Times New Roman;serif" w:hAnsi="Times New Roman;serif"/>
          <w:b w:val="false"/>
          <w:color w:val="000000"/>
          <w:sz w:val="20"/>
        </w:rPr>
        <w:t xml:space="preserve">ENTR-801, our partnered candidate VX-670 or any of our discovery programs, and changes in the competitive landscape of our industry, including consolidation among our competitors or partners; </w:t>
      </w:r>
    </w:p>
    <w:p>
      <w:pPr>
        <w:pStyle w:val="TextBody"/>
        <w:bidi w:val="0"/>
        <w:spacing w:lineRule="auto" w:line="268" w:before="120" w:after="283"/>
        <w:ind w:left="0" w:right="0" w:hanging="360"/>
        <w:jc w:val="left"/>
        <w:rPr/>
      </w:pPr>
      <w:r>
        <w:rPr>
          <w:color w:val="000000"/>
          <w:shd w:fill="FFFFFF" w:val="clear"/>
        </w:rPr>
        <w:t>•</w:t>
      </w:r>
      <w:r>
        <w:rPr>
          <w:rFonts w:ascii="Times New Roman;serif" w:hAnsi="Times New Roman;serif"/>
          <w:b w:val="false"/>
          <w:color w:val="000000"/>
          <w:sz w:val="20"/>
        </w:rPr>
        <w:t xml:space="preserve">any delays in regulatory review or approval of ENTR-601-44, ENTR-601-45, </w:t>
      </w:r>
      <w:r>
        <w:rPr>
          <w:rFonts w:ascii="Times New Roman;serif" w:hAnsi="Times New Roman;serif"/>
          <w:b w:val="false"/>
          <w:color w:val="000000"/>
          <w:sz w:val="20"/>
          <w:shd w:fill="FFFFFF" w:val="clear"/>
        </w:rPr>
        <w:t xml:space="preserve">ENTR-601-50, ENTR-601-51, </w:t>
      </w:r>
      <w:r>
        <w:rPr>
          <w:rFonts w:ascii="Times New Roman;serif" w:hAnsi="Times New Roman;serif"/>
          <w:b w:val="false"/>
          <w:color w:val="000000"/>
          <w:sz w:val="20"/>
        </w:rPr>
        <w:t>ENTR-801,</w:t>
      </w:r>
      <w:r>
        <w:rPr>
          <w:color w:val="000000"/>
          <w:shd w:fill="FFFFFF" w:val="clear"/>
        </w:rPr>
        <w:t xml:space="preserve"> </w:t>
      </w:r>
      <w:r>
        <w:rPr>
          <w:rFonts w:ascii="Times New Roman;serif" w:hAnsi="Times New Roman;serif"/>
          <w:b w:val="false"/>
          <w:color w:val="000000"/>
          <w:sz w:val="20"/>
        </w:rPr>
        <w:t xml:space="preserve">our partnered candidate VX-670 or therapeutic candidates from any of our discovery programs;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level of demand for any of our therapeutic candidates, if approved, which may fluctuate significantly and be difficult to predict; </w:t>
      </w:r>
    </w:p>
    <w:p>
      <w:pPr>
        <w:pStyle w:val="TextBody"/>
        <w:bidi w:val="0"/>
        <w:spacing w:lineRule="auto" w:line="268" w:before="120" w:after="283"/>
        <w:ind w:left="0" w:right="0" w:hanging="360"/>
        <w:jc w:val="left"/>
        <w:rPr/>
      </w:pPr>
      <w:r>
        <w:rPr>
          <w:color w:val="000000"/>
          <w:shd w:fill="FFFFFF" w:val="clear"/>
        </w:rPr>
        <w:t>•</w:t>
      </w:r>
      <w:r>
        <w:rPr>
          <w:rFonts w:ascii="Times New Roman;serif" w:hAnsi="Times New Roman;serif"/>
          <w:b w:val="false"/>
          <w:color w:val="000000"/>
          <w:sz w:val="20"/>
        </w:rPr>
        <w:t xml:space="preserve">the risk/benefit profile, cost and reimbursement policies with respect to our therapeutic candidates, if approved, and existing and potential future products that compete with ENTR-601-44, ENTR-601-45, </w:t>
      </w:r>
      <w:r>
        <w:rPr>
          <w:rFonts w:ascii="Times New Roman;serif" w:hAnsi="Times New Roman;serif"/>
          <w:b w:val="false"/>
          <w:color w:val="000000"/>
          <w:sz w:val="20"/>
          <w:shd w:fill="FFFFFF" w:val="clear"/>
        </w:rPr>
        <w:t xml:space="preserve">ENTR-601-50, ENTR-601-51, </w:t>
      </w:r>
      <w:r>
        <w:rPr>
          <w:rFonts w:ascii="Times New Roman;serif" w:hAnsi="Times New Roman;serif"/>
          <w:b w:val="false"/>
          <w:color w:val="000000"/>
          <w:sz w:val="20"/>
        </w:rPr>
        <w:t xml:space="preserve">ENTR-801, our partnered candidate VX-670 or any of our discovery programs; </w:t>
      </w:r>
    </w:p>
    <w:p>
      <w:pPr>
        <w:pStyle w:val="TextBody"/>
        <w:bidi w:val="0"/>
        <w:spacing w:lineRule="auto" w:line="268" w:before="120" w:after="283"/>
        <w:ind w:left="0" w:right="0" w:hanging="360"/>
        <w:jc w:val="left"/>
        <w:rPr/>
      </w:pPr>
      <w:r>
        <w:rPr>
          <w:color w:val="000000"/>
          <w:shd w:fill="FFFFFF" w:val="clear"/>
        </w:rPr>
        <w:t>•</w:t>
      </w:r>
      <w:r>
        <w:rPr>
          <w:rFonts w:ascii="Times New Roman;serif" w:hAnsi="Times New Roman;serif"/>
          <w:b w:val="false"/>
          <w:color w:val="000000"/>
          <w:sz w:val="20"/>
        </w:rPr>
        <w:t xml:space="preserve">our or our partners' ability to commercialize ENTR-601-44, ENTR-601-45, </w:t>
      </w:r>
      <w:r>
        <w:rPr>
          <w:rFonts w:ascii="Times New Roman;serif" w:hAnsi="Times New Roman;serif"/>
          <w:b w:val="false"/>
          <w:color w:val="000000"/>
          <w:sz w:val="20"/>
          <w:shd w:fill="FFFFFF" w:val="clear"/>
        </w:rPr>
        <w:t xml:space="preserve">ENTR-601-50, ENTR-601-51, </w:t>
      </w:r>
      <w:r>
        <w:rPr>
          <w:rFonts w:ascii="Times New Roman;serif" w:hAnsi="Times New Roman;serif"/>
          <w:b w:val="false"/>
          <w:color w:val="000000"/>
          <w:sz w:val="20"/>
        </w:rPr>
        <w:t xml:space="preserve">ENTR-801, our partnered candidate VX-670 or therapeutic candidates from any of our discovery programs, if approved, inside and outside of the U.S., either independently or working with third parties;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our ability to establish and maintain collaborations, licensing or other arrangements;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potential unforeseen business disruptions that increase our costs or expenses;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future accounting pronouncements or changes in our accounting policies; and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changing and volatile U.S. and global economic and political environment.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pPr>
      <w:r>
        <w:rPr>
          <w:rFonts w:ascii="Times New Roman;serif" w:hAnsi="Times New Roman;serif"/>
          <w:b/>
          <w:color w:val="000000"/>
          <w:sz w:val="20"/>
        </w:rPr>
        <w:t>Risks Related to the Discovery, Development and Regulatory Approval of Our Therapeutic Candidates</w:t>
      </w:r>
      <w:r>
        <w:rPr>
          <w:color w:val="000000"/>
        </w:rPr>
        <w:t xml:space="preserve"> </w:t>
      </w:r>
    </w:p>
    <w:p>
      <w:pPr>
        <w:pStyle w:val="TextBody"/>
        <w:bidi w:val="0"/>
        <w:spacing w:lineRule="auto" w:line="268" w:before="240" w:after="283"/>
        <w:jc w:val="left"/>
        <w:rPr/>
      </w:pPr>
      <w:r>
        <w:rPr>
          <w:rFonts w:ascii="Times New Roman;serif" w:hAnsi="Times New Roman;serif"/>
          <w:b/>
          <w:i/>
          <w:color w:val="000000"/>
          <w:sz w:val="20"/>
        </w:rPr>
        <w:t>We are early in our development efforts and as a result it will be years before we commercialize a therapeutic candidate, if ever. If we are unable to identify and advance therapeutic candidates through preclinical studies and/or clinical trials, obtain marketing approval and ultimately commercialize them, or experience significant delays in doing so, our business will be materially harmed.</w:t>
      </w:r>
      <w:r>
        <w:rPr>
          <w:color w:val="000000"/>
        </w:rPr>
        <w:t xml:space="preserve"> </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early in our development efforts and all our development programs, including our lead therapeutic candidates ENTR-601-44, ENTR-601-45, our clinic ready candidates ENTR-601-50 and ENTR-601-51, our partnered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51485"/>
                <wp:effectExtent l="0" t="0" r="0" b="0"/>
                <wp:wrapNone/>
                <wp:docPr id="45" name="Frame4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candidate VX-670, and ENTR-801, which is in the preclinical stage. We have invested substantially all of our research efforts to date in developing our EEV Platform, identifying potential therapeutic candidates, conducting preclinical studies, and initiating early clinical studies. As an organization, we have only completed a Phase 1 clinical trial of ENTR-601-44 in healthy volunteers in the UK and the MAD portion of the first cohorts of Phase 1/2 clinical trials in the UK and the EU for ENTR-601-44 and ENTR-601-45, and we have not completed the clinical development of any therapeutic candidate nor have we submitted an application for regulatory approval, and we may be unable to do so for our therapeutic candidates. We have completed CTA/IND-enabling studies for ENTR-601-44, ENTR-601-45, ENTR-601-50, ENTR-601-51 and VX-670; however, we will need to complete CTA/IND-enabling studies for our other product candidates to support their progression into and/or through clinical studies in the United States and elsewhere. In addition, we have a development portfolio of programs that are in earlier stages of development and have not yet initiated or completed IND-enabling studies. We may never advance any additional therapeutic candidates through IND-enabling studies and receive authorization from the FDA, to proceed under an IND prior to initiating their clinical-stage development. Our ability to generate product revenue, which we do not expect will occur for many years, if ever, will depend heavily on the successful development and eventual commercialization of our therapeutic candidates, which may never occur. We currently generate no revenue from sales of any product, and we may never be able to develop or commercialize a marketable product. </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Commencing clinical trials in the United States is subject to acceptance by the FDA of an IND and finalizing the trial design based on discussions with the FDA and other regulatory authorities. For the FDA to accept an IND, we must complete Good Laboratory Practices ("GLP") studies, which may not be successful or may take longer than we expect. The FDA may require us to complete additional preclinical studies or we may be required to satisfy other FDA requests prior to commencing clinical trials in the United States, and such requests may not currently be known or anticipated, which may cause the start of our clinical trials to be delayed in the United States or prevent us from conducting clinical trials in the United States. Even after we receive and incorporate guidance from these regulatory authorities, the FDA or other regulatory authorities could disagree that we have satisfied their requirements to commence any clinical trial or change their position on the acceptability of our trial design or the clinical endpoints selected, which may require us to complete additional preclinical studies or clinical trials, impose stricter approval conditions than we currently expect or may prevent us from conducting clinical trials. There are equivalent processes and risks applicable to clinical trial applications in other countries, including countries in the European Union ("EU") and the United Kingdom ("UK").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Commercialization of any therapeutic candidates we may develop will require preclinical and clinical development; regulatory and marketing approval in each jurisdiction targeted for commercialization, including by the FDA, the EMA and the United Kingdom Medicines and Healthcare Products Regulatory Agency ("MHRA"); manufacturing supply, capacity and expertise; a commercial organization; and significant marketing efforts. The success of therapeutic candidates we may identify and develop will depend on many factors, including: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timely and successful completion of preclinical studies, including toxicology studies, biodistribution studies and minimally efficacious dose studies in animals, where applicable;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sufficiency of our financial and other resources to complete the necessary preclinical studies and clinical trials;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effective INDs, CTAs or other comparable foreign applications that allow commencement of our planned clinical trials or future clinical trials for any therapeutic candidates we may develop;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successful enrollment and completion of clinical trials, including under the FDA's current Good Clinical Practices ("GCPs"), GLPs and any additional regulatory requirements from foreign regulatory authorities, such as the International Council for Harmonisation of Technical Requirements for Pharmaceuticals for Human Use Guideline for Good Clinical Practice;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positive results from our current and future clinical trials that support a finding of safety and effectiveness and an acceptable risk-benefit profile in the intended populations;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receipt of regulatory marketing approvals from applicable regulatory authorities;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establishment of arrangements with third-party manufacturers for clinical supply and, where applicable, commercial manufacturing capabilities;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establishment, maintenance, defense and enforcement of patent, trademark, trade secret and other intellectual property protection or regulatory exclusivity for any therapeutic candidates we may develop;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patient recruitment and enrollment;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commercial launch of any therapeutic candidates we may develop, if approved, whether alone or in collaboration with others;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acceptance of the benefits and use of our therapeutic candidates we may develop, including method of administration, if and when approved, by patients, the medical community and third-party payors;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our ability to compete effectively with other therapies and treatment options;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51485"/>
                <wp:effectExtent l="0" t="0" r="0" b="0"/>
                <wp:wrapNone/>
                <wp:docPr id="46" name="Frame4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maintenance of a continued acceptable safety, tolerability and efficacy profile of any therapeutic candidates we may develop following approval; and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establishment and maintenance of healthcare coverage and adequate reimbursement by payors.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do not succeed in one or more of these factors in a timely manner or at all, we could experience significant delays or an inability to successfully commercialize any therapeutic candidates we may develop, which would materially harm our business. If we are unable to advance our therapeutic candidates to clinical development, obtain regulatory approval and ultimately commercialize our therapeutic candidates, or experience significant delays in doing so, our business will be materially harmed. </w:t>
      </w:r>
    </w:p>
    <w:p>
      <w:pPr>
        <w:pStyle w:val="TextBody"/>
        <w:bidi w:val="0"/>
        <w:spacing w:lineRule="auto" w:line="268" w:before="240" w:after="283"/>
        <w:jc w:val="left"/>
        <w:rPr/>
      </w:pPr>
      <w:r>
        <w:rPr>
          <w:rFonts w:ascii="Times New Roman;serif" w:hAnsi="Times New Roman;serif"/>
          <w:b/>
          <w:i/>
          <w:color w:val="000000"/>
          <w:sz w:val="20"/>
        </w:rPr>
        <w:t>Our business is highly dependent on the clinical advancement of our programs and modalities and is especially dependent on the success of our lead therapeutic candidates, ENTR-601-44 and ENTR-601-45, as well as ENTR-601-50, ENTR-601-51, ENTR-801 and our partnered candidate VX-670. Delay or failure to advance programs or modalities, including ENTR-601-44, ENTR-601-45, ENTR-601-50, ENTR-601-51, ENTR-801 and VX-670 could adversely impact our business.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Using our platform, we are developing product features for medicines based on EEV peptides. Over time, our platform work led to commonalities, where a specific combination of EEV technologies, delivery technologies, and manufacturing processes generated a set of product features shared by multiple programs, for example, oligonucleotide- and protein-conjugated EEV peptides. This is what we call a "modality." We are utilizing early programs in a modality, such as ENTR-601-44 for oligonucleotide-conjugated EEV peptides, to understand the technology risks within the modality, including manufacturing and pharmaceutical properties. Our lead therapeutic candidates ENTR-601-44 and ENTR-601-45 are being developed to address DMD, and we are highly dependent on the success of the current and future clinical trials of ENTR-601-44 and ENTR-601-45, the outcomes of which are uncertain, to further develop ENTR-601-50, our therapeutic candidate for patients with DMD who are exon 50 skipping amenable and ENTR-601-51, our therapeutic candidate for patients with DMD who are exon 51 skipping amenable. Because ENTR-601-44 is our EEV therapeutic candidate furthest along in clinical development, if ENTR-601-44 encounters safety, efficacy, supply or manufacturing problems, developmental delays, regulatory or commercialization issues or other problems, the value of our EEV Platform, including our other therapeutic candidates such as ENTR-601-45, ENTR-601-50, ENTR-601-51 and our partnered candidate VX-670, could be greatly diminished and our development plans and business would be significantly harmed.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Even if our earlier programs in a modality are successful in any phase of development any of such earlier programs may fail at a later phase of development, and other programs within the same modality may still fail at any phase of development including at phases where earlier programs in that modality were successful. This may be a result of technical challenges unique to that program or due to biology risk, which is unique to every program. As we progress our programs through clinical development, there may be new technical challenges that arise that cause an entire modality to fail. </w:t>
      </w:r>
    </w:p>
    <w:p>
      <w:pPr>
        <w:pStyle w:val="TextBody"/>
        <w:bidi w:val="0"/>
        <w:spacing w:lineRule="auto" w:line="268" w:before="240" w:after="283"/>
        <w:jc w:val="left"/>
        <w:rPr/>
      </w:pPr>
      <w:r>
        <w:rPr>
          <w:rFonts w:ascii="Times New Roman;serif" w:hAnsi="Times New Roman;serif"/>
          <w:b/>
          <w:i/>
          <w:color w:val="000000"/>
          <w:sz w:val="20"/>
        </w:rPr>
        <w:t>Our EEV therapeutic candidates are based on a novel therapeutic approach, which makes it difficult to predict the time and cost of development and of subsequently obtaining regulatory approval, if at all.</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Using EEV technology to develop therapeutic candidates is a new therapeutic approach and no products based on EEV peptides have been approved to date in the United States or the rest of the world. As such, it is difficult to accurately predict the developmental challenges we may face for our EEV therapeutic candidates as they proceed through development. As an organization, we have only completed a Phase 1 clinical trial of ENTR-601-44 in healthy volunteers in the UK and the MAD portion of the first cohorts of Phase 1/2 clinical trials in the UK and the EU for ENTR-601-44 and ENTR-601-45 and have not yet completed any clinical trials with our other therapeutic candidates. We have only limited data assessing safety of our approach in humans, and there may be short-term or long-term effects from treatment with any therapeutic candidates that we develop that we cannot predict at this time. Also, animal models may not exist for some of the diseases we choose to pursue in our programs. As a result of these factors, it is more difficult for us to predict the time and cost of therapeutic candidate development and we cannot predict whether our EEV Platform, or any similar or competitive intracellular delivery technologies, will enable the identification, development and regulatory approval of any products. There can be no assurance that any development problems we experience in the future related to our EEV Platform or any of our research programs will not cause significant delays or unanticipated costs or that such development problems can be solved. Any of these factors may prevent us from completing our preclinical studies or any clinical trials that we have initiated or may initiate or commercializing any therapeutic candidates we may develop on a timely or profitable basis, if at all.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clinical trial requirements of the FDA and other regulatory authorities and the criteria these regulators use to determine the safety and efficacy of a therapeutic candidate vary substantially according to the type, complexity, novelty and intended use and market of the therapeutic candidate. No products based on EEV peptides have been approved to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51485"/>
                <wp:effectExtent l="0" t="0" r="0" b="0"/>
                <wp:wrapNone/>
                <wp:docPr id="47" name="Frame4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regulators. As a result, the regulatory approval process for therapeutic candidates such as ours is uncertain and may be more expensive and take longer than the approval process for therapeutic candidates based on other, better known or more extensively studied technologies. For example, the general approach for FDA approval of a new biologic or drug is for sponsors to seek licensure or approval based on dispositive data from well-controlled, Phase 3 clinical trials of the relevant therapeutic candidate in the relevant patient population. Phase 3 clinical trials typically involve hundreds of patients, have significant costs and take years to complete. It is difficult to determine how long it will take or how much it will cost to obtain regulatory approvals for our therapeutic candidates in the U.S., the UK, or other regions of the world or how long it will take to commercialize our therapeutic candidates. Delay or failure to obtain or unexpected costs in obtaining the regulatory approvals necessary to bring a potential therapeutic candidate to market could decrease our ability to generate sufficient product revenue and our business, financial condition, results of operations and prospects may be harmed. </w:t>
      </w:r>
    </w:p>
    <w:p>
      <w:pPr>
        <w:pStyle w:val="TextBody"/>
        <w:bidi w:val="0"/>
        <w:spacing w:lineRule="auto" w:line="268" w:before="240" w:after="283"/>
        <w:jc w:val="left"/>
        <w:rPr/>
      </w:pPr>
      <w:r>
        <w:rPr>
          <w:rFonts w:ascii="Times New Roman;serif" w:hAnsi="Times New Roman;serif"/>
          <w:b/>
          <w:i/>
          <w:color w:val="000000"/>
          <w:sz w:val="20"/>
        </w:rPr>
        <w:t>Preclinical and clinical development involves a lengthy and expensive process with an uncertain outcome, and the results of preclinical studies are not necessarily predictive of the results of later preclinical studies and any clinical trials of our therapeutic candidates. We have not yet completed the testing of any of our therapeutic candidates in clinical trials and our therapeutic candidates may not have favorable results in clinical trials or receive regulatory approval on a timely basis, if at all.</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Preclinical and clinical development is expensive and can take many years to complete, and its outcome is inherently uncertain. We cannot guarantee that our preclinical studies or clinical trials will be conducted as planned or completed on schedule, if at all, and failure can occur at any time during the preclinical study or clinical trial process. Any positive results from our preclinical studies of our therapeutic candidates may not necessarily be predictive of the results in later preclinical studies and clinical trials. Similarly, even if we are able to complete our current or planned preclinical studies or clinical trials of our therapeutic candidates according to our current development timeline, the positive results from such preclinical studies and clinical trials may not be replicated in our subsequent preclinical studies or later-stage clinical trials. Despite promising preclinical or clinical results, any therapeutic candidate can unexpectedly fail at any stage of preclinical or clinical development. The historical failure rate for therapeutic candidates in our industry is high. </w:t>
      </w:r>
    </w:p>
    <w:p>
      <w:pPr>
        <w:pStyle w:val="TextBody"/>
        <w:bidi w:val="0"/>
        <w:spacing w:lineRule="auto" w:line="268" w:before="240" w:after="283"/>
        <w:ind w:left="0" w:right="0" w:firstLine="720"/>
        <w:jc w:val="left"/>
        <w:rPr/>
      </w:pPr>
      <w:r>
        <w:rPr>
          <w:rFonts w:ascii="Times New Roman;serif" w:hAnsi="Times New Roman;serif"/>
          <w:b w:val="false"/>
          <w:color w:val="000000"/>
          <w:sz w:val="20"/>
        </w:rPr>
        <w:t>The results from preclinical studies or clinical trials of a therapeutic candidate may not predict the results of later clinical trials of the therapeutic candidate, and interim, topline, or preliminary results of a clinical trial are not necessarily indicative of final results. Therapeutic candidates in later stages of clinical trials may fail to show the desired safety and efficacy characteristics despite having progressed through preclinical studies and initial clinical trials. In particular, while we have completed certain preclinical studies of our therapeutic candidates, a healthy normal volunteer study and one multi-ascending dose cohort in patients for ENTR-601-44, we do not know whether these therapeutic candidates will perform in current or future clinical trials as they have performed in these prior studies. The positive results we have observed for our therapeutic candidates in early, non-GLP preclinical studies and animal models may not be predictive of our current or future clinical trials in humans. Furthermore, for some indications that we are pursuing there are no animal models that adequately mirror the human disease to predict any level of positive results. It is not uncommon to observe results in clinical trials that are unexpected based on preclinical studies and early clinical trials, and many therapeutic candidates fail in clinical trials despite very promising early results. Unexpected observations or toxicities observed in our IND-enabling studies for example, could delay clinical trials for</w:t>
      </w:r>
      <w:r>
        <w:rPr>
          <w:color w:val="000000"/>
          <w:shd w:fill="FFFFFF" w:val="clear"/>
        </w:rPr>
        <w:t xml:space="preserve"> </w:t>
      </w:r>
      <w:r>
        <w:rPr>
          <w:rFonts w:ascii="Times New Roman;serif" w:hAnsi="Times New Roman;serif"/>
          <w:b w:val="false"/>
          <w:color w:val="000000"/>
          <w:sz w:val="20"/>
          <w:shd w:fill="FFFFFF" w:val="clear"/>
        </w:rPr>
        <w:t>ENTR-601-50, ENTR-601-51, ENTR-801</w:t>
      </w:r>
      <w:r>
        <w:rPr>
          <w:color w:val="000000"/>
        </w:rPr>
        <w:t xml:space="preserve"> </w:t>
      </w:r>
      <w:r>
        <w:rPr>
          <w:rFonts w:ascii="Times New Roman;serif" w:hAnsi="Times New Roman;serif"/>
          <w:b w:val="false"/>
          <w:color w:val="000000"/>
          <w:sz w:val="20"/>
        </w:rPr>
        <w:t xml:space="preserve">or our other development programs. Moreover, preclinical and clinical data may be susceptible to varying interpretations and analyses. A number of companies in the biopharmaceutical and biotechnology industries have suffered significant setbacks in clinical development even after achieving promising results in earlier studies, and companies that have believed their therapeutic candidates performed satisfactorily in preclinical studies and clinical trials have nonetheless failed to obtain FDA approval. Additionally, we are utilizing both a blinded multi-ascending dose portion and an "open label" portion in our ongoing clinical studies of ENTR-601-44 and ENTR-601-45 and may also do so for future clinical trials. In the ENTR-601-44 Phase 1/2 trial, patients from Cohort 1 have now transitioned from a double blind placebo control dosing regimen to a 6 dose open label regimen where all participants are administered the therapeutic candidate. The open label period may be subject to various limitations that may exaggerate any therapeutic effect as patients are aware that they are receiving the experimental treatment and physicians are aware that all the patients are receiving the experimental treatment. Reported outcomes may be subject to a "patient bias" where patients perceive their symptoms to have improved merely due to their awareness of receiving an experimental treatment. In addition, reported outcomes may be subject to an "investigator bias" where those assessing and reviewing the physiological outcomes of the clinical trials, being aware that all patients have received treatment, may interpret the information more favorably given this knowledge. The results from an open label trial may not be predictive of future clinical trial results with any of our therapeutic candidates for which we include an open label clinical trial when studied in a controlled environment with a placebo or active control.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foregoing reasons, we cannot be certain that our ongoing and planned preclinical studies and current and planned clinical trials will be successful. Any safety concerns observed in any one of our clinical trials in our targeted indications could limit the prospects for regulatory approval of our therapeutic candidates in those and other indications, which could have a material adverse effect on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51485"/>
                <wp:effectExtent l="0" t="0" r="0" b="0"/>
                <wp:wrapNone/>
                <wp:docPr id="48" name="Frame4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pPr>
      <w:r>
        <w:rPr>
          <w:rFonts w:ascii="Times New Roman;serif" w:hAnsi="Times New Roman;serif"/>
          <w:b/>
          <w:i/>
          <w:color w:val="000000"/>
          <w:sz w:val="20"/>
        </w:rPr>
        <w:t>Substantial delays in the commencement, enrollment or completion of our planned clinical trials, or failure to demonstrate safety and efficacy to the satisfaction of applicable regulatory authorities could prevent us from commercializing any therapeutic candidates we determine to develop on a timely basis, if at all.</w:t>
      </w:r>
      <w:r>
        <w:rPr>
          <w:color w:val="000000"/>
        </w:rPr>
        <w:t xml:space="preserve"> </w:t>
      </w:r>
    </w:p>
    <w:p>
      <w:pPr>
        <w:pStyle w:val="TextBody"/>
        <w:bidi w:val="0"/>
        <w:spacing w:lineRule="auto" w:line="268" w:before="240" w:after="283"/>
        <w:ind w:left="0" w:right="0" w:firstLine="720"/>
        <w:jc w:val="left"/>
        <w:rPr/>
      </w:pPr>
      <w:r>
        <w:rPr>
          <w:rFonts w:ascii="Times New Roman;serif" w:hAnsi="Times New Roman;serif"/>
          <w:b w:val="false"/>
          <w:color w:val="000000"/>
          <w:sz w:val="20"/>
        </w:rPr>
        <w:t xml:space="preserve">The risk of failure in developing therapeutic candidates is high. It is impossible to predict when or if any therapeutic candidate would prove effective or safe in humans or will receive regulatory approval. Before obtaining marketing approval from regulatory authorities for the sale of any therapeutic candidate, we must complete preclinical development, submit an IND or foreign equivalent to permit initiation of clinical studies, and then conduct extensive clinical trials to demonstrate the safety and efficacy of therapeutic candidates in humans. As an organization, we submitted an IND for ENTR-601-44 in the fourth quarter of 2022 which was subsequently placed on clinical hold until February 2025. Although we were successful in resolving this clinical hold, there can be no assurance that our ongoing and planned trials will not be placed on clinical hold or voluntarily paused in the future. Any such hold or other delay could impact our ability to complete or initiate our ongoing or planned trials. We have limited experience as a company in preparing, submitting and prosecuting regulatory filings and have not previously submitted a New Drug Application ("NDA"), Biologics License Application ("BLA") or other comparable foreign regulatory submission for any therapeutic candidate. In addition, we have had limited interactions with the FDA and comparable foreign regulatory authorities and cannot be certain how many clinical trials of ENTR-601-44, ENTR-601-45, </w:t>
      </w:r>
      <w:r>
        <w:rPr>
          <w:rFonts w:ascii="Times New Roman;serif" w:hAnsi="Times New Roman;serif"/>
          <w:b w:val="false"/>
          <w:color w:val="000000"/>
          <w:sz w:val="20"/>
          <w:shd w:fill="FFFFFF" w:val="clear"/>
        </w:rPr>
        <w:t xml:space="preserve">ENTR-601-50, ENTR-601-51, ENTR-801, </w:t>
      </w:r>
      <w:r>
        <w:rPr>
          <w:rFonts w:ascii="Times New Roman;serif" w:hAnsi="Times New Roman;serif"/>
          <w:b w:val="false"/>
          <w:color w:val="000000"/>
          <w:sz w:val="20"/>
        </w:rPr>
        <w:t xml:space="preserve">our partnered candidate VX-670 or any other therapeutic candidates will be required or how such trials should be designed. Consequently, we and our partner may be unable to successfully and efficiently execute and complete necessary clinical trials in a way that leads to approval of any of our therapeutic candidates. Clinical trials may fail to demonstrate that our therapeutic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Before we can commence clinical trials for a therapeutic candidate, we must complete extensive preclinical testing and studies that support our INDs and other regulatory filings. We cannot be certain of the timely identification of a therapeutic candidate or the completion or outcome of our preclinical testing and studies and cannot predict whether the FDA or other comparable regulatory authorities will accept our proposed clinical programs or whether the outcome of our preclinical testing and studies will ultimately support the further development of any therapeutic candidates. Conducting preclinical testing is a lengthy, time-consuming and expensive process. The length of time may vary substantially according to the type, complexity and novelty of the program, and often can be several years or more per program. As a result, we cannot be sure that we will be able to submit INDs or foreign equivalents for our preclinical programs on the timelines we expect, if at all, and we cannot be sure that submission of such applications will result in the FDA or other regulatory authority allowing clinical trials to begin. In addition, if our efforts in the United States and elsewhere are not successful, we may not be able to complete a clinical development program that enables the approval and marketing of our therapeutic candidates as planned, or at all. Furthermore, therapeutic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Clinical testing is expensive, is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trial design, dose selection issues, patient enrollment criteria and failure to demonstrate favorable safety or efficacy traits.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events that may prevent successful enrollment, initiation or timely completion of clinical development include: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we may be unable to generate sufficient preclinical, toxicology or other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 xml:space="preserve">data to support the initiation of clinical trials;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delays in reaching a consensus with regulatory authorities on trial design;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delays in reaching agreement on acceptable terms with prospective clinical research organizations ("CROs") and clinical trial sites;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delays in opening clinical trial sites or obtaining required institutional review board ("IRB") or independent ethics committee approval, or the equivalent review groups for sites outside the United States, at each clinical trial site;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we may need to add new or additional clinical trial sites;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imposition of a clinical hold by regulatory authorities as a result of a serious adverse event or after an inspection of our clinical trial operations or trial sites;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51485"/>
                <wp:effectExtent l="0" t="0" r="0" b="0"/>
                <wp:wrapNone/>
                <wp:docPr id="49" name="Frame4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negative or inconclusive results observed in clinical trials, including failure to demonstrate statistical significance, safety, purity or potency, which could lead us, or cause regulators to require us, to conduct additional clinical trials or abandon product development programs;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positive results from our preclinical studies of our therapeutic candidates may not necessarily be predictive of the results from required later preclinical studies and clinical trials and positive results from such preclinical studies and clinical trials of our therapeutic candidates may not be replicated in subsequent preclinical studies or clinical trial results;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failure by us, any CROs we engage or any other third parties to adhere to clinical trial requirements;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failure to perform in accordance with applicable GCPs;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failure by investigators to adhere to clinical trial protocols leading to variable results;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delays in the testing, validation, manufacturing and delivery of any therapeutic candidates we may develop to the clinical sites, including delays by third parties with whom we have contracted to perform certain of those functions;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failure of our third-party contractors to comply with regulatory requirements or to meet their contractual obligations to us in a timely manner, or at all;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delays in having patients complete participation in a trial or return for post-treatment follow-up;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clinical trial sites or patients dropping out of a trial;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selection of clinical endpoints that require prolonged periods of clinical observation or analysis of the resulting data;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occurrence of serious adverse events associated with the therapeutic candidate that are viewed to outweigh its potential benefits;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occurrence of serious adverse events associated with a therapeutic candidate in development by another company, which are viewed to outweigh its potential benefits, and which may negatively impact the perception of our product due to a similarity in technology or approach;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changes in regulatory requirements and guidance that require amending or submitting new clinical protocols;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FDA, other regulatory authorities, or ethics committees may require us to submit additional data such as long-term toxicology studies or impose other requirements before permitting us to initiate a clinical trial;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changes in the legal or regulatory regimes domestically or internationally related to patient rights and privacy; or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lack of adequate funding to continue the clinical trial.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After initiating a clinical trial, we could also encounter delays if the clinical trial is suspended, placed on clinical hold or terminated by us, the IRBs of the institutions in which such trials are being conducted, or the FDA or other regulatory authorities or recommended for suspension or termination by the Data Safety Monitoring Board ("DSMB") for such trial.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therapeutic candidates. Further, the FDA or other regulatory authorities may disagree with our clinical trial design and our interpretation of data from preclinical studies, clinical trials, or may change the requirements for approval even after they have reviewed and commented on the design for our clinical trials. Moreover, preclinical and clinical data are often susceptible to varying interpretations and analyses and many companies that believed their therapeutic candidates performed satisfactorily in preclinical studies and clinical trials nonetheless failed to obtain regulatory approval.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inability to successfully complete preclinical studies and clinical trials could result in additional costs to us or impair our ability to generate revenues from product sales, regulatory and commercialization milestones and royalties. In addition, manufacturing or formulation changes to any therapeutic candidates we may develop may require us to conduct additional studies or trials to bridge our modified therapeutic candidates to earlier versions. Clinical trial delays also could shorten any periods during which we may have the exclusive right to commercialize any therapeutic candidates we may develop or allow our competitors to bring products to market before we do, which could impair our ability to successfully commercialize any therapeutic candidates we may develop and may harm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51485"/>
                <wp:effectExtent l="0" t="0" r="0" b="0"/>
                <wp:wrapNone/>
                <wp:docPr id="50" name="Frame4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if the results of future clinical trials are inconclusive or if there are safety concerns or serious adverse events associated with any therapeutic candidates we may develop, we may: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be delayed in obtaining marketing approval for therapeutic candidates, if at all;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obtain approval for indications or patient populations that are not as broad as intended or desired;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obtain approval with labeling that includes significant use or distribution restrictions or safety warnings;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be subject to changes in the way the product is administered;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be required to perform additional clinical trials to support approval or be subject to additional post-marketing testing requirements;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have regulatory authorities withdraw, or suspend, their approval of the product or impose restrictions on its distribution in the form of a modified risk evaluation and mitigation strategy;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be subject to the addition of labeling statements, such as warnings or contraindications;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be sued; or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experience damage to our reputation. </w:t>
      </w:r>
    </w:p>
    <w:p>
      <w:pPr>
        <w:pStyle w:val="TextBody"/>
        <w:bidi w:val="0"/>
        <w:spacing w:lineRule="auto" w:line="268" w:before="240" w:after="283"/>
        <w:jc w:val="left"/>
        <w:rPr/>
      </w:pPr>
      <w:r>
        <w:rPr>
          <w:rFonts w:ascii="Times New Roman;serif" w:hAnsi="Times New Roman;serif"/>
          <w:b/>
          <w:i/>
          <w:color w:val="000000"/>
          <w:sz w:val="20"/>
        </w:rPr>
        <w:t>Delays or difficulties in the enrollment of patients in clinical trials could delay or prevent our receipt of necessary regulatory approvals.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Failure to locate and enroll a sufficient number of eligible patients to participate in these trials as required by the FDA or similar regulatory authorities outside the U.S. may delay or prevent us from initiating or continuing clinical trials for our therapeutic candidates. Because the target patient populations for some of our therapeutic candidates are relatively small, it may be difficult to successfully identify patients. Although we may enter into agreements with third parties to develop companion diagnostic tests for use in some of our future clinical trials in order to help identify eligible patients in certain indications, we may experience delays in reaching, or fail to reach, agreement on acceptable terms to develop such companion diagnostic tests. Any third parties whom we engage to develop companion diagnostic tests may experience delays or may not be successful in developing such companion diagnostic tests, furthering the difficulty in identifying patients for our clinical trials. In addition, current commercially available diagnostic tests to identify appropriate patients for our clinical trials or any approved therapeutic candidates may become unavailable in the future.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some of our competitors have ongoing clinical trials for therapeutic candidates that treat the same indications as our therapeutic candidates, and patients who would otherwise be eligible for our clinical trials may instead enroll in clinical trials of our competitors' therapeutic candidates.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pediatric population is an important patient population for certain of the indications we are targeting, including DMD, and our addressable patient population estimates include pediatric populations. However, it may be more challenging to conduct studies in this population, and to locate and enroll pediatric patients. Additionally, it may be challenging to ensure that pediatric or adolescent patients adhere to clinical trial protocols. Patient enrollment and trial competition may be affected by other factors including: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clinicians' and patients' perceived risks and benefits of the therapeutic candidate under trial, particularly therapeutic candidates developed using a novel and unproven therapeutic approach, like our EEV therapeutic candidates in relation to available or investigational drugs;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size of the patient population, in particular for rare diseases such as the diseases on which we are initially focused, and process for identifying patients;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design of the trial protocol;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efforts to facilitate timely enrollment in clinical trials;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eligibility and exclusion criteria;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availability of competing therapies and clinical trials;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severity of the disease or disorder under investigation;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proximity and availability of clinical trial sites for prospective patients;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ability to obtain and maintain patient consent;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risk that enrolled patients will drop out before completion of the trial;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patient referral practices of physicians;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51485"/>
                <wp:effectExtent l="0" t="0" r="0" b="0"/>
                <wp:wrapNone/>
                <wp:docPr id="51" name="Frame4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ability to monitor patients adequately during and after treatment.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inability to identify patients appropriate for enrollment in our clinical trials, or to enroll a sufficient number of patients in our clinical trials, would result in significant delays and could require us to abandon one or more clinical trials altogether. Enrollment delays in our clinical trials may result in increased development costs for our therapeutic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limit our ability to seek participation in the FDA's expedited development programs, including Breakthrough Therapy Designation and Fast Track Designation, or otherwise to seek to accelerate clinical development and regulatory timelines.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Even if we are able to enroll a sufficient number of patients for our clinical trials, we may have difficulty maintaining patients in our clinical trials. In our planned clinical trials that will include a placebo group, some of the patients who end up receiving placebo may perceive that they are not receiving the therapeutic candidate being tested, and they may decide to withdraw from our clinical trials to pursue other alternative therapies rather than continue the trial with the perception that they are receiving placebo. Difficulty enrolling or maintaining a sufficient number of patients to conduct our clinical trials, may require us to delay, limit or terminate clinical trials, any of which would harm our business, financial condition, results of operations and prospects. </w:t>
      </w:r>
    </w:p>
    <w:p>
      <w:pPr>
        <w:pStyle w:val="TextBody"/>
        <w:bidi w:val="0"/>
        <w:spacing w:lineRule="auto" w:line="268" w:before="240" w:after="283"/>
        <w:jc w:val="left"/>
        <w:rPr/>
      </w:pPr>
      <w:r>
        <w:rPr>
          <w:rFonts w:ascii="Times New Roman;serif" w:hAnsi="Times New Roman;serif"/>
          <w:b/>
          <w:i/>
          <w:color w:val="000000"/>
          <w:sz w:val="20"/>
        </w:rPr>
        <w:t>Use of our therapeutic candidates could be associated with side effects, adverse events or other properties or safety risks, which could delay or preclude approval, cause us to suspend or discontinue clinical trials, abandon a therapeutic candidate, limit the commercial profile of an approved label or result in other significant negative consequences that could severely harm our business, prospects, operating results and financial condition.</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other oligonucleotide therapeutics, enzyme replacement therapies and gene therapies have received regulatory approval, our EEV-based therapeutics are a novel approach to the delivery of biological therapeutics, which may present enhanced uncertainty associated with the safety profile of our therapeutic candidates and other EEV-based therapeutics compared to more well-established classes of therapies. Moreover, it is impossible to predict when or if any therapeutic candidates we may develop will prove safe in humans. As is the case with biopharmaceuticals generally, it is likely that there may be side effects and adverse events associated with our therapeutic candidates' use. Results of our clinical trials could reveal a high and unacceptable severity and prevalence of side effects or unexpected characteristics. Undesirable side effects caused by our therapeutic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clinical trials by their nature utilize a sample of the potential patient population. With a limited number of patients and limited duration of exposure, rare and severe side effects of our therapeutic candidates may only be uncovered with a significantly larger number of patients exposed to the therapeutic candidate. Any undesirable side effects or unexpected characteristics associated with our therapeutic candidates in clinical trials may lead us to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therapeutic candidate if approved. We may also be required to modify our study plans based on findings after we commence our clinical trials. Many compounds that initially showed promise in early-stage testing have later been found to cause side effects that prevented further development of the compound. In addition, regulatory authorities may draw different conclusions or require additional testing to confirm these determinations.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It is possible that as we test our therapeutic candidates in larger, longer and more extensive clinical trials, or as the use of these therapeutic candidates becomes more widespread if they receive regulatory approval, illnesses, injuries, discomforts and other adverse events that were observed in earlier trials, as well as conditions that did not occur or went undetected in previous trials, may be reported by subjects. Any findings of such side effects later in development or upon approval, if any, may harm our business, financial condition and prospects significantly.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Patients treated with our therapeutics, if approved, may experience previously unreported adverse reactions, and it is possible that the FDA or other regulatory authorities may ask for additional safety data as a condition of, or in connection with, our efforts to obtain approval of our therapeutic candidates. If safety problems occur or are identified after our therapeutics, if any, reach the market, we may make the decision or be required by regulatory authorities to amend the labeling of our therapeutics, recall our therapeutics or even withdraw approval for our therapeutics.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51485"/>
                <wp:effectExtent l="0" t="0" r="0" b="0"/>
                <wp:wrapNone/>
                <wp:docPr id="52" name="Frame4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pPr>
      <w:r>
        <w:rPr>
          <w:rFonts w:ascii="Times New Roman;serif" w:hAnsi="Times New Roman;serif"/>
          <w:b/>
          <w:i/>
          <w:color w:val="000000"/>
          <w:sz w:val="20"/>
        </w:rPr>
        <w:t>Our therapeutic candidates are subject to extensive regulation and compliance, which is costly and time-consuming, and such regulation may cause unanticipated delays or prevent the receipt of the required approvals to commercialize our therapeutic candidates.</w:t>
      </w:r>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clinical development, manufacturing, labeling, packaging, storage, record-keeping, advertising, promotion, import, export, marketing, distribution and adverse event reporting, including the submission of safety and other information, of our therapeutic candidates are subject to extensive regulation by the FDA in the United States and by comparable foreign regulatory authorities in foreign markets. In the United States, we are not permitted to market our therapeutic candidates until we receive regulatory approval from the FDA. The process of obtaining regulatory approval is expensive, often takes many years following the commencement of clinical trials and can vary substantially based upon the type, complexity and novelty of the therapeutic candidates involved, as well as the target indications and patient population. Approval policies or regulations may change, and the FDA has substantial discretion in the drug approval process, including the ability to delay, limit or deny approval of a therapeutic candidate for many reasons. For example,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 Despite the time and expense invested in clinical development of therapeutic candidates, regulatory approval is never guaranteed. Neither we nor any current or future collaborator is permitted to market any of our therapeutic candidates in the United States until we receive approval from the FDA. In February 2026, the then-FDA Commissioner publicly indicated that a single adequate and well-controlled pivotal clinical trial supported by confirmatory evidence would be the FDA's default standard moving forward for novel products, rather than two such trials; this statement was not a formal agency action, and the scope, implementation and durability of this policy position remain uncertain. In June 2026, the FDA issued revised draft guidance clarifying how sponsors can rely on one scientifically rigorous adequate and well-controlled clinical investigation with confirmatory evidence to satisfy the statutory substantial evidence of effectiveness standard. The FDA retains broad discretion to require additional clinical data for any product candidate, including a second adequate and well-controlled clinical trial.</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Prior to obtaining approval to commercialize a therapeutic candidate in the United States or abroad, we or our collaborators must demonstrate with substantial evidence from adequate and well-controlled clinical trials, and to the satisfaction of the FDA or comparable foreign regulatory authorities, that such therapeutic candidates are safe and effective for their intended uses. Results from preclinical studies and clinical trials can be interpreted in different ways. Even if we believe the preclinical or clinical data for our therapeutic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our therapeutic candidates either prior to or post-approval, or may object to elements of our clinical development program.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FDA or comparable foreign regulatory authorities can delay, limit or deny approval of a therapeutic candidate for many reasons, including: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such authorities may disagree with the design or implementation of our or our current or future collaborators' clinical trials;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negative or ambiguous results from our clinical trials or results may not meet the level of statistical significance required by the FDA or comparable foreign regulatory agencies for approval;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serious and unexpected drug-related side effects may be experienced by participants in our clinical trials or by individuals using drugs similar to our therapeutic candidates;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such authorities may not accept clinical data from trials which are conducted at clinical facilities or in countries where the standard of care is potentially different from that of the United States;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we or any of our current or future collaborators may be unable to demonstrate that a therapeutic candidate is safe and effective, and that therapeutic candidate's clinical and other benefits outweigh its safety risks;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such authorities may disagree with our interpretation of data from preclinical studies or clinical trials;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such authorities may not agree that the data collected from clinical trials of our therapeutic candidates are acceptable or sufficient to support the submission of an NDA or BLA or other submission or to obtain regulatory approval in the United States or elsewhere, and such authorities may impose requirements for additional preclinical studies or clinical trials;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such authorities may disagree regarding the formulation, labeling and/or the specifications of our therapeutic candidates;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approval may be granted only for indications that are significantly more limited than what we apply for and/or with other significant restrictions on distribution and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51485"/>
                <wp:effectExtent l="0" t="0" r="0" b="0"/>
                <wp:wrapNone/>
                <wp:docPr id="53" name="Frame4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such authorities may find deficiencies in the manufacturing processes, approval policies or facilities of our third-party manufacturers with which we or any of our current or future collaborators contract for clinical and commercial supplies;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regulations of such authorities may significantly change in a manner rendering our or any of our potential future collaborators' clinical data insufficient for approval; or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such authorities may not accept a submission due to, among other reasons, the content or formatting of the submission.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biopharmaceuticals may result in increased cautiousness by the FDA and comparable foreign regulatory authorities in reviewing new drugs based on safety, efficacy or other regulatory considerations and may result in significant delays in obtaining regulatory approvals. Any delay in obtaining, or inability to obtain, applicable regulatory approvals would prevent us or any of our potential future collaborators from commercializing our therapeutic candidates. </w:t>
      </w:r>
    </w:p>
    <w:p>
      <w:pPr>
        <w:pStyle w:val="TextBody"/>
        <w:bidi w:val="0"/>
        <w:spacing w:lineRule="auto" w:line="268" w:before="240" w:after="283"/>
        <w:jc w:val="left"/>
        <w:rPr/>
      </w:pPr>
      <w:r>
        <w:rPr>
          <w:rFonts w:ascii="Times New Roman;serif" w:hAnsi="Times New Roman;serif"/>
          <w:b/>
          <w:i/>
          <w:color w:val="000000"/>
          <w:sz w:val="20"/>
        </w:rPr>
        <w:t>Our approach to the discovery and development of therapeutic candidates that are based on our EEV Platform is unproven, and we do not know whether we will be able to develop any products of commercial value, or if competing technological approaches will limit the commercial value of our therapeutic candidates or render our EEV Platform obsolete.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of our business depends primarily upon our ability to identify, develop and commercialize products based on our proprietary EEV Platform, which leverages a novel and unproven approach. While we have observed favorable preclinical study results based on our EEV Platform, we have not yet succeeded and may not succeed in demonstrating sufficient efficacy and safety to enable the approval of any therapeutic candidates that are based on our EEV Platform as a result of our clinical trials or obtain marketing approval thereafter. Our lead therapeutic candidates, with the exception of ENTR-601-44, ENTR-601-45, ENTR-601-50 and our partnered candidate VX-670, but including ENTR-601-51, have yet to receive authorization to initiate clinical trials and are in preclinical development or in the drug discovery stage. Our research methodology and novel approach to intracellular therapeutics may be unsuccessful in identifying additional therapeutic candidates, and any therapeutic candidates based on our EEV Platform may be shown to have harmful side effects or may have other characteristics that may necessitate additional clinical testing, or make the therapeutic candidates unmarketable or unlikely to receive marketing approval. Further, because many of our therapeutic candidates and development programs are based on our EEV Platform, adverse developments with respect to one of these programs may have a significant adverse impact on the actual or perceived likelihood of success and value of our other programs.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biotechnology and biopharmaceutical industries are characterized by rapidly advancing technologies. Our future success will depend in part on our ability to maintain a competitive position with our EEV approach. Failure to stay at the forefront of technological change in utilizing our EEV Platform to create and develop therapeutic candidates may prevent us from competing effectively. Our competitors may render our EEV approach obsolete, or limit the commercial value of our therapeutic candidates, by advances in existing technological approaches or the development of new or different approaches, potentially eliminating the advantages in our drug discovery process that we believe we derive from our research approach and proprietary technologies. By contrast, adverse developments with respect to other companies that attempt to use a similar approach to our approach may adversely impact the actual or perceived value of our EEV Platform and potential of our therapeutic candidates that are based on our EEV Platform.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occurrence of any of these events may force us to abandon our development efforts for a program or programs, which would have a material adverse effect on our business and could potentially cause us to cease operations. </w:t>
      </w:r>
    </w:p>
    <w:p>
      <w:pPr>
        <w:pStyle w:val="TextBody"/>
        <w:bidi w:val="0"/>
        <w:spacing w:lineRule="auto" w:line="268" w:before="240" w:after="283"/>
        <w:jc w:val="left"/>
        <w:rPr/>
      </w:pPr>
      <w:r>
        <w:rPr>
          <w:rFonts w:ascii="Times New Roman;serif" w:hAnsi="Times New Roman;serif"/>
          <w:b/>
          <w:i/>
          <w:color w:val="000000"/>
          <w:sz w:val="20"/>
        </w:rPr>
        <w:t>Interim, topline and preliminary data from our preclinical studies and clinical trials that we announce or publish from time to time may change as more patient data become available and are subject to audit and verification procedures that could result in material changes in the final data.</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publicly disclose interim, preliminary or topline data from our preclinical studies and clinical trials, which are based on a preliminary analysis of then-available data, and the results and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preliminary or topline data from our clinical studies. Interim, topline or preliminary data from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51485"/>
                <wp:effectExtent l="0" t="0" r="0" b="0"/>
                <wp:wrapNone/>
                <wp:docPr id="54" name="Frame5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trials that we may complete are subject to the risk that one or more of the clinical outcomes may materially change as patient enrollment continues and more patient data become available. Adverse differences between preliminary, topline or interim data and final data could significantly harm our business prospects. This would include such adverse differences, should they occur, in connection with our previously disclosed data from Cohort 1 of participants with DMD treated with ENTR-601-44 in our Phase 1/2 ELEVATE-44-201 study.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therapeutic candidate or product and the value of our company in general. In addition, the information we choose to publicly disclose regarding a particular study or clinical trial will be based on what is typically extensive information, and our stockholders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therapeutic candidate or our business. If the topline data that we report differ from actual results, or if others, including regulatory authorities, disagree with the conclusions reached, our ability to obtain approval for, and commercialize, our therapeutic candidates may be harmed, which could harm our business, operating results, prospects or financial condition. </w:t>
      </w:r>
    </w:p>
    <w:p>
      <w:pPr>
        <w:pStyle w:val="TextBody"/>
        <w:bidi w:val="0"/>
        <w:spacing w:lineRule="auto" w:line="268" w:before="240" w:after="283"/>
        <w:jc w:val="left"/>
        <w:rPr/>
      </w:pPr>
      <w:r>
        <w:rPr>
          <w:rFonts w:ascii="Times New Roman;serif" w:hAnsi="Times New Roman;serif"/>
          <w:b/>
          <w:i/>
          <w:color w:val="000000"/>
          <w:sz w:val="20"/>
        </w:rPr>
        <w:t>We may expend our limited resources to pursue particular therapeutic candidates or indications, such as our initial focuses on developing ENTR-601-44 and ENTR-601-45, and fail to capitalize on therapeutic candidates or indications that may be more profitable or for which there is a greater likelihood of success.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Because we have limited human capital and financial resources, we focus on research programs and therapeutic candidates that we identify for specific indications. As a result, we may forego or delay pursuit of opportunities with other therapeutic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therapeutic candidates for specific indications may not yield any commercially viable therapeutic candidates. If we do not accurately evaluate the commercial potential or target market for a particular therapeutic candidate, we may relinquish valuable rights to that therapeutic candidate through collaboration, licensing or other royalty arrangements in cases in which it would have been more advantageous for us to retain sole development and commercialization rights to such therapeutic candidate.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any time and for any reason, we may determine that one or more of our discovery programs or preclinical or clinical therapeutic candidates or programs does not have sufficient potential to warrant the allocation of resources toward such program or therapeutic candidate. Accordingly, we may choose not to develop a potential therapeutic candidate or elect to suspend, deprioritize or terminate one or more of our discovery programs or preclinical or clinical therapeutic candidates or programs. Suspending, deprioritizing or terminating a program or therapeutic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therapeutic candidates. </w:t>
      </w:r>
    </w:p>
    <w:p>
      <w:pPr>
        <w:pStyle w:val="TextBody"/>
        <w:bidi w:val="0"/>
        <w:spacing w:lineRule="auto" w:line="268" w:before="240" w:after="283"/>
        <w:jc w:val="left"/>
        <w:rPr/>
      </w:pPr>
      <w:r>
        <w:rPr>
          <w:rFonts w:ascii="Times New Roman;serif" w:hAnsi="Times New Roman;serif"/>
          <w:b/>
          <w:i/>
          <w:color w:val="000000"/>
          <w:sz w:val="20"/>
        </w:rPr>
        <w:t>We may not be successful in our efforts to expand our development portfolio of therapeutic candidates.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key element of our strategy is to use our technology, including our novel EEV Platform and other modalities, to address intracellular targets that are drivers of diseases in genomically defined patient populations with high unmet medical need in order to build a development portfolio of therapeutic candidates. Although our research and development efforts to date have resulted in a development portfolio of potential programs and therapeutic candidates, we may not be able to continue to identify intracellular disease targets and develop therapeutic candidates. We may also pursue opportunities to acquire or in-license additional businesses, technologies or products, form strategic alliances or create joint ventures with third parties to complement or augment our existing business. However, we may not be able to identify any therapeutic candidates for our development portfolio through such acquisition or in-license.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Even if we are successful in continuing to build and expand our development portfolio, the potential therapeutic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therapeutic candidates, we will not be able to obtain drug revenues in future periods, which likely would result in significant harm to our financial position and adversely affect our stock price.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Where appropriate, we plan to seek approval from the FDA, EMA or comparable foreign regulatory authorities through the use of accelerated approval pathways. If we are unable to obtain such approval for any of our candidates, we may be required to conduct additional preclinical studies or clinical trials beyond those that we contemplate, which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51485"/>
                <wp:effectExtent l="0" t="0" r="0" b="0"/>
                <wp:wrapNone/>
                <wp:docPr id="55" name="Frame5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pPr>
      <w:r>
        <w:rPr>
          <w:rFonts w:ascii="Times New Roman;serif" w:hAnsi="Times New Roman;serif"/>
          <w:b/>
          <w:i/>
          <w:color w:val="000000"/>
          <w:sz w:val="20"/>
        </w:rPr>
        <w:t>increase the expense of obtaining, and delay the receipt of, necessary marketing approvals. Even if one or more of our therapeutic candidates receive accelerated approval from the FDA, EMA or comparable regulatory authorities, if our confirmatory trials do not verify clinical benefit, if the safety profile were to change based on post-marketing safety surveillance, or if we do not comply with rigorous post-marketing requirements, the FDA, EMA or such other regulatory authorities may seek to withdraw accelerated approval.</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plan to pursue accelerated development strategies in areas of high unmet need. We plan to seek accelerated approval pathways for our therapeutic candidates from the FDA, EMA or comparable foreign regulatory authorities. Under the accelerated approval provisions in the Federal Food, Drug, and Cosmetic Act, and the FDA's implementing regulations, the FDA may grant accelerated approval to a therapeutic candidate designed to treat a serious or life-threatening condition that provides meaningful therapeutic benefit over available therapies upon a determination that the therapeutic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and the FDA is permitted to require, as appropriate, that such studies be underway prior to approval or within a specified period after the date of approval. Sponsors must also update the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Prior to seeking accelerated approval for any of our therapeutic candidates, we will seek feedback from the FDA, EMA or comparable foreign regulatory authorities and will otherwise evaluate our ability to seek and receive such accelerated approval. There can be no assurance that after our evaluation of the feedback and other factors we will decide to pursue or submit an NDA or BLA for accelerated approval or any other form of expedited development, review or approval. Similarly, there can be no assurance that after subsequent feedback from the FDA, EMA or comparable foreign regulatory authorities, we will continue to pursue or apply for accelerated approval or any other form of expedited development, review or approval, even if we initially decide to do so. Furthermore, if we decide to submit an application for accelerated approval, there can be no assurance that any such application will be accepted or that any approval will be granted on a timely basis, or at all. The FDA, EMA or other comparable foreign regulatory authorities could also require us to conduct further studies prior to considering our application or granting approval of any type, including, for example, if other products are approved via the accelerated pathway and subsequently converted by FDA to full approval. In addition, the FDA currently requires, unless otherwise informed by the agency, pre-approval of promotional materials for products receiving accelerated approval, which could adversely impact the timing of the commercial launch of any of our products. A failure to obtain accelerated approval or any other form of expedited development, review or approval for our therapeutic candidate would result in a longer time period to commercialization of such therapeutic candidate, could increase the cost of development of such therapeutic candidate and could harm our competitive position in the marketplace.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 </w:t>
      </w:r>
    </w:p>
    <w:p>
      <w:pPr>
        <w:pStyle w:val="TextBody"/>
        <w:bidi w:val="0"/>
        <w:spacing w:lineRule="auto" w:line="268" w:before="240" w:after="283"/>
        <w:jc w:val="left"/>
        <w:rPr/>
      </w:pPr>
      <w:r>
        <w:rPr>
          <w:rFonts w:ascii="Times New Roman;serif" w:hAnsi="Times New Roman;serif"/>
          <w:b/>
          <w:i/>
          <w:color w:val="000000"/>
          <w:sz w:val="20"/>
        </w:rPr>
        <w:t>We have sought and may continue to seek Fast Track designation, Breakthrough Therapy designation and/or orphan drug designation from the FDA or similar designations from other regulatory authorities for one or more of our therapeutic candidates. Even if one or more of our therapeutic candidates receive any of these designations, we may be unable to obtain or maintain the benefits associated with such designation.</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FDA has established various designations to facilitate more rapid and efficient development and approval of certain types of drugs. Such designations include Fast Track designation, Breakthrough Therapy designation, and orphan drug designation. Fast Track designation is designed to facilitate the development and expedite the review of therapies for serious conditions that fill an unmet medical need. Programs with Fast Track designation may benefit from early and frequent communications with the FDA, potential priority review and the ability to submit a rolling application for regulatory review. Fast Track designation applies to both the therapeutic candidate and the specific indication for which it is being studied. If any of our therapeutic candidates receive Fast Track designation but do not continue to meet the criteria for Fast Track designation, or if our clinical trials are delayed, suspended or terminated, or put on clinical hold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51485"/>
                <wp:effectExtent l="0" t="0" r="0" b="0"/>
                <wp:wrapNone/>
                <wp:docPr id="56" name="Frame5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unexpected adverse events or issues with clinical supply, we will not receive the benefits associated with the Fast Track program. Fast Track designation alone does not guarantee qualification for the FDA's priority review procedures.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Breakthrough Therapy, on the other hand,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For therapeutic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Designation as a Breakthrough Therapy is within the discretion of the FDA, and drugs designated as Breakthrough Therapies by the FDA may also be eligible for other expedited approval programs, including accelerated approval. Even if one or more of our therapeutic candidates qualify as Breakthrough Therapies pursuant to FDA standards, the FDA may later decide that the product no longer meets the conditions for qualification. Thus, even though we may seek Breakthrough Therapy designation for one or more of our current or future therapeutic candidates, there can be no assurance that we will receive Breakthrough Therapy designation.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Regulatory authorities in some jurisdictions, including the United States and the EU, may also designate drugs for relatively small patient populations as orphan drugs. Under the Orphan Drug Act, the FDA may designate a therapeutic candidate as an orphan drug if it is a drug intended to treat a rare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EU, the European Commission may grant orphan designation to a product if its sponsor can establish that: (1) the product is intended for the diagnosis, prevention or treatment of a life-threatening or chronically debilitating condition; (2) either (i) such condition affects no more than five (5) in ten thousand (10,000) persons in the EU when the application is made, or (ii) it is unlikely that the product, without the benefits derived from orphan status, would generate sufficient return in the EU to justify the necessary investment in its development; and (3) there is no satisfactory method of diagnosis, prevention or treatment of such condition authorized for marketing in the EU, or, if such a method exists, the product would be of significant benefit to those affected by that condition. In the United States, orphan drug designation entitles a party to financial incentives such as opportunities for grant funding towards clinical trial costs, tax advantages and user-fee waivers. Orphan drug designation may also entitle the therapeutic to additional exclusivity in the United States. Similar benefits, including a ten year period of market exclusivity, are available to orphan products in the EU. In 2022, the FDA granted orphan drug designation to ENTR-601-44. Even after obtaining orphan drug designation for ENTR-601-44, and even if we are able to obtain orphan drug designation for any other therapeutic candidate, we may not be able to obtain or maintain orphan drug exclusivity for ENTR-601-44 or any other therapeutic candidate.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any of our programs or therapeutic candidates that may receive Fast Track, Breakthrough Therapy or orphan drug designation by the FDA (including ENTR-601-44) or similar designations by other regulatory authorities, there is no assurance that we will receive any benefits from such programs or that we will continue to meet the criteria to maintain such designation. Even if we obtain such designations, we may not experience a faster development process, review or approval compared to conventional FDA procedures. A Fast Track, Breakthrough Therapy, or orphan drug designation does not ensure that a therapeutic candidate will receive marketing approval or that approval will be granted within any particular timeframe.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Although we have obtained rare pediatric disease designation for ENTR-601-44, we may not be eligible to receive a priority review voucher in the event the FDA determines we no longer meet the criteria for designation, revokes the designation or FDA approval does not occur prior to September 30, 2029.</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sponsor of an application for a rare pediatric disease drug product may be eligible for a voucher that can be used or sold to obtain a priority review for a subsequent application submitted under section 505(b)(1) of the FDCA or section 351 of the PHS Act. Designation of a drug as a product for a rare pediatric disease does not guarantee that a marketing application for such drug will meet the eligibility criteria for a rare pediatric disease priority review voucher at the time the application is approved. Even though we have received rare pediatric disease designation for ENTR-601-44, we would need to request a rare pediatric disease priority review voucher in the marketing application for ENTR-601-44. Vouchers for rare pediatric disease drugs are awarded for qualifying applications when the drug receives approval. After September 30, 2029, the FDA may not award any rare pediatric disease priority review vouchers.</w:t>
      </w:r>
    </w:p>
    <w:p>
      <w:pPr>
        <w:pStyle w:val="TextBody"/>
        <w:bidi w:val="0"/>
        <w:spacing w:lineRule="auto" w:line="268" w:before="240" w:after="283"/>
        <w:jc w:val="left"/>
        <w:rPr/>
      </w:pPr>
      <w:r>
        <w:rPr>
          <w:rFonts w:ascii="Times New Roman;serif" w:hAnsi="Times New Roman;serif"/>
          <w:b/>
          <w:i/>
          <w:color w:val="000000"/>
          <w:sz w:val="20"/>
        </w:rPr>
        <w:t>Obtaining and maintaining marketing approval or commercialization of our therapeutic candidates in the United States does not mean that we will be successful in obtaining marketing approval of our therapeutic candidates in other jurisdictions. Failure to obtain marketing approval in foreign jurisdictions would prevent any therapeutic candidates we may develop from being marketed in such jurisdictions, which, in turn, would materially impair our ability to generate revenue.</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51485"/>
                <wp:effectExtent l="0" t="0" r="0" b="0"/>
                <wp:wrapNone/>
                <wp:docPr id="57" name="Frame5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market and sell any therapeutic candidates we may develop in the EU and many other foreign jurisdictions, including the UK,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medicines in any jurisdiction, which would materially impair our ability to generate revenue.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now that the UK is no longer part of the EU, separate applications and procedures will be required to obtain regulatory approval for our products in the UK and EU. In particular, the UK is no longer covered by the centralized procedure for obtaining EU-wide marketing authorizations from the EMA for medicinal products, and a separate process for authorization of drug products will be required in the UK. However, under a new international recognition procedure which was put in place by the MHRA on January 1, 2024, the MHRA may take into account decisions on the approval of a marketing authorization from the EMA (and certain other regulators) when considering an application for a UK marketing authorization.</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regulatory regime for medicinal products in the UK at present broadly aligns with EU regulations, however, longer term, the UK is likely to develop its own legislation that diverges from that in the EU now that its regulatory system is independent from the EU and the Trade and Cooperation Agreement entered into by the EU and UK does not provide for mutual recognition of UK and EU pharmaceutical legislation. It is possible therefore, that there will be increased regulatory complexities in the UK and EU, which could disrupt the timing of any regulatory approvals that we may determine to pursue in these jurisdictions. </w:t>
      </w:r>
    </w:p>
    <w:p>
      <w:pPr>
        <w:pStyle w:val="TextBody"/>
        <w:bidi w:val="0"/>
        <w:spacing w:lineRule="auto" w:line="268" w:before="240" w:after="283"/>
        <w:jc w:val="left"/>
        <w:rPr/>
      </w:pPr>
      <w:r>
        <w:rPr>
          <w:rFonts w:ascii="Times New Roman;serif" w:hAnsi="Times New Roman;serif"/>
          <w:b/>
          <w:i/>
          <w:color w:val="000000"/>
          <w:sz w:val="20"/>
        </w:rPr>
        <w:t>The FDA, EMA and other comparable foreign regulatory authorities may not accept data from trials conducted in locations outside of their jurisdiction.</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anticipate we will conduct clinical trials of our therapeutic candidates in the United States and internationally. The acceptance of study data by the FDA, EMA or other comparable foreign regulatory authority from clinical trials conducted outside of their respective jurisdictions may be subject to certain conditions or may not be accepted at all. In cases where data from United States clinical trials are intended to serve as the basis for marketing approval in the foreign countries outside the United States, the standards for clinical trials and approval may be different. There can be no assurance that any United States or foreign regulatory authority would accept data from trials conducted outside of its applicable jurisdiction. For example, we are initially advancing the ENTR-601-44 and ENTR-601-45 programs in the EU and the UK, and we have not yet conducted any clinical trials for these programs in the United States. Additionally, recent policy proposals in the U.S., if enacted in the future, may make acceptance by the FDA or inclusion in a marketing application of foreign data more difficult or costly. If the FDA does not accept data from such trials, it would result in the need for additional trials, which would be costly and time-consuming and delay aspects of our business plan, and which may result in our therapeutic candidates not receiving approval or clearance for commercialization in the applicable jurisdiction. </w:t>
      </w:r>
    </w:p>
    <w:p>
      <w:pPr>
        <w:pStyle w:val="TextBody"/>
        <w:bidi w:val="0"/>
        <w:spacing w:lineRule="auto" w:line="268" w:before="240" w:after="283"/>
        <w:jc w:val="left"/>
        <w:rPr/>
      </w:pPr>
      <w:r>
        <w:rPr>
          <w:rFonts w:ascii="Times New Roman;serif" w:hAnsi="Times New Roman;serif"/>
          <w:b/>
          <w:i/>
          <w:color w:val="000000"/>
          <w:sz w:val="20"/>
        </w:rPr>
        <w:t>Changes in methods of therapeutic candidate manufacturing or formulation may result in additional costs or delay, which could adversely affect our business, results of operations and financial condition.</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therapeutic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an alternative formulation of one or more of our therapeutic candidates during the course of our planned clinical trials. Such changes carry the risk that they will not achieve these intended objectives. Any of these changes could cause our therapeutic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therapeutic candidates and jeopardize our ability to commercialize our therapeutic candidates, if approved, and generate revenue.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Even if we, or any collaborators we may have, obtain marketing approvals for any therapeutic candidates we may develop, the terms of approvals and ongoing regulation of our therapeutics could require the substantial expenditure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51485"/>
                <wp:effectExtent l="0" t="0" r="0" b="0"/>
                <wp:wrapNone/>
                <wp:docPr id="58" name="Frame5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pPr>
      <w:r>
        <w:rPr>
          <w:rFonts w:ascii="Times New Roman;serif" w:hAnsi="Times New Roman;serif"/>
          <w:b/>
          <w:i/>
          <w:color w:val="000000"/>
          <w:sz w:val="20"/>
        </w:rPr>
        <w:t>resources and may limit how we, or they, manufacture and market our therapeutics, which could materially impair our ability to generate revenue.</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therapeutic candidate for which we obtain marketing approval, if ever, along with the manufacturing processes, post-approval clinical data, labeling, advertising and promotional activities for such medicine, will be subject to continual requirements of and review by the FDA and other regulatory authorities. These requirements include submissions of safety and other post-marketing information and reports, registration and listing requirements, current Good Manufacturing Practice ("cGMP") requirements relating to quality control, quality assurance and corresponding maintenance of records and documents, compliance with applicable product tracking and tracing requirements, and requirements regarding the distribution of samples to physicians and recordkeeping. For example, the holder of an approved BLA is obligated to monitor and report adverse events and any failure of a product to meet the specifications in the BLA. The FDA typically advises that patients treated with genetic medicine undergo follow-up observations for potential adverse events for a 15-year period. The holder of an approved BLA must also submit new or supplemental applications and obtain FDA approval for certain changes to the approved product, product labeling or manufacturing process. Even if marketing approval of a therapeutic candidate is granted, the approval may be subject to limitations on the indicated uses for which the medicine may be marketed or to the conditions of approval, or contain requirements for costly post-marketing testing and surveillance to monitor the safety or efficacy of the medicine.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assuming we, or any third parties we may collaborate with, receive marketing approval for one or more therapeutic candidates we may develop, we, and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post-approval regulatory requirements, we and such collaborators could have the marketing approvals for our therapeutics withdrawn by regulatory authorities and our, or such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fail to comply with applicable regulatory requirements following approval of any therapeutic candidates we may develop, a regulatory agency may: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issue a warning letter asserting that we are in violation of the law;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seek an injunction or impose civil or criminal penalties or monetary fines;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suspend or withdraw regulatory approval;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suspend any ongoing clinical trials;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refuse to approve a pending NDA, BLA or comparable foreign regulatory filing, or supplements thereto submitted by us;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seize product; or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refuse to allow us to enter into supply contracts, including government contracts.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government investigation of alleged violations of law could require us to expend significant time and resources in response and could generate negative publicity. The occurrence of any event or penalty described above may inhibit our ability to commercialize any therapeutic candidates we may develop and generate revenues. </w:t>
      </w:r>
    </w:p>
    <w:p>
      <w:pPr>
        <w:pStyle w:val="TextBody"/>
        <w:bidi w:val="0"/>
        <w:spacing w:lineRule="auto" w:line="268" w:before="240" w:after="283"/>
        <w:jc w:val="left"/>
        <w:rPr/>
      </w:pPr>
      <w:r>
        <w:rPr>
          <w:rFonts w:ascii="Times New Roman;serif" w:hAnsi="Times New Roman;serif"/>
          <w:b/>
          <w:i/>
          <w:color w:val="000000"/>
          <w:sz w:val="20"/>
        </w:rPr>
        <w:t>Clinical trial and product liability lawsuits against us could divert our resources, could cause us to incur substantial liabilities and could limit commercialization of any therapeutic candidates we may develop.</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will face an inherent risk of clinical trial and product liability exposure related to the testing of any therapeutic candidates we may develop in clinical trials, and we will face an even greater risk if we commercially sell any products that we may develop. While we currently have no therapeutic candidates in clinical trials or that have been approved for commercial sale, the future use of therapeutic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therapeutic candidates or products caused injuries, we will incur substantial liabilities. Regardless of merit or eventual outcome, liability claims may result in: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decreased demand for any therapeutic candidates we may develop;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injury to our reputation and significant negative media attention;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withdrawal of clinical trial participants and inability to continue clinical trials;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51485"/>
                <wp:effectExtent l="0" t="0" r="0" b="0"/>
                <wp:wrapNone/>
                <wp:docPr id="59" name="Frame5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initiation of investigations by regulators;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significant costs to defend any related litigation;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substantial monetary awards to trial participants or patients;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product recalls, withdrawals or labeling, marketing or promotional restrictions;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loss of revenue;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exhaustion of any available insurance and our capital resources;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decline in our stock price;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reduced resources of our management to pursue our business strategy; and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inability to commercialize any therapeutic candidates we may develop.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will need to increase our insurance coverage if we continue to commence clinical trials or if we commence commercialization of any therapeutic candidates. Insurance coverage is increasingly expensive. We may not be able to maintain insurance coverage at a reasonable cost or in an amount adequate to satisfy any liability that may arise. If and when coverage is secured, our insurance policies may also have various exclusions and we may be subject to a product liability claim for which we have no coverage. Even if our agreements with any future corporate collaborators entitle us to indemnification against losses, such indemnification may not be available or adequate should any claim arise. If a successful clinical trial or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lineRule="auto" w:line="268" w:before="240" w:after="283"/>
        <w:jc w:val="left"/>
        <w:rPr/>
      </w:pPr>
      <w:r>
        <w:rPr>
          <w:rFonts w:ascii="Times New Roman;serif" w:hAnsi="Times New Roman;serif"/>
          <w:b/>
          <w:i/>
          <w:color w:val="000000"/>
          <w:sz w:val="20"/>
        </w:rPr>
        <w:t>We may develop our current or future therapeutic candidates in combination with other therapies, which would expose us to additional risks.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develop our current or potential future therapeutic candidates in combination with one or more currently approved therapies or therapies in development. Even if any of our current or future therapeutic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therapeutic candidates, or safety, efficacy, manufacturing or supply issues could arise with these existing therapies. In addition, it is possible that existing therapies with which our therapeutic candidates are approved for use could themselves fall out of favor or be relegated to later lines of treatment. This could result in the need to identify other combination therapies for our therapeutic candidates or our own products being removed from the market or being less successful commercially.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evaluate our current or future therapeutic candidates in combination with one or more other therapies that have not yet been approved for marketing by the FDA, EMA or comparable foreign regulatory authorities. We will not be able to market and sell any therapeutic candidate in combination with any such unapproved therapies that do not ultimately obtain marketing approval.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we cannot be certain that we will be able to obtain a steady supply of such therapies for use in developing combinations with our therapeutic candidates on commercially reasonable terms or at all. Any failure to obtain such therapies for use in clinical development and the expense of purchasing therapies in the market may delay our development timelines, increase our costs and jeopardize our ability to develop our therapeutic candidates as commercially viable therapies. If the FDA, EMA or other comparable foreign regulatory authorities do not approve or withdraw their approval of these other therapies, or if safety, efficacy, commercial adoption, manufacturing or supply issues arise with the therapies we choose to evaluate in combination with any of our current or future therapeutic candidates, we may be unable to obtain approval of or successfully market any one or all of the current or future therapeutic candidates we develop. Additionally, if the third-party providers of therapies or therapies in development used in combination with our current or future therapeutic candidates are unable to produce sufficient quantities for clinical trials or for commercialization of our current or future therapeutic candidates, or if the cost of combination therapies are prohibitive, our development and commercialization efforts would be impaired, which would have an adverse effect on our business, financial condition, results of operations and growth prospects.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pPr>
      <w:r>
        <w:rPr>
          <w:rFonts w:ascii="Times New Roman;serif" w:hAnsi="Times New Roman;serif"/>
          <w:b/>
          <w:color w:val="000000"/>
          <w:sz w:val="20"/>
        </w:rPr>
        <w:t>Risks Related to Our Reliance on Third Parties</w:t>
      </w:r>
      <w:r>
        <w:rPr>
          <w:color w:val="000000"/>
        </w:rPr>
        <w:t xml:space="preserve"> </w:t>
      </w:r>
    </w:p>
    <w:p>
      <w:pPr>
        <w:pStyle w:val="TextBody"/>
        <w:bidi w:val="0"/>
        <w:spacing w:lineRule="auto" w:line="268" w:before="240" w:after="283"/>
        <w:jc w:val="left"/>
        <w:rPr/>
      </w:pPr>
      <w:r>
        <w:rPr>
          <w:rFonts w:ascii="Times New Roman;serif" w:hAnsi="Times New Roman;serif"/>
          <w:b/>
          <w:i/>
          <w:color w:val="000000"/>
          <w:sz w:val="20"/>
        </w:rPr>
        <w:t>We rely, and expect to continue to rely, on third parties to conduct some or all aspects of our product manufacturing, research and preclinical and clinical testing, and these third parties may not perform satisfactorily.</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51485"/>
                <wp:effectExtent l="0" t="0" r="0" b="0"/>
                <wp:wrapNone/>
                <wp:docPr id="60" name="Frame5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expect to independently conduct all aspects of our product manufacturing, research and preclinical and clinical testing. We currently rely, and expect to continue to rely, on third parties with respect to many of these items, including contract manufacturing organizations ("CMOs") for the manufacturing of any therapeutic candidates we test in preclinical or clinical development, as well as contract research organizations ("CROs") for the conduct of our animal testing and research and CROs for the conduct of our planned clinical trials. Any of these third parties may terminate their engagements with us at any time. A need to enter into alternative arrangements could delay our product development activities, and we may not be able to enter into alternative arrangements on reasonable terms, if at all.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reliance on these third parties for research and development activities will reduce our control over these activities but will not relieve us of our responsibility to ensure compliance with all required regulations and study protocols. For example, for therapeutic candidates that we develop and commercialize on our own, we will remain responsible for ensuring that each of our CTA/IND-enabling studies and clinical trials are conducted in accordance with the study plan and protocols. Moreover, the FDA and similar foreign regulatory bodies require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government-sponsored databases, such as clinicaltrials.gov, within specified timeframes. Failure to do so can result in fines, adverse publicity and civil and criminal sanctions. If we or any of our CROs or other third parties, including trial sites,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our stockholders that upon inspection by a given regulatory authority, such regulatory authority will determine that any of our clinical trials complies with GCP regulations. In addition, our clinical trials must be conducted with product produced under conditions that comply with cGMPs. Our failure to comply with these regulations may require us to repeat clinical trials, which would delay the regulatory approval process.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intend to design the clinical trials for any therapeutic candidates we may develop, CROs will conduct some or all of the clinical trials. As a result, many important aspects of our development programs, including their conduct and timing, will be outside of our direct control. Our reliance on third parties to conduct future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Outside parties may: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have staffing difficulties;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be unable to acquire the necessary supplies to perform successfully;</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fail to comply with contractual obligations;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experience regulatory compliance issues;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undergo changes in priorities or become financially distressed; or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form relationships with other entities, some of which may be our competitors.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factors may materially adversely affect the willingness or ability of third parties to conduct our preclinical studies and clinical trials and may subject us to unexpected cost increases that are beyond our control. We expect to have to negotiate budgets and contracts with CROs and trial sites, which may result in delays to our development timelines and increased costs. 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CROs, and any other third parties we engage do not perform preclinical studies and future clinical trials in a satisfactory manner, if the quality or accuracy of the clinical data they obtain is compromised due to the failure to adhere to our clinical protocols, or if they breach their obligations to us or fail to comply with regulatory requirements, the development, regulatory approval and commercialization of any therapeutic candidates we may develop may be delayed, we may not be able to obtain regulatory approval and commercialize our therapeutic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Nevertheless, we are responsible for ensuring that each of our clinical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other regulatory authorities for therapeutic candidates in clinical development. Regulatory authorities enforce these GCP requirements through periodic inspections of trial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51485"/>
                <wp:effectExtent l="0" t="0" r="0" b="0"/>
                <wp:wrapNone/>
                <wp:docPr id="61" name="Frame5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sponsors, clinical investigators and trial sites. If we or any of these third parties fail to comply with applicable GCP requirements, the clinical data generated in our clinical trials may be deemed unreliable and the FDA or other regulatory authorities may require us to suspend, place on clinical hold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 In addition, our clinical trials must be conducted with drug product produced under cGMP requirements and may require a large number of patients. In the U.S., we also are required to register ongoing clinical trials and post the results of completed clinical trials on a government-sponsored database, clinicaltrials.gov, within certain timeframes. Failure to do so can result in fines, adverse publicity and civil and criminal sanctions.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therapeutic candidates. As a result, our financial results and the commercial prospects for our therapeutic candidates would be harmed, our costs could increase and our ability to generate revenue could be delayed.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 For any violations of laws and regulations during the conduct of our preclinical studies and clinical trials, we could be subject to warning letters or enforcement action that may include civil penalties up to and including criminal prosecution.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any of our relationships with these third-party CROs or others terminate, we may not be able to enter into arrangements with alternative CROs or other third parties or to do so on commercially reasonable terms. Switching or adding additional CROs involves additional cost and requires management time and focus. In addition, there is a natural transition period when a new CRO begins work. As a result, delays may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If third parties do not successfully carry out their contractual duties, meet expected deadlines or conduct our studies in accordance with regulatory requirements or our stated study plans and protocols, we will not be able to complete, or may be delayed in completing, the preclinical studies and clinical trials required to support future IND/CTA submissions and approval of any therapeutic candidates we may develop. </w:t>
      </w:r>
    </w:p>
    <w:p>
      <w:pPr>
        <w:pStyle w:val="TextBody"/>
        <w:bidi w:val="0"/>
        <w:spacing w:lineRule="auto" w:line="268" w:before="240" w:after="283"/>
        <w:jc w:val="left"/>
        <w:rPr/>
      </w:pPr>
      <w:r>
        <w:rPr>
          <w:rFonts w:ascii="Times New Roman;serif" w:hAnsi="Times New Roman;serif"/>
          <w:b/>
          <w:i/>
          <w:color w:val="000000"/>
          <w:sz w:val="20"/>
        </w:rPr>
        <w:t>We are dependent on third-party vendors to provide certain licenses, products and services and our business and operations, including clinical trials, could be disrupted by any problems with our significant third-party vendors.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engage a number of third-party suppliers and service providers to supply critical goods and services, such as contract research services, contract manufacturing services and information technology services. Disruptions to the business, financial stability or operations of these suppliers and service providers, including due to strikes, labor disputes or other disruptions to the workforce, for instance, if employees are not able to come to work, or to their willingness and ability to produce or deliver such products or provide such services in a manner that satisfies the requirements put forth by the authorities, or in a manner that satisfies our own requirements, could affect our ability to develop and market our future therapeutic candidates on a timely basis. If these suppliers and service providers were unable or unwilling to continue to provide their products or services in the manner expected, or at all, we could encounter difficulty finding alternative suppliers. For example, we currently rely on foreign CROs and CMOs to manufacture our clinical materials, and may rely on foreign CROs and CMOs in the future. Foreign CMOs may be subject to U.S. legislation or investigations, sanctions, trade restrictions and other foreign regulatory requirements, which could increase the cost or reduce the supply of material available to us, delay the procurement or supply of such material, delay or impact clinical trials, have an adverse effect on our ability to secure significant commitments from governments to purchase our potential therapies and could adversely affect our financial condition and business prospects. For example, on December 18, 2025, the National Defense Authorization Act for Fiscal Year 2026 ("NDAA") was enacted, which includes Section 851, commonly referred to as the "BIOSECURE Act." The BIOSECURE Act restricts U.S. federal agencies and contractors from procuring certain biotechnology equipment or services from, or entering into contracts with, entities that use biotechnology equipment or services from designated "biotechnology companies of concern," and from expending certain federal loan or grant funds for such equipment or services. While the BIOSECURE Act is primarily directed at U.S. government procurement and funding and has not yet been fully implemented through final regulations, there remains a continued policy interest in limiting U.S. companies' relationships with biotechnology providers with relationships with foreign adversaries.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51485"/>
                <wp:effectExtent l="0" t="0" r="0" b="0"/>
                <wp:wrapNone/>
                <wp:docPr id="62" name="Frame5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potential downstream adverse impacts on entities having only commercial relationships with any impacted biotechnology providers is unknown but may include supply chain disruptions or delays. Regional or single-source dependencies may in some cases accentuate these risks. For example, the pharmaceutical industry generally, and in some instances our Company, our collaborators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as a result of the escalation of tariffs or other trade restrictions, such as those included in the NDAA. While certain tariffs have been suspended, modified or temporarily reduced, we cannot predict the results of the U.S. government's trade negotiations or the outcome of ongoing legal challenges to specific tariff policies. Even if we are able to secure appropriate alternative suppliers in a timely manner, costs for such products or services could increase significantly. Any of these events could adversely affect our results of operations and our business. </w:t>
      </w:r>
    </w:p>
    <w:p>
      <w:pPr>
        <w:pStyle w:val="TextBody"/>
        <w:bidi w:val="0"/>
        <w:spacing w:lineRule="auto" w:line="268" w:before="240" w:after="283"/>
        <w:jc w:val="left"/>
        <w:rPr/>
      </w:pPr>
      <w:r>
        <w:rPr>
          <w:rFonts w:ascii="Times New Roman;serif" w:hAnsi="Times New Roman;serif"/>
          <w:b/>
          <w:i/>
          <w:color w:val="000000"/>
          <w:sz w:val="20"/>
        </w:rPr>
        <w:t>Our EEV-based therapeutic candidates are based on novel technologies and any therapeutic candidates we develop may be complex and difficult to manufacture. We may encounter difficulties in manufacturing, product release, shelf life, testing, storage, supply chain management or shipping. If we or any of our third-party manufacturers encounter such difficulties, our ability to supply material for clinical trials or any approved product could be delayed or stopped.</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manufacturing processes for our therapeutic candidates are novel. There are no medicines incorporating or utilizing our EEV Platform that have been commercialized to date. Due to the novel nature of this technology and limited experience at larger scale production, we may encounter difficulties in manufacturing, product release, shelf life, testing, storage and supply chain management, or shipping. These difficulties could be due to any number of reasons including, but not limited to, complexities of producing batches at larger scale, equipment failure, choice and quality of raw materials and excipients, analytical testing technology, and product instability. In an effort to optimize product features, we have in the past and may in the future make changes to our therapeutic candidates in their manufacturing and stability formulation and conditions. This has in the past resulted in and may in the future result in our having to resupply batches for preclinical or clinical activities when there is insufficient product stability during storage and insufficient supply. Insufficient stability or shelf life of our therapeutic candidates could materially delay our or our strategic collaborators' ability to continue the clinical trial for that therapeutic candidate or require us to begin a new clinical trial with a newly formulated drug product, due to the need to manufacture additional preclinical or clinical supply.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rate of innovation is high, which has resulted in and will continue to cause a high degree of technology change that can negatively impact product comparability during and after clinical development. Furthermore, technology changes may drive the need for changes in, modification to, or the sourcing of new manufacturing infrastructure or may adversely affect third-party relationships.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process to generate our EEV-based therapeutics is complex and, if not developed and manufactured under well-controlled conditions, can adversely impact pharmacological activity. Furthermore, we have not manufactured our EEV-based therapeutics at commercial scale. We may encounter difficulties in scaling up our manufacturing process, thereby potentially impacting clinical and commercial supply.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clinical development of our EEV-based therapeutics, in many cases, we may have to utilize multiple batches of drug substance and drug product to meet the clinical supply requirement of a single clinical trial. Failure in our ability to scale up batch size or failure in any batch may lead to a substantial delay in our clinical trials.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we continue developing new manufacturing processes for our drug substance and drug product, the changes we implement to manufacturing process may in turn impact specification and stability of the drug product. Changes in our manufacturing processes may lead to failure of lots and this could lead to a substantial delay in our clinical trials. Our EEV-based therapeutic candidates may prove to have a stability profile that leads to a lower than desired shelf life of our final approved EEV-based product. This poses risk in supply requirements, wasted stock, and higher cost of goods.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number of different programs, we may have cross contamination of products inside of our factories, CROs, suppliers, or in the clinic that affect the integrity of our therapeutics.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we scale the manufacturing output for particular programs, we plan to continuously improve yield, purity, and the pharmaceutical properties of our development candidates from IND-enabling studies through commercial launch, including shelf life stability, and solubility properties of drug product and drug substance. Because of continuous improvement in manufacturing processes, we may switch processes for a particular program during development. However, after the change in process, more time is required for pharmaceutical property testing, such as 6 or 12 month stability testing. That may require resupplying clinical material, or making additional cGMP batches to keep up with clinical trial demand before such pharmaceutical property testing is completed.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51485"/>
                <wp:effectExtent l="0" t="0" r="0" b="0"/>
                <wp:wrapNone/>
                <wp:docPr id="63" name="Frame5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utilizing a number of raw materials and excipients that are either new to the pharmaceutical industry or are being employed in a novel manner. Some of these raw materials and excipients have not been scaled to a level to support commercial supply and could experience unexpected manufacturing or testing failures, or supply shortages. Such issues with raw materials and excipients could cause delays or interruptions to clinical and commercial supply of our therapeutic candidates. Further, now and in the future one or more of our programs may have a single source of supply for raw materials and excipients.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establish a number of analytical assays to assess the quality of our EEV-based therapeutic candidates. We may identify gaps in our analytical testing strategy that might prevent release of product or could require product withdrawal or recall. For example, we may discover new impurities that have an impact on product safety, efficacy, or stability. This may lead to an inability to release our therapeutic candidates until the manufacturing or testing process is rectified.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find that our therapeutic candidates are extremely temperature sensitive, and we may learn that any or all of our therapeutics are less stable than desired. We may also find that transportation conditions negatively impact product quality. This may require changes to the formulation or manufacturing process for one or more of our therapeutic candidates and result in delays or interruptions to clinical or commercial supply. In addition, the cost associated with such transportation services and the limited pool of vendors may also add additional risks of supply disruptions. </w:t>
      </w:r>
    </w:p>
    <w:p>
      <w:pPr>
        <w:pStyle w:val="TextBody"/>
        <w:bidi w:val="0"/>
        <w:spacing w:lineRule="auto" w:line="268" w:before="240" w:after="283"/>
        <w:jc w:val="left"/>
        <w:rPr/>
      </w:pPr>
      <w:r>
        <w:rPr>
          <w:rFonts w:ascii="Times New Roman;serif" w:hAnsi="Times New Roman;serif"/>
          <w:b/>
          <w:i/>
          <w:color w:val="000000"/>
          <w:sz w:val="20"/>
        </w:rPr>
        <w:t>Our reliance on third parties requires us to share our trade secrets, which increases the possibility that a competitor or other third party will discover them or that our trade secrets will be misappropriated or disclosed.</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Because we currently rely on third parties to manufacture our therapeutic candidates and to perform quality testing,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 </w:t>
      </w:r>
    </w:p>
    <w:p>
      <w:pPr>
        <w:pStyle w:val="TextBody"/>
        <w:bidi w:val="0"/>
        <w:spacing w:lineRule="auto" w:line="268" w:before="240" w:after="283"/>
        <w:jc w:val="left"/>
        <w:rPr/>
      </w:pPr>
      <w:r>
        <w:rPr>
          <w:rFonts w:ascii="Times New Roman;serif" w:hAnsi="Times New Roman;serif"/>
          <w:b/>
          <w:i/>
          <w:color w:val="000000"/>
          <w:sz w:val="20"/>
        </w:rPr>
        <w:t>We may from time to time be dependent on single- or limited-source suppliers for some of the components and materials used in the therapeutic candidates we may develop.</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from time to time depend on single- or limited-source suppliers for some of the components and materials used in any therapeutic candidates we may develop.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components, key processes and finished goods could expose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damage our business, financial condition, results of operations and prospects.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have to switch to a replacement supplier, the manufacture and delivery of any therapeutic candidates we may develop could be interrupted for an extended period, which could adversely affect our business. Establishing additional or replacement suppliers,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therapeutics, any interruption or delay in the supply of components or materials, or our inability to obtain components or materials from alternate sources at acceptable prices in a timely manner, could impair our ability to meet the demand for our investigational medicines.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have and may in the future enter into collaborations, licenses and other similar arrangements with third parties for the research, development and commercialization of certain of the therapeutic candidates we may develop,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51485"/>
                <wp:effectExtent l="0" t="0" r="0" b="0"/>
                <wp:wrapNone/>
                <wp:docPr id="64" name="Frame6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pPr>
      <w:r>
        <w:rPr>
          <w:rFonts w:ascii="Times New Roman;serif" w:hAnsi="Times New Roman;serif"/>
          <w:b/>
          <w:i/>
          <w:color w:val="000000"/>
          <w:sz w:val="20"/>
        </w:rPr>
        <w:t>our collaboration with Vertex. If any such arrangements are not successful, we may not be able to capitalize on the market potential of those therapeutic candidates.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seek third-party collaborators for the research, development and commercialization of certain of the therapeutic candidates we may develop. If we enter into any such arrangements with any third parties, we will likely have limited control over the amount and timing of resources that our partners dedicate to the development or commercialization of any therapeutic candidates we may seek to develop with them. Our ability to generate revenues from these arrangements will depend on our abilities to successfully perform the functions assigned to them in these arrangements. We cannot predict the success of any arrangement that we enter into.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Collaborations involving our research programs or any therapeutic candidates we may develop pose numerous risks to us, including the following: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collaborators would have significant discretion in determining the efforts and resources that they will apply to these collaborations;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collaborators may not perform their obligations as expected;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collaborators may not pursue development and commercialization of any therapeutic candidates we may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collaborators may delay programs, preclinical studies or clinical trials, provide insufficient funding for programs, preclinical studies or clinical trials, stop a preclinical study or clinical trial or abandon a therapeutic candidate, repeat or conduct new clinical trials or require a new formulation of a therapeutic candidate for clinical testing;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collaborators could independently develop, or develop with third parties, products that compete directly or indirectly with any therapeutic candidates we may develop if the collaborators believe that competitive products are more likely to be successfully developed or can be commercialized under terms that are more economically attractive than ours;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collaborators may be acquired by a third party having competitive products or different priorities, causing the emphasis on our product development or commercialization program under such collaboration to be delayed, diminished or terminated;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collaborators with marketing and distribution rights to one or more products may not commit sufficient resources to the marketing and distribution of such product or products;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if a collaborator of ours is involved in a business combination, the collaborator might de-emphasize or terminate the development or commercialization of any therapeutic candidate licensed to it by us;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disputes may arise between the collaborators and us that result in the delay or termination of the research, development, or commercialization of any therapeutic candidates we may develop or that result in costly litigation or arbitration that diverts management attention and resources;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we may lose certain valuable rights under certain circumstances, including if we undergo a change of control;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collaborations may be terminated and, if terminated, may result in a need for additional capital to pursue further development or commercialization of the applicable therapeutic candidates we may develop;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our collaborators' business or operations could be disrupted due to reasons outside of our control, such as global health crises, macroeconomic conditions and geopolitical developments, evolving regulatory activities and policy changes under the current U.S. government, changes to rates of inflation and interest rates and uncertainty about economic and global stability, which could have an adverse impact on their development and commercialization efforts or the prospects of our collaboration; and</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collaboration agreements may not lead to development or commercialization of therapeutic candidates in the most efficient manner or at all.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our collaborations do not result in the successful development and commercialization of therapeutic candidates, or if one of our collaborators terminates its agreement with us, we may not receive any future research funding or milestone or royalty payments under the collaboration. If we do not receive the funding we expect under these agreements, our development of therapeutic candidates could be delayed, and we may need additional resources to develop therapeutic candidates. In addition, if one of our collaborators terminates its agreement with us, we may find it more difficult to find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51485"/>
                <wp:effectExtent l="0" t="0" r="0" b="0"/>
                <wp:wrapNone/>
                <wp:docPr id="65" name="Frame6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Quarterly Report apply to the activities of our collaborators.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example, we will have limited influence and control over the development and commercialization activities of Vertex in the development and commercialization of VX-670 or certain other product candidates. Vertex has announced that it expects to share the results of the GALILEO global Phase 1/2 clinical study of VX-670 in people with DM1 during the second half of 2026.Vertex's development and commercialization activities may adversely impact our own efforts. Failure by Vertex to meet its obligations under the Vertex Agreement, to apply sufficient efforts at developing and commercializing collaboration products, or to comply with applicable legal or regulatory requirements, may materially adversely affect our business and our results of operations. In addition, to the extent we rely on Vertex to commercialize any products upon obtaining regulatory approval, we may receive less revenue than if we commercialized these products ourselves, which could materially harm our prospects.</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definitive collaboration agreements will depend, among other things, upon our assessment of the collaborator's resources and expertise, the terms and conditions of the proposed collaboration, and the proposed collaborator's evaluation of several factors. If we license rights to any therapeutic candidates we or our collaborators may develop, we may not be able to realize the benefit of such transactions if we are unable to successfully integrate them with our existing operations and company culture. </w:t>
      </w:r>
    </w:p>
    <w:p>
      <w:pPr>
        <w:pStyle w:val="TextBody"/>
        <w:bidi w:val="0"/>
        <w:spacing w:lineRule="auto" w:line="268" w:before="240" w:after="283"/>
        <w:jc w:val="left"/>
        <w:rPr/>
      </w:pPr>
      <w:r>
        <w:rPr>
          <w:rFonts w:ascii="Times New Roman;serif" w:hAnsi="Times New Roman;serif"/>
          <w:b/>
          <w:i/>
          <w:color w:val="000000"/>
          <w:sz w:val="20"/>
        </w:rPr>
        <w:t>If conflicts arise between us and our current or potential collaborators, these parties may act in a manner adverse to us and could limit our ability to implement our strategies.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conflicts arise between us and our current or potential collaborators, the other party may act in a manner adverse to us and could limit our ability to implement our strategies. Our collaborators may develop, either alone or with others, products in related fields that are competitive with the therapeutic candidates we may develop that are the subject of these collaborations with us. Competing products, either developed by the collaborators or to which the collaborators have rights, may result in the withdrawal of support for our therapeutic candidates.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of our future collaborators could also become our competitors. Our collaborators could develop competing products, preclude us from entering into collaborations with their competitors, fail to obtain timely regulatory approvals, terminate their agreements with us prematurely, fail to devote sufficient resources to the development and commercialization of products, or merge with or be acquired by a third party who may do any of these things. Any of these developments could harm our product development efforts.</w:t>
      </w:r>
    </w:p>
    <w:p>
      <w:pPr>
        <w:pStyle w:val="TextBody"/>
        <w:bidi w:val="0"/>
        <w:spacing w:lineRule="auto" w:line="268" w:before="240" w:after="283"/>
        <w:jc w:val="left"/>
        <w:rPr/>
      </w:pPr>
      <w:r>
        <w:rPr>
          <w:rFonts w:ascii="Times New Roman;serif" w:hAnsi="Times New Roman;serif"/>
          <w:b/>
          <w:i/>
          <w:color w:val="000000"/>
          <w:sz w:val="20"/>
        </w:rPr>
        <w:t>If we are not able to establish collaborations on commercially reasonable terms, we may have to alter our development and commercialization plans.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 development and research programs and the potential commercialization of any therapeutic candidates we may develop will require substantial additional cash to fund expenses. For some of the therapeutic candidates we may develop, we may decide to collaborate with other pharmaceutical and biotechnology companies for the development and potential commercialization of those therapeutic candidates.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therapeutic candidate, the costs and complexities of manufacturing and delivering such therapeutic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therapeutic candidates or technologies for similar indications that may be available to collaborate on and whether such a collaboration could be more attractive than the one with us.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Collaborations are complex and time-consuming to negotiate and document. In addition, there have been a significant number of recent business combinations among large pharmaceutical companies that have resulted in a reduced number of potential future collaborators.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51485"/>
                <wp:effectExtent l="0" t="0" r="0" b="0"/>
                <wp:wrapNone/>
                <wp:docPr id="66" name="Frame6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not be able to negotiate collaborations on a timely basis, on acceptable terms, or at all. If we are unable to do so, we may have to curtail the development of the therapeutic candidate for which we are seeking to collaborate, reduce or delay its development program or one or more of our other development programs, delay its potential commercialization, reduce the scope of any sales or marketing activities, or increase our own expenditures on the development of the therapeutic candidate.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pPr>
      <w:r>
        <w:rPr>
          <w:rFonts w:ascii="Times New Roman;serif" w:hAnsi="Times New Roman;serif"/>
          <w:b/>
          <w:color w:val="000000"/>
          <w:sz w:val="20"/>
        </w:rPr>
        <w:t>Risks Related to Commercialization of Our Therapeutic Candidates</w:t>
      </w:r>
      <w:r>
        <w:rPr>
          <w:color w:val="000000"/>
        </w:rPr>
        <w:t xml:space="preserve"> </w:t>
      </w:r>
    </w:p>
    <w:p>
      <w:pPr>
        <w:pStyle w:val="TextBody"/>
        <w:bidi w:val="0"/>
        <w:spacing w:lineRule="auto" w:line="268" w:before="240" w:after="283"/>
        <w:jc w:val="left"/>
        <w:rPr/>
      </w:pPr>
      <w:r>
        <w:rPr>
          <w:rFonts w:ascii="Times New Roman;serif" w:hAnsi="Times New Roman;serif"/>
          <w:b/>
          <w:i/>
          <w:color w:val="000000"/>
          <w:sz w:val="20"/>
        </w:rPr>
        <w:t>The commercial success of our therapeutic candidates will depend upon the degree of market acceptance of such therapeutic candidates by physicians, patients, healthcare payors and others in the medical community.</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therapeutic candidates may not be commercially successful. Even if any of our therapeutic candidates receive regulatory approval, they may not gain market acceptance among physicians, patients, healthcare payors or the medical community. The commercial success of any of our current or future therapeutic candidates will depend significantly on the broad adoption and use of the resulting product by physicians and patients for approved indications. The degree of market acceptance of our therapeutics will depend on a number of factors, including: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demonstration of clinical efficacy and safety compared to other more-established products;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indications for which our therapeutic candidates are approved;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limitation of our targeted patient population and other limitations or warnings contained in any FDA-approved labeling;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acceptance of a new drug for the relevant indication by healthcare providers and their patients;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pricing and cost-effectiveness of our therapeutics, as well as the cost of treatment with our therapeutics in relation to alternative treatments and therapies;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our ability to obtain and maintain sufficient third-party coverage and adequate reimbursement from government healthcare programs, including Medicare and Medicaid, private health insurers and other third-party payors;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willingness of patients to pay all, or a portion of, out-of-pocket costs associated with our therapeutics in the absence of sufficient third-party coverage and adequate reimbursement;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any restrictions on the use of our therapeutics, and the prevalence and severity of any adverse effects;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potential product liability claims;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timing of market introduction of our therapeutics as well as competitive drugs;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effectiveness of our or any of our current or potential future collaborators' sales and marketing strategies; and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unfavorable publicity relating to the product.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any therapeutic candidate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therapeutics may require significant resources and may never be successful. </w:t>
      </w:r>
    </w:p>
    <w:p>
      <w:pPr>
        <w:pStyle w:val="TextBody"/>
        <w:bidi w:val="0"/>
        <w:spacing w:lineRule="auto" w:line="268" w:before="240" w:after="283"/>
        <w:jc w:val="left"/>
        <w:rPr/>
      </w:pPr>
      <w:r>
        <w:rPr>
          <w:rFonts w:ascii="Times New Roman;serif" w:hAnsi="Times New Roman;serif"/>
          <w:b/>
          <w:i/>
          <w:color w:val="000000"/>
          <w:sz w:val="20"/>
        </w:rPr>
        <w:t>Even if we are able to commercialize any of our therapeutic candidates, if approved, such therapeutic candidate may become subject to unfavorable pricing regulations or third-party coverage and reimbursement policies, which would harm our business.</w:t>
      </w:r>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0"/>
        </w:rPr>
        <w:t>The regulations that govern regulatory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therapeutic candidate in a particular country, but then be subject to price regulations that delay our commercial launch of the therapeutic candidate, possibly for lengthy time periods, and negatively impact the revenues we are able to generate from the sale of the therapeutic candidate in that country. Adverse pricing limitations may hinder our ability to recoup our investment in one or more therapeutic candidates, even if our therapeutic candidates obtain marketing approval. For more information, please see the section titled "</w:t>
      </w:r>
      <w:r>
        <w:rPr>
          <w:rFonts w:ascii="Times New Roman;serif" w:hAnsi="Times New Roman;serif"/>
          <w:b w:val="false"/>
          <w:i/>
          <w:color w:val="000000"/>
          <w:sz w:val="20"/>
        </w:rPr>
        <w:t>Business — Government Regulation — Coverage, Pricing and Reimbursement</w:t>
      </w:r>
      <w:r>
        <w:rPr>
          <w:rFonts w:ascii="Times New Roman;serif" w:hAnsi="Times New Roman;serif"/>
          <w:b w:val="false"/>
          <w:color w:val="000000"/>
          <w:sz w:val="20"/>
        </w:rPr>
        <w:t>" included in our Annual Report.</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commercialize any therapeutic candidates successfully also will depend in part on the extent to which coverage and reimbursement for these therapeutic candidates and related treatments will be available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51485"/>
                <wp:effectExtent l="0" t="0" r="0" b="0"/>
                <wp:wrapNone/>
                <wp:docPr id="67" name="Frame6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government authorities, private health insurers and other organizations. 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 principal decisions about reimbursement for new medicines are typically made by the Centers for Medicare &amp; Medicaid Services ("CMS"), an agency within the U.S. Department of Health and Human Services ("HHS"). CMS decides whether and to what extent a new medicine will be covered and reimbursed under Medicare and private payors tend to follow CMS to a substantial degree. The availability of coverage and extent of reimbursement by governmental and private payors is essential for most patients to be able to afford treatments. Sales of these or other products that we may identify will depend substantially, both domestically and abroad, on the extent to which the costs of our therapeutics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therapeutics. Even if coverage is provided, the approved reimbursement amount may not be high enough to allow us to establish or maintain pricing sufficient to realize a sufficient return on our investment. Factors payors consider in determining reimbursement are based on whether the product is: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 covered benefit under its health plan;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safe, effective and medically necessary;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appropriate for the specific patient;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cost-effective; and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neither experimental nor investigational.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primary trend in the U.S. healthcare industry and elsewhere is cost containment. Government authorities and third-party payors have attempted to control costs by limiting coverage and the amount of reimbursement for particular products. Increasingly, third-party payors are requiring that drug companies provide them with predetermined discounts from list prices and are challenging the prices charged for products. We cannot be sure that coverage will be available for any therapeutic candidate that we commercialize and, if coverage is available, the level of reimbursement.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therapeutic candidate that we commercialize and, if reimbursement is available, the level of reimbursement. In addition, many pharmaceutical manufacturers must calculate and report certain price reporting metrics to the government, such as average sales price ("ASP") and best price. Penalties may apply in some cases when such metrics are not submitted accurately and timely. Further, these prices for drugs may be reduced by mandatory discounts or rebates required by government healthcare programs.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therapeutic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therapeutic candidates. Historically, products launched in the EU do not follow price structures of the U.S. and generally prices tend to be significantly lower. </w:t>
      </w:r>
    </w:p>
    <w:p>
      <w:pPr>
        <w:pStyle w:val="TextBody"/>
        <w:bidi w:val="0"/>
        <w:spacing w:lineRule="auto" w:line="268" w:before="240" w:after="283"/>
        <w:jc w:val="left"/>
        <w:rPr/>
      </w:pPr>
      <w:r>
        <w:rPr>
          <w:rFonts w:ascii="Times New Roman;serif" w:hAnsi="Times New Roman;serif"/>
          <w:b/>
          <w:i/>
          <w:color w:val="000000"/>
          <w:sz w:val="20"/>
        </w:rPr>
        <w:t>We face significant competition, and if our competitors develop technologies or therapeutic candidates more rapidly than we do or their technologies are more effective, our business and our ability to develop and successfully commercialize products may be adversely affected.</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biotechnology and biopharmaceutical industries are characterized by rapid advancing technologies, intense competition and a strong emphasis on proprietary and novel products and therapeutic candidates. Our competitors have developed, are developing or may develop products, therapeutic candidates and processes competitive with our therapeutic candidates. Any therapeutic candidates that we successfully develop and commercialize will compete with existing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51485"/>
                <wp:effectExtent l="0" t="0" r="0" b="0"/>
                <wp:wrapNone/>
                <wp:docPr id="68" name="Frame6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therapies and new therapies that may become available in the future. We believe that a significant number of products are currently under development, and may become commercially available in the future, for the treatment of conditions for which we may attempt to develop therapeutic candidates. Our competitors include larger and better funded pharmaceutical, biopharmaceutical, biotechnological and therapeutics companies. Moreover, we may also compete with universities and other research institutions who may be active in the indications we are targeting and could be in direct competition with us.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therapeutic candidates. Smaller or early stage companies may also prove to be significant competitors, particularly through collaborative arrangements with large and established companies.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Currently, patients with DMD are treated with corticosteroids to manage the inflammatory component of the disease. EMFLAZA (deflazacort) is an FDA-approved corticosteroid marketed by PTC Therapeutics, Inc. ("PTC") and AGAMREE (vamorolone) is a novel alternative steroid marketed by Catalyst Pharmaceuticals. Duvyzat (givinostat) is an oral medication marketed by ITF Therapeutics for patients six years of age and older. Duvyzat is a histone deacetylase (HDAC) inhibitor that works by targeting pathogenic processes to reduce inflammation and loss of muscle. There are four FDA-approved exon skipping drugs: EXONDYS 51 (eteplirsen), VYONDYS 53 (golodirsen), and AMONDYS 45 (casimersen), which are PMOs approved for the treatment of patients with DMD who are amenable to exon 51, exon 53 and exon 45 skipping, respectively, and are marketed by Sarepta Therapeutics, Inc. ("Sarepta"), and VILTEPSO (vitolarsen), a PMO approved for the treatment of patients with DMD who are amenable to exon 53 skipping, which is marketed by Nippon Shinyaku Co. Ltd ("Nippon"). Sarepta also markets Elevidys (delandistrogene moxeparvovec-rokl), a gene therapy for the treatment of DMD for ambulatory individuals 4 years of age and older.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Companies focused on developing treatments for DMD that target dystrophin mechanisms, as does our DMD program, include </w:t>
      </w:r>
      <w:r>
        <w:rPr>
          <w:rFonts w:ascii="Times New Roman;serif" w:hAnsi="Times New Roman;serif"/>
          <w:b w:val="false"/>
          <w:color w:val="333333"/>
          <w:sz w:val="20"/>
        </w:rPr>
        <w:t>Nippon, which is in a Phase 2 clinical trial for patients</w:t>
      </w:r>
      <w:r>
        <w:rPr>
          <w:color w:val="000000"/>
        </w:rPr>
        <w:t xml:space="preserve"> </w:t>
      </w:r>
      <w:r>
        <w:rPr>
          <w:rFonts w:ascii="Times New Roman;serif" w:hAnsi="Times New Roman;serif"/>
          <w:b w:val="false"/>
          <w:color w:val="333333"/>
          <w:sz w:val="20"/>
        </w:rPr>
        <w:t xml:space="preserve">amenable to exon 44 skipping in Japan, </w:t>
      </w:r>
      <w:r>
        <w:rPr>
          <w:rFonts w:ascii="Times New Roman;serif" w:hAnsi="Times New Roman;serif"/>
          <w:b w:val="false"/>
          <w:color w:val="000000"/>
          <w:sz w:val="20"/>
        </w:rPr>
        <w:t>PTC with ataluren, a small molecule targeting nonsense mutations in a Phase 3 clinical trial, Avidity Biosciences,</w:t>
      </w:r>
      <w:r>
        <w:rPr>
          <w:color w:val="333333"/>
        </w:rPr>
        <w:t xml:space="preserve"> </w:t>
      </w:r>
      <w:r>
        <w:rPr>
          <w:rFonts w:ascii="Times New Roman;serif" w:hAnsi="Times New Roman;serif"/>
          <w:b w:val="false"/>
          <w:color w:val="000000"/>
          <w:sz w:val="20"/>
        </w:rPr>
        <w:t>Inc. ("Avidity"), which is a fully owned subsidiary of Novartis, which filed a BLA seeking accelerated approval in June of 2026 and the initiation of a Phase 3 trial in 2026 with an antibody oligonucleotide conjugate for exon 44 (del-zota), and has similar programs for patients amenable to exon 45 which they expect to initiate in 2027, and exon 51 skipping in preclinical development, Wave Life Sciences Ltd., which is clinically evaluating WVE-N531, a splicing clinical candidate that is designed to target exon 53 within the dystrophin gene, Dyne Therapeutics, Inc. ("Dyne"), which is pursuing antibody fragment-oligonucleotide conjugates for exons 44, 45, 51 (the clinical candidate z-rostudirsen formerly known as DYNE-251 - BLA filed in May 2026), and 53, and BioMarin Pharmaceutical Inc., which is in clinical development with BMN 351, an antisense oligonucleotide therapy for exon 51. In addition, several companies are developing gene therapies to treat DMD, including Solid Biosciences Inc. (SGT-003), and REGENXBIO (RGX-202). We are also aware of several companies targeting gene editing, such as Precision Biosciences (IND enabling studies), and non-dystrophin mechanisms for the treatment of DMD, such as Satellos Bioscience Inc., a company developing a small molecule AAK1 inhibitor promoting asymmetric muscle stem cell division (in Phase 2 clinical trials).</w:t>
      </w:r>
    </w:p>
    <w:p>
      <w:pPr>
        <w:pStyle w:val="TextBody"/>
        <w:bidi w:val="0"/>
        <w:spacing w:before="0" w:after="0"/>
        <w:jc w:val="left"/>
        <w:rPr/>
      </w:pPr>
      <w:r>
        <w:rPr/>
      </w:r>
    </w:p>
    <w:p>
      <w:pPr>
        <w:pStyle w:val="TextBody"/>
        <w:bidi w:val="0"/>
        <w:spacing w:lineRule="auto" w:line="288" w:before="0" w:after="0"/>
        <w:ind w:left="0" w:right="0" w:firstLine="648"/>
        <w:jc w:val="left"/>
        <w:rPr/>
      </w:pPr>
      <w:r>
        <w:rPr>
          <w:rFonts w:ascii="Times New Roman;serif" w:hAnsi="Times New Roman;serif"/>
          <w:b w:val="false"/>
          <w:color w:val="000000"/>
          <w:sz w:val="20"/>
        </w:rPr>
        <w:t>We expect to face competition alongside our partner from existing products and products in development for each of our therapeutic candidates. There are currently no approved therapies to treat the underlying cause of DM1. Therapeutic candidates currently in development to treat DM1 include: tideglusib, a GSK3-ß inhibitor in late-stage clinical development by AMO Pharma Ltd. for the congenital phenotype of DM1; "</w:t>
      </w:r>
      <w:r>
        <w:rPr>
          <w:rFonts w:ascii="Times New Roman;serif" w:hAnsi="Times New Roman;serif"/>
          <w:b w:val="false"/>
          <w:i/>
          <w:color w:val="000000"/>
          <w:sz w:val="20"/>
        </w:rPr>
        <w:t>Del-desiran</w:t>
      </w:r>
      <w:r>
        <w:rPr>
          <w:rFonts w:ascii="Times New Roman;serif" w:hAnsi="Times New Roman;serif"/>
          <w:b w:val="false"/>
          <w:color w:val="000000"/>
          <w:sz w:val="20"/>
        </w:rPr>
        <w:t>", an antibody linked siRNA in clinical development by Avidity; Zeleciment Basivarsen, an antibody fragment conjugated to an ASO targeting DM1 protein kinase knockdown in clinical development by Dyne; EDODM1, a linear peptide conjugated to a PMO targeting CUG repeats in clinical development by PepGen, Inc.; an siRNA conjugate, SRP-1003, targeting DMPK knockdown, which is in development by Sarepta, licensed from Arrowhead Pharmaceuticals, with recently announced preliminary data from its Phase 1/2 clinical trial; a small molecule targeting GTG repeats in preclinical development by Design Therapeutics, Inc.; and small molecules interacting with RNA in preclinical development by Expansion Therapeutics, Inc.</w:t>
      </w:r>
    </w:p>
    <w:p>
      <w:pPr>
        <w:pStyle w:val="TextBody"/>
        <w:bidi w:val="0"/>
        <w:spacing w:before="0" w:after="0"/>
        <w:ind w:left="0" w:right="0" w:firstLine="648"/>
        <w:jc w:val="left"/>
        <w:rPr/>
      </w:pPr>
      <w:r>
        <w:rPr/>
      </w:r>
    </w:p>
    <w:p>
      <w:pPr>
        <w:pStyle w:val="TextBody"/>
        <w:bidi w:val="0"/>
        <w:spacing w:lineRule="auto" w:line="268" w:before="0" w:after="0"/>
        <w:ind w:left="0" w:right="0" w:firstLine="648"/>
        <w:jc w:val="left"/>
        <w:rPr>
          <w:rFonts w:ascii="Times New Roman;serif" w:hAnsi="Times New Roman;serif"/>
          <w:b w:val="false"/>
          <w:color w:val="000000"/>
          <w:sz w:val="20"/>
        </w:rPr>
      </w:pPr>
      <w:r>
        <w:rPr>
          <w:rFonts w:ascii="Times New Roman;serif" w:hAnsi="Times New Roman;serif"/>
          <w:b w:val="false"/>
          <w:color w:val="000000"/>
          <w:sz w:val="20"/>
        </w:rPr>
        <w:t>We also expect to face competition from several products in clinical and preclinical development for Usher syndrome. The most advanced is ultevursen, which is an exon 13 skipping PMO in Phase 2b development from Sepul Bio., a business unit of Laboratories Théa. Nacuity Pharmaceuticals, Inc. has completed a Phase 1/2 clinical trial with NPI-001, which is a small molecule which targets oxidative stress. Reforgene has cleared an IND for RM-101, which is a subretinal injection mini-gene AAV-snRNA targeting exon 13 skipping. There are also ASO and mini-gene approaches reported in discovery from several companies.</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competitors have significantly greater financial, technical, manufacturing, marketing, sales and supply resources or experience than we do. If we successfully obtain approval for any therapeutic candidate, we will face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51485"/>
                <wp:effectExtent l="0" t="0" r="0" b="0"/>
                <wp:wrapNone/>
                <wp:docPr id="69" name="Frame6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competition based on many different factors, including the safety and effectiveness of our therapeutics, the ease with which our therapeutics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or technological approaches may make any products we develop, or our EEV Platform, obsolete or noncompetitive before we recover the expense of developing and commercializing our therapeutic candidates. If we are unable to compete effectively, our opportunity to generate revenue from the sale of our therapeutics we may develop, if approved, could be adversely affected.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pPr>
      <w:r>
        <w:rPr>
          <w:rFonts w:ascii="Times New Roman;serif" w:hAnsi="Times New Roman;serif"/>
          <w:b/>
          <w:color w:val="000000"/>
          <w:sz w:val="20"/>
        </w:rPr>
        <w:t>Risks Related to Our Business Operations and Industry</w:t>
      </w:r>
      <w:r>
        <w:rPr>
          <w:color w:val="000000"/>
        </w:rPr>
        <w:t xml:space="preserve"> </w:t>
      </w:r>
    </w:p>
    <w:p>
      <w:pPr>
        <w:pStyle w:val="TextBody"/>
        <w:bidi w:val="0"/>
        <w:spacing w:lineRule="auto" w:line="268" w:before="240" w:after="283"/>
        <w:jc w:val="left"/>
        <w:rPr/>
      </w:pPr>
      <w:r>
        <w:rPr>
          <w:rFonts w:ascii="Times New Roman;serif" w:hAnsi="Times New Roman;serif"/>
          <w:b/>
          <w:i/>
          <w:color w:val="000000"/>
          <w:sz w:val="20"/>
        </w:rPr>
        <w:t>Our future success depends on our ability to retain key employees and to attract, retain and motivate qualified personnel.</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highly dependent on the research expertise of Natarajan Sethuraman, Ph.D., our President of Research and Development, and the development and management expertise of Dipal Doshi, our Chief Executive Officer, as well as the other principal members of our management, scientific and clinical team. Although we have entered into employment agreements and/or offer letters with our executive officers, each of them may terminate their employment with us at any time.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 We conduct our operations in the Boston area, a region that is home to many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Any or all of these competing factors may limit our ability to continue to attract and retain high quality personnel, which could negatively affect our ability to successfully develop and commercialize our therapeutic candidates and to grow our business and operations as currently contemplated.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For example, employment of our key employees is at-will, which means that any of our employees could leave our employment at any time, with or without notice.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also depends on our ability to continue to attract, retain and motivate highly skilled junior, mid-level and senior managers as well as junior, mid-level and senior scientific and medical personnel. Failure to succeed in clinical trials may make it more challenging to recruit and retain qualified scientific personnel. </w:t>
      </w:r>
    </w:p>
    <w:p>
      <w:pPr>
        <w:pStyle w:val="TextBody"/>
        <w:bidi w:val="0"/>
        <w:spacing w:lineRule="auto" w:line="268" w:before="240" w:after="283"/>
        <w:jc w:val="left"/>
        <w:rPr/>
      </w:pPr>
      <w:r>
        <w:rPr>
          <w:rFonts w:ascii="Times New Roman;serif" w:hAnsi="Times New Roman;serif"/>
          <w:b/>
          <w:i/>
          <w:color w:val="000000"/>
          <w:sz w:val="20"/>
        </w:rPr>
        <w:t>Recently enacted and future legislation may increase the difficulty and cost for us to obtain marketing approval of and commercialize our therapeutic candidates and decrease the prices we may obtain.</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and some foreign jurisdictions, there have been a number of legislative and regulatory changes and proposed changes regarding the healthcare system that could prevent or delay marketing approval of our therapeutic candidates, restrict or regulate post-approval activities and affect our ability to profitably sell any therapeutic candidates for which we obtain marketing approval.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the Patient Protection and Affordable Care Act ("ACA") was passed in 2010 and substantially changed the way healthcare is financed by both governmental and private insurers, and continues to significantly impact the U.S. pharmaceutical industry. In addition, U.S. Supreme Court's July 2024 decision to overturn prior established case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51485"/>
                <wp:effectExtent l="0" t="0" r="0" b="0"/>
                <wp:wrapNone/>
                <wp:docPr id="70" name="Frame6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law giving deference to regulatory agencies' interpretations of ambiguous statutory language has introduced uncertainty regarding the extent to which FDA's regulations, policies and decisions may become subject to increasing legal challenges, delays, and/or changes.</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Among the provisions of the ACA of importance to our potential therapeutic candidates are the following: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annual fees and taxes on manufacturers of certain branded prescription drugs;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an annual, nondeductible fee on any entity that manufactures or imports specified branded prescription drugs and biologic products;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an increase in the statutory minimum rebates a manufacturer must pay under the Medicaid Drug Rebate Program and extended the rebate program to individuals enrolled in Medicaid managed care organizations;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expansion of healthcare fraud and abuse laws, including the False Claims Act and the federal Anti-Kickback Statute, new government investigative powers, and enhanced penalties for noncompliance;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extension of manufacturers' Medicaid rebate liability;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expansion of eligibility criteria for Medicaid programs;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expansion of the entities eligible for discounts under the Public Health Service pharmaceutical pricing program;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requirements to report financial arrangements with physicians and teaching hospitals;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 requirement to annually report drug samples that manufacturers and distributors provide to physicians; and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 Patient-Centered Outcomes Research Institute to oversee, identify priorities in, and conduct comparative clinical effectiveness research, along with funding for such research.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legislative changes have been proposed and adopted since the ACA was enacted. The Budget Control Act of 2011, among other things, created measures for spending reductions by Congress. These changes include aggregate reductions to Medicare payments to providers of up to 2% per fiscal year. Subsequent legislation extended the 2% payment reduction which remains in effect through fiscal year 2031, absent additional action from Congress. The American Taxpayer Relief Act of 2012 further reduced Medicare payments to several providers, and increased the statute of limitations period for the government to recover overpayments to providers from three to five years. On March 11, 2021, President Biden signed the American Rescue Plan Act of 2021 into law, which eliminated the statutory Medicaid drug rebate cap, set at 100% of a drug's average manufacturer price, for single source and innovator multiple source drugs, beginning January 1, 2024. The One Big Beautiful Bill Act of 2025 (the "OBBBA") also added work requirements and more frequent eligibility enrollment reverifications for Medicaid enrollees, which is expected to have the effect of reducing the number of Medicaid enrollees.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Inflation Reduction Act of 2022 (the "IRA") includes several provisions that may impact our business to varying degrees, including provisions that create a $2,000 out-of-pocket cap for Medicare Part D beneficiaries,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limit the fees that pharmacy benefit managers can charge. Previously, under the IRA, orphan drugs were exempted from the Medicare drug price negotiation program, only if they have orphan designation and for which the only approved indication is for that disease or condition. If a product received multiple orphan designations or had multiple approved indications, it would not qualify for the orphan drug exemption. The OBBBA eliminated this restriction, which serves to exempt all orphan drugs from the Medicare drug price negotiation program, regardless of the number of orphan designations or indications. The implementation of the IRA is currently subject to ongoing litigation challenging the constitutionality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51485"/>
                <wp:effectExtent l="0" t="0" r="0" b="0"/>
                <wp:wrapNone/>
                <wp:docPr id="71" name="Frame6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IRA's Medicare drug price negotiation program. The effect of the IRA on our business and the healthcare industry in general is not yet known.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a federal level, President Trump reversed some of President Biden's executive orders including rescinding Executive Order 14087 entitled "Lowering Prescription Drug Costs for Americans." On April 15, 2025, the Trump Administration published Executive Order 14273, "Lowering Drug Prices by Once Again Putting Americans First," which generally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enacted under the first Trump Administration was subject to an injunction resulting from judicial challenges to the rule, which was formally rescinded by the former Biden Administration in August 2021.</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at the state level, legislatures have increasingly passed legislation and implemented regulations similar to those under consideration at the federal level, as well as laws designed to control pharmaceutical and biotherapeutic product pricing, including price or patient reimbursement constraints at the state government level, limitations on discounts to patients, restrictions or other limitations on patient assistance and certain product access and marketing cost disclosure and transparency measures, and, in some cases, policies to encourage importation from other countries (subject to federal approval) and bulk purchasing. Certain states are also pursuing cost containment efforts through Prescription Drug Affordability Boards and similar entities. While many PDABs have been granted authority to promote drug price transparency and reporting, some states have granted PDABs more expansive authority, including to set Upper Payment Limits ("UPLs") on select, high price drugs. The adoption and implementation of UPLs may put downward pressure on drug prices and impact our company's future revenues.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the ACA, as well as other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therapeutics. Legislative and regulatory proposals have been made to expand post-approval requirements and restrict sales and promotional activities for pharmaceutical products.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We cannot be sure whether additional legislative changes will be enacted, or whether the FDA regulations, guidance or interpretations will be changed, or what the impact of such 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51485"/>
                <wp:effectExtent l="0" t="0" r="0" b="0"/>
                <wp:wrapNone/>
                <wp:docPr id="72" name="Frame6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pPr>
      <w:r>
        <w:rPr>
          <w:rFonts w:ascii="Times New Roman;serif" w:hAnsi="Times New Roman;serif"/>
          <w:b w:val="false"/>
          <w:color w:val="000000"/>
          <w:sz w:val="20"/>
        </w:rPr>
        <w:t>on the marketing approvals of our therapeutic candidates, if any, may be. It is also possible that additional governmental action is taken in response to pandemics or global health crises. For more information, please see the section titled "</w:t>
      </w:r>
      <w:r>
        <w:rPr>
          <w:rFonts w:ascii="Times New Roman;serif" w:hAnsi="Times New Roman;serif"/>
          <w:b w:val="false"/>
          <w:i/>
          <w:color w:val="000000"/>
          <w:sz w:val="20"/>
        </w:rPr>
        <w:t>Business — Government Regulation — Healthcare Reform</w:t>
      </w:r>
      <w:r>
        <w:rPr>
          <w:rFonts w:ascii="Times New Roman;serif" w:hAnsi="Times New Roman;serif"/>
          <w:b w:val="false"/>
          <w:color w:val="000000"/>
          <w:sz w:val="20"/>
        </w:rPr>
        <w:t>" included in our Annual Report.</w:t>
      </w:r>
    </w:p>
    <w:p>
      <w:pPr>
        <w:pStyle w:val="TextBody"/>
        <w:bidi w:val="0"/>
        <w:spacing w:lineRule="auto" w:line="268" w:before="240" w:after="283"/>
        <w:jc w:val="left"/>
        <w:rPr/>
      </w:pPr>
      <w:r>
        <w:rPr>
          <w:rFonts w:ascii="Times New Roman;serif" w:hAnsi="Times New Roman;serif"/>
          <w:b/>
          <w:i/>
          <w:color w:val="000000"/>
          <w:sz w:val="20"/>
        </w:rPr>
        <w:t>Cybersecurity incidents, data breaches, loss or leakage of data and other disruptions or failures of our internal information technology systems, or those of our third-party CROs or other vendors, contractors or consultants could result in the disruption of our development programs, compromise sensitive information related to our business or prevent us from accessing critical information, potentially exposing us to liability or otherwise adversely affecting our business.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CROs, vendors, and other contractors and consultants who have access to our confidential information.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Despite the implementation of security measures, given their size and complexity and the increasing amounts of confidential information that they maintain, our internal information technology systems and those of our third-party CROs, vendors and other contractors and consultants are potentially vulnerable to breakdown or other damage or interruption from service interruptions, system malfunction, natural disasters, terrorism, war and telecommunication and electrical failures, as well as data breaches or cybersecurity incidents from inadvertent or intentional actions by our employees, third-party CROs, vendors, contractors, consultants, business partners and/or other third parties, or from cyber-attacks by malicious third parties (including the deployment of harmful malware, ransomware, denial-of-service attacks, social engineering (including phishing attacks) and other means to affect service reliability and threaten the confidentiality, integrity and availability of information), which may compromise our system infrastructure, or that of our third-party CROs, vendors and other contractors and consultants, or lead to data leakage. Furthermore, the use of artificial intelligence ("AI") technologies by use and third-party vendors can also give rise to cybersecurity risks as well as intellectual property risks, including the disclosure or compromise of our confidential information or other proprietary intellectual property through the use of generative AI tools, or the ability to assert or defend ownership rights in intellectual property created with the use of generative AI tools. Any of these effects could damage our reputation, result in the loss of valuable property and information, cause us to breach applicable laws and regulations, and adversely impact our business. The risk of a cybersecurity incident, data breach, or other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nor may we be able to implement preventive measures effective against all such security threats. Attempts to disrupt or gain unauthorized access to our and our third-party vendors' information systems from malicious third parties or insider threats may incorporate widely varying and frequently changing tactics. The techniques used by cyber criminals change frequently and may be enhanced or facilitated by evolving technologies such as AI. Cyber attacks may not be recognized until launched and can originate from a wide variety of sources, including outside groups such as external service providers, organized crime affiliates, terrorist organizations or hostile foreign governments or agencies. To the extent that any disruption, data breach, or cybersecurity incident were to result in a loss of, or damage to, our data or applications, or those of our third-party CROs, vendors and other contractors and consultants, or inappropriate disclosure of confidential or proprietary information, we could incur liability and reputational damage and the further development and commercialization of ENTR-601-44, ENTR-601-45, </w:t>
      </w:r>
      <w:r>
        <w:rPr>
          <w:rFonts w:ascii="Times New Roman;serif" w:hAnsi="Times New Roman;serif"/>
          <w:b w:val="false"/>
          <w:color w:val="000000"/>
          <w:sz w:val="20"/>
          <w:shd w:fill="FFFFFF" w:val="clear"/>
        </w:rPr>
        <w:t xml:space="preserve">ENTR-601-50, ENTR-601-51, ENTR-801, </w:t>
      </w:r>
      <w:r>
        <w:rPr>
          <w:rFonts w:ascii="Times New Roman;serif" w:hAnsi="Times New Roman;serif"/>
          <w:b w:val="false"/>
          <w:color w:val="000000"/>
          <w:sz w:val="20"/>
        </w:rPr>
        <w:t>our partnered candidate VX-670 or any future therapeutic candidates could be delayed. The costs related to significant cybersecurity incidents, data breaches, or other disruptions could be material and exceed the limits of the cybersecurity insurance we maintain against such risks. If the information technology systems of our third-party CROs, vendors and other contractors and consultants become subject to disruptions, data breaches, or cybersecurity incidents, we may have insufficient recourse against such third parties and we may have to expend significant resources to mitigate the impact of such an event, and to develop and implement protections to prevent future events of this nature from occurring. Further, our contracts may not contain limitations of liability, and even where they do, there can be no assurance that limitations of liability in our contracts will be sufficient to protect us from liabilities, damages, or claims related to our privacy and data security obligations.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Like other companies in our industry, we, and our third party vendors, have experienced threats and cybersecurity incidents relating to our information technology systems and infrastructure. Significant breakdowns, data leakages, data breaches, cybersecurity incidents in our systems, or those of our third-party CROs, vendors and other contractors and consultants, or other disruptions may have a material adverse effect upon our reputation, business, operations or financial condition. For example, if such an event were to occur and cause interruptions in our operations, or those of our third-party CROs, vendors and other contractors and consultants, it could result in a material disruption of our programs and the development of our therapeutic candidates could be delayed. In addition, the loss of clinical trial data for ENTR-601-44,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51485"/>
                <wp:effectExtent l="0" t="0" r="0" b="0"/>
                <wp:wrapNone/>
                <wp:docPr id="73" name="Frame6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pPr>
      <w:r>
        <w:rPr>
          <w:rFonts w:ascii="Times New Roman;serif" w:hAnsi="Times New Roman;serif"/>
          <w:b w:val="false"/>
          <w:color w:val="000000"/>
          <w:sz w:val="20"/>
        </w:rPr>
        <w:t xml:space="preserve">ENTR-601-45, </w:t>
      </w:r>
      <w:r>
        <w:rPr>
          <w:rFonts w:ascii="Times New Roman;serif" w:hAnsi="Times New Roman;serif"/>
          <w:b w:val="false"/>
          <w:color w:val="000000"/>
          <w:sz w:val="20"/>
          <w:shd w:fill="FFFFFF" w:val="clear"/>
        </w:rPr>
        <w:t xml:space="preserve">ENTR-601-50, ENTR-601-51, ENTR-801, </w:t>
      </w:r>
      <w:r>
        <w:rPr>
          <w:rFonts w:ascii="Times New Roman;serif" w:hAnsi="Times New Roman;serif"/>
          <w:b w:val="false"/>
          <w:color w:val="000000"/>
          <w:sz w:val="20"/>
        </w:rPr>
        <w:t xml:space="preserve">our partnered candidate VX-670 or any other therapeutic candidates could result in delays in our marketing approval efforts and significantly increase our costs to recover or reproduce the data. Furthermore, significant disruptions of our internal information technology systems or those of our third-party CROs, vendors and other contractors and consultants, data breaches, or cybersecurity incidents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cybersecurity incident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A pandemic, epidemic or outbreak of an infectious disease may materially and adversely affect our business and could cause a disruption to the development of our therapeutic candidates.</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Public health crises could adversely impact the global economy and financial markets, and put a significant strain on healthcare resources. Worldwide pandemics may affect our ability to initiate and complete preclinical studies, delay the initiation of our planned clinical trials, disrupt regulatory activities or have other adverse effects on our business, results of operations, financial condition and prospects. </w:t>
      </w:r>
    </w:p>
    <w:p>
      <w:pPr>
        <w:pStyle w:val="TextBody"/>
        <w:bidi w:val="0"/>
        <w:spacing w:lineRule="auto" w:line="268" w:before="240" w:after="283"/>
        <w:jc w:val="left"/>
        <w:rPr/>
      </w:pPr>
      <w:r>
        <w:rPr>
          <w:rFonts w:ascii="Times New Roman;serif" w:hAnsi="Times New Roman;serif"/>
          <w:b/>
          <w:i/>
          <w:color w:val="000000"/>
          <w:sz w:val="20"/>
        </w:rPr>
        <w:t>Failure to comply with environmental, health and safety laws and regulations could subject us to fines or penalties or incur costs that could harm our business.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 </w:t>
      </w:r>
    </w:p>
    <w:p>
      <w:pPr>
        <w:pStyle w:val="TextBody"/>
        <w:bidi w:val="0"/>
        <w:spacing w:lineRule="auto" w:line="268" w:before="240" w:after="283"/>
        <w:jc w:val="left"/>
        <w:rPr/>
      </w:pPr>
      <w:r>
        <w:rPr>
          <w:rFonts w:ascii="Times New Roman;serif" w:hAnsi="Times New Roman;serif"/>
          <w:b/>
          <w:i/>
          <w:color w:val="000000"/>
          <w:sz w:val="20"/>
        </w:rPr>
        <w:t>Our relationships with customers, third-party payors, physicians and healthcare providers will be subject to applicable anti-kickback, fraud and abuse, and other laws and regulations, which could expose us to criminal sanctions, civil penalties, contractual damages, reputational harm, and diminished profits.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Healthcare providers, physicians and third-party payors will play a primary role in the recommendation and prescription of any therapeutic candidates for which we obtain regulatory approval. Our current and future arrangements with third-party payors and customers may expose us to broadly applicable fraud and abuse and other healthcare laws and regulations that may constrain the business or financial arrangements and relationships through which we conduct research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451485"/>
                <wp:effectExtent l="0" t="0" r="0" b="0"/>
                <wp:wrapNone/>
                <wp:docPr id="74" name="Frame7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and would market, sell and distribute our therapeutics. As a pharmaceutical company, even though we do not and will not control referrals of healthcare services or bill directly to Medicare, Medicaid or other third-party payors, federal and state healthcare laws and regulations pertaining to fraud and abuse and patients' rights are and will be applicable to our business. Restrictions under applicable federal and state healthcare laws and regulations that may affect our ability to operate include the following: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arrangement,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federal Health Insurance Portability and Accountability Act of 1996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HIPAA, as amended by the Health Information Technology for Economic and Clinical Health Act of 2009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the U.S. federal transparency requirements under the ACA, including the provision commonly referred to as the Physician Payments Sunshine Act, and its implementing regulations, which requires applicable manufacturers of drugs, devices, biologics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certain other licensed health care practitioners (defined to include physician assistants, nurse practitioners, clinical nurse specialists, certified registered nurse anesthetists and anesthesiologist assistants, and certified-nurse midwives) and teaching hospitals, as well as ownership and investment interests held by the physicians described above and their immediate family members;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451485"/>
                <wp:effectExtent l="0" t="0" r="0" b="0"/>
                <wp:wrapNone/>
                <wp:docPr id="75" name="Frame7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federal government price reporting laws, which require us to calculate and report complex pricing metrics in an accurate and timely manner to government programs; and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federal consumer protection and unfair competition laws, which broadly regulate marketplace activities and activities that potentially harm consumers.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 General Data Protection Regulation (which became effective on May 25, 2018) ("EU GDPR") and the UK General Data Protection Regulation (which became effective following UK withdrawal from the EU as of January 2021) ("UK GDPR")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 consuming and can divert a company's attention from the business.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 For more information, please see the section titled "</w:t>
      </w:r>
      <w:r>
        <w:rPr>
          <w:rFonts w:ascii="Times New Roman;serif" w:hAnsi="Times New Roman;serif"/>
          <w:b w:val="false"/>
          <w:i/>
          <w:color w:val="000000"/>
          <w:sz w:val="20"/>
        </w:rPr>
        <w:t xml:space="preserve">Business — Government Regulation — Healthcare Law and Regulation" </w:t>
      </w:r>
      <w:r>
        <w:rPr>
          <w:rFonts w:ascii="Times New Roman;serif" w:hAnsi="Times New Roman;serif"/>
          <w:b w:val="false"/>
          <w:color w:val="000000"/>
          <w:sz w:val="20"/>
        </w:rPr>
        <w:t>included in our Annual Report.</w:t>
      </w:r>
    </w:p>
    <w:p>
      <w:pPr>
        <w:pStyle w:val="TextBody"/>
        <w:bidi w:val="0"/>
        <w:spacing w:lineRule="auto" w:line="268" w:before="240" w:after="283"/>
        <w:jc w:val="left"/>
        <w:rPr/>
      </w:pPr>
      <w:r>
        <w:rPr>
          <w:rFonts w:ascii="Times New Roman;serif" w:hAnsi="Times New Roman;serif"/>
          <w:b/>
          <w:i/>
          <w:color w:val="000000"/>
          <w:sz w:val="20"/>
        </w:rPr>
        <w:t>Our employees and independent contractors, including principal investigators, CROs, consultants and vendors, may engage in misconduct or other improper activities, including noncompliance with regulatory standards and requirements.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 regulatory requirements, including those laws that require the reporting of true, complete and accurate information to such authorities, (ii) manufacturing standards, including cGMP requirements, (iii) federal and state data privacy, security, fraud and abuse and other healthcare laws and regulations in the United States and abroad or (iv)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451485"/>
                <wp:effectExtent l="0" t="0" r="0" b="0"/>
                <wp:wrapNone/>
                <wp:docPr id="76" name="Frame7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w:t>
      </w:r>
    </w:p>
    <w:p>
      <w:pPr>
        <w:pStyle w:val="TextBody"/>
        <w:bidi w:val="0"/>
        <w:spacing w:lineRule="auto" w:line="268" w:before="240" w:after="283"/>
        <w:jc w:val="left"/>
        <w:rPr/>
      </w:pPr>
      <w:r>
        <w:rPr>
          <w:rFonts w:ascii="Times New Roman;serif" w:hAnsi="Times New Roman;serif"/>
          <w:b/>
          <w:i/>
          <w:color w:val="000000"/>
          <w:sz w:val="20"/>
        </w:rPr>
        <w:t>We are subject to certain U.S. and certain foreign anti-corruption, anti-money laundering, export control, sanctions and other trade laws and regulations. We can face serious consequences for violations.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U.S. and foreign anti-corruption, anti-money laundering, export control, sanctions and other trade laws and regulations prohibit, among other things,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lineRule="auto" w:line="268" w:before="240" w:after="283"/>
        <w:jc w:val="left"/>
        <w:rPr/>
      </w:pPr>
      <w:r>
        <w:rPr>
          <w:rFonts w:ascii="Times New Roman;serif" w:hAnsi="Times New Roman;serif"/>
          <w:b/>
          <w:i/>
          <w:color w:val="000000"/>
          <w:sz w:val="20"/>
        </w:rPr>
        <w:t>We may engage in strategic transactions that could impact our liquidity, increase our expenses and present significant distractions to our management.</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of the acquisition. Moreover, we may not be able to locate suitable acquisition opportunities and this inability could impair our ability to grow or obtain access to technology or products that may be important to the development of our business.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 </w:t>
      </w:r>
    </w:p>
    <w:p>
      <w:pPr>
        <w:pStyle w:val="TextBody"/>
        <w:bidi w:val="0"/>
        <w:spacing w:lineRule="auto" w:line="268" w:before="240" w:after="283"/>
        <w:jc w:val="left"/>
        <w:rPr/>
      </w:pPr>
      <w:r>
        <w:rPr>
          <w:rFonts w:ascii="Times New Roman;serif" w:hAnsi="Times New Roman;serif"/>
          <w:b/>
          <w:i/>
          <w:color w:val="000000"/>
          <w:sz w:val="20"/>
        </w:rPr>
        <w:t>Legislation or other changes in U.S. tax law could adversely affect our business and financial condition.</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rules dealing with U.S. federal, state, and local income taxation are constantly under review by persons involved in the legislative process and by the Internal Revenue Service and the U.S. Treasury Department. For example, the OBBBA was signed into law on July 4, 2025 and made significant changes to U.S. federal tax law. Changes to tax laws (certain of which changes may have retroactive application) could adversely affect us or holders of our common stock. For example, under Section 174 of the Internal Revenue Code of 1986, as amended, or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451485"/>
                <wp:effectExtent l="0" t="0" r="0" b="0"/>
                <wp:wrapNone/>
                <wp:docPr id="77" name="Frame7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 changes have been made to applicable tax laws and changes are likely to continue to occur in the future. Future changes in tax laws could have a material adverse effect on our business, cash flow, financial condition or results of operations.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 We urge investors to consult with their legal and tax advisers regarding the implications of potential changes in tax laws on an investment in our common stock. </w:t>
      </w:r>
    </w:p>
    <w:p>
      <w:pPr>
        <w:pStyle w:val="TextBody"/>
        <w:bidi w:val="0"/>
        <w:spacing w:lineRule="auto" w:line="268" w:before="240" w:after="283"/>
        <w:jc w:val="left"/>
        <w:rPr/>
      </w:pPr>
      <w:r>
        <w:rPr>
          <w:rFonts w:ascii="Times New Roman;serif" w:hAnsi="Times New Roman;serif"/>
          <w:b/>
          <w:i/>
          <w:color w:val="000000"/>
          <w:sz w:val="20"/>
        </w:rPr>
        <w:t>Our ability to use our U.S. net operating loss carryforwards and certain other U.S. tax attributes may be limited.</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use our U.S. federal and state net operating losses to offset potential future taxable income and related income taxes that would otherwise be due is dependent upon our generation of future taxable income, and we cannot predict with certainty when, or whether, we will generate sufficient taxable income to use all of our net operating losses. </w:t>
      </w:r>
    </w:p>
    <w:p>
      <w:pPr>
        <w:pStyle w:val="TextBody"/>
        <w:bidi w:val="0"/>
        <w:spacing w:lineRule="auto" w:line="268" w:before="240" w:after="283"/>
        <w:ind w:left="0" w:right="0" w:firstLine="720"/>
        <w:jc w:val="left"/>
        <w:rPr/>
      </w:pPr>
      <w:r>
        <w:rPr>
          <w:rFonts w:ascii="Times New Roman;serif" w:hAnsi="Times New Roman;serif"/>
          <w:b w:val="false"/>
          <w:color w:val="000000"/>
          <w:sz w:val="20"/>
        </w:rPr>
        <w:t xml:space="preserve">Under current law, unused U.S. federal net operating losses generated for tax years beginning after December 31, 2017 are not subject to expiration and may be carried forward indefinitely. Such U.S. federal net operating losses generally may not be carried back to prior taxable years, except that, net operating losses generated in 2018, 2019 and 2020 may be carried back to each of the five tax years preceding the tax years of such losses. Additionally, for taxable years beginning after December 31, 2020, the deductibility of such U.S. federal net operating losses is limited to 80% of our taxable income in any future taxable year. In addition, both our current and our future unused U.S. federal net operating losses and tax credits may be subject to limitation under Sections 382 and 383 of the Code, if we undergo an "ownership change," generally defined as a greater than 50 percentage point change (by value) in its equity ownership by certain stockholders over a rolling three-year period. We have determined that such ownership changes have occurred in the past, and we may experience additional ownership changes in the future as a result of shifts in our stock ownership, some of which are outside our control. Our net operating losses and tax credits may also be impaired or restricted under state law. As of December 31, 2025, we had U.S. federal net operating loss carryforwards of approximately </w:t>
      </w:r>
      <w:r>
        <w:rPr>
          <w:rFonts w:ascii="Times New Roman;serif" w:hAnsi="Times New Roman;serif"/>
          <w:b w:val="false"/>
          <w:color w:val="000000"/>
          <w:sz w:val="20"/>
          <w:shd w:fill="FFFFFF" w:val="clear"/>
        </w:rPr>
        <w:t>$178.3 million</w:t>
      </w:r>
      <w:r>
        <w:rPr>
          <w:rFonts w:ascii="Times New Roman;serif" w:hAnsi="Times New Roman;serif"/>
          <w:b w:val="false"/>
          <w:color w:val="000000"/>
          <w:sz w:val="20"/>
        </w:rPr>
        <w:t xml:space="preserve">, and our ability to utilize those net operating loss carryforwards could be limited by an "ownership change" as described above, which could result in increased tax liability to us. </w:t>
      </w:r>
    </w:p>
    <w:p>
      <w:pPr>
        <w:pStyle w:val="TextBody"/>
        <w:bidi w:val="0"/>
        <w:spacing w:lineRule="auto" w:line="268" w:before="240" w:after="283"/>
        <w:jc w:val="left"/>
        <w:rPr/>
      </w:pPr>
      <w:r>
        <w:rPr>
          <w:rFonts w:ascii="Times New Roman;serif" w:hAnsi="Times New Roman;serif"/>
          <w:b/>
          <w:i/>
          <w:color w:val="000000"/>
          <w:sz w:val="20"/>
        </w:rPr>
        <w:t>We plan to distribute our technology, biology, execution and financing risks across a wide variety of therapeutic areas, disease states, programs, and technologies. However, our assessment of, and approach to, risk may not be comprehensive or effectively avoid delays or failures in one or more of our programs or modalities. Failures in one or more of our programs or modalities could adversely impact other programs or modalities in our development portfolio and have a material adverse impact on our business, results of operations and ability to fund our business.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creating a new category of potential therapeutics, using our proprietary technology, including EEV peptides and other modalities, to improve the lives of patients. We have designed our strategy and operations to realize the full potential value and impact of our technology over a long time horizon across a broad array of human diseases. We have made investments in our platform, infrastructure, and clinical capabilities that have enabled us to establish a development portfolio of several programs in development. As our therapeutic candidates and discovery programs progress, we or others may determine: that certain of our risk allocation decisions were incorrect or insufficient; that we made platform level technology mistakes; that individual programs or our science in general has technology or biology risks that were unknown or underappreciated; that our choices on how to develop our infrastructure to support our scale will result in an inability to manufacture our therapeutics for clinical trials or otherwise impair our manufacturing; or that we have allocated resources in such a way that large investments are not recovered and capital allocation is not subject to rapid re-direction. All of these risks may relate to our current and future programs sharing similar science (including EEV science) and infrastructure, and in the event material decisions in any of these areas turn out to have been incorrect or under-optimized, we may experience a material adverse impact on our business and ability to fund our operations and we may never realize what we believe is the potential of our technology.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While we will attempt to diversify our risks by developing one or more programs in each modality, there are risks that are unique to each modality and risks that are applicable across modalities. These risks may impair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451485"/>
                <wp:effectExtent l="0" t="0" r="0" b="0"/>
                <wp:wrapNone/>
                <wp:docPr id="78" name="Frame7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pPr>
      <w:r>
        <w:rPr>
          <w:rFonts w:ascii="Times New Roman;serif" w:hAnsi="Times New Roman;serif"/>
          <w:b/>
          <w:i/>
          <w:color w:val="000000"/>
          <w:sz w:val="20"/>
        </w:rPr>
        <w:t>advance one or more of our programs in clinical development, obtain regulatory approval, or ultimately commercialize our programs, or cause us to experience significant delays in doing so, any of which may materially harm our business.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Certain features in our therapeutic candidates, including those related to proteins and oligonucleotides, and their components, may result in foreseen and unforeseen risks that are active across some or all of our modalities. In addition, the biology risk across much of our development portfolio represents targets and pathways not clinically validated by one or more approved drugs. While we believe we have made progress in seeking to reduce biology risk in certain settings, the risk that the targets or pathways that we have selected may not be effective could continue to apply across our current and future programs. Any such portfolio spanning risks, whether known or unknown, if realized in any one of our programs would have a material and adverse effect on our other programs and on our business as a whole.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Successful development of intracellular therapeutics is highly uncertain and is dependent on numerous factors, many of which are beyond our control. Intracellular therapeutics that appear promising in the early phases of development may fail to reach the market for several reasons, including: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nonclinical or preclinical testing or study results may show our therapeutics to be less effective than desired or to have harmful or problematic side effects or toxicities;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clinical trial results may show our oligonucleotides to be less effective than expected (e.g., a clinical trial could fail to meet its primary endpoint(s)) or to have unacceptable side effects or toxicities;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failure to receive the necessary regulatory approvals or a delay in receiving such approvals. Among other things, such delays may be caused by slow enrollment in clinical trials, patients dropping out of trials, length of time to achieve trial endpoints, additional time requirements for data analysis, NDA or BLA preparation, discussions with the FDA, a failure to align with the FDA regarding clinical trial endpoints and related approval criteria, an FDA request for additional nonclinical or clinical data, or unexpected safety or manufacturing issues;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manufacturing costs, formulation issues, pricing or reimbursement issues, or other factors that make our therapeutics uneconomical; and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proprietary rights of others and their competing products and technologies that may prevent our therapeutics from being commercialized.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Delayed access to deposits or other financial assets or the uninsured loss of deposits or other financial assets;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Potential or actual breach of statutory, regulatory or contractual obligations, including obligations that require the Company to maintain letters of credit or other credit support arrangements; and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Termination of cash management arrangements and/or delays in accessing or actual loss of funds subject to cash management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451485"/>
                <wp:effectExtent l="0" t="0" r="0" b="0"/>
                <wp:wrapNone/>
                <wp:docPr id="79" name="Frame7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our current and/or planned business operations, and our current or projected financial condition and results of operations.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any further deterioration in the macroeconomic economy or financial services industry could lead to losses or defaults by our suppliers, which in turn, could have a material adverse effect on our current and/or planned business operations and our current or projected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the Company, including but not limited to delayed access or loss of access to uninsured deposits or loss of the ability to draw on existing credit facilities involving a troubled or failed financial institution. Any customer, collaborator or supplier bankruptcy or insolvency, or the failure of any customer or collaborator to make payments when due, or any breach or default by a customer, collaborator or supplier, or the loss of any significant supplier or collaborator relationships, could result in material losses to the Company and may have a material adverse impact on our business.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The U.S. Congress, the Trump administration, or any new administration may make substantial changes to fiscal, tax, and other federal policies that may adversely affect our business.</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pPr>
      <w:r>
        <w:rPr>
          <w:rFonts w:ascii="Times New Roman;serif" w:hAnsi="Times New Roman;serif"/>
          <w:b/>
          <w:color w:val="000000"/>
          <w:sz w:val="20"/>
        </w:rPr>
        <w:t>Risks Related to Our Intellectual Property</w:t>
      </w:r>
      <w:r>
        <w:rPr>
          <w:color w:val="000000"/>
        </w:rPr>
        <w:t xml:space="preserve"> </w:t>
      </w:r>
    </w:p>
    <w:p>
      <w:pPr>
        <w:pStyle w:val="TextBody"/>
        <w:bidi w:val="0"/>
        <w:spacing w:lineRule="auto" w:line="268" w:before="240" w:after="283"/>
        <w:jc w:val="left"/>
        <w:rPr/>
      </w:pPr>
      <w:r>
        <w:rPr>
          <w:rFonts w:ascii="Times New Roman;serif" w:hAnsi="Times New Roman;serif"/>
          <w:b/>
          <w:i/>
          <w:color w:val="000000"/>
          <w:sz w:val="20"/>
        </w:rPr>
        <w:t>If we or our collaborators are unable to obtain and maintain patent protection for our therapeutic programs and other proprietary technologies we develop, or if the scope of the patent protection obtained is not sufficiently broad, our competitors could develop and commercialize products and technology similar or identical to ours, and our ability to successfully commercialize our therapeutic programs and other proprietary technologies we may develop may be adversely affected.</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in large part on our ability and the abilities of our collaborators to obtain and maintain patent protection in the United States and other countries with respect to our therapeutic programs and other proprietary technologies we may develop. In order to protect our proprietary position, we have filed or intend to file patent applications in the United States and abroad relating to our therapeutic programs and other proprietary technologies we may develop; however, there can be no assurance that any such patent applications will issue as granted patents. If we are unable to obtain or maintain patent protection with respect to our therapeutic programs and other proprietary technologies we may develop, our business, financial condition, results of operations and prospects could be materially harmed.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protection. In addition, we may rely on third-party collaborators or licensors to file patent applications relating to therapeutic programs or proprietary technology that may be developed or in-licensed. We cannot predict whether the patent applications we are currently pursuing, or that we or our third-party collaborators or licensors may pursue, will issue as patents in any particular jurisdiction or whether the claims of any issued patents will provide sufficient protection against competitors or other third parties.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451485"/>
                <wp:effectExtent l="0" t="0" r="0" b="0"/>
                <wp:wrapNone/>
                <wp:docPr id="80" name="Frame7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 consistent policy regarding the scope of claims allowable in patents in the biotechnology field has emerged in the United States, and 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patent applications may not result in patents being issued which protect our therapeutic programs and other proprietary technologies we may develop or which effectively prevent others from commercializing competitive technologies and products.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do not currently have issued patents that cover all of our technology or therapeutic candidates. With respect to both licensed and company-owned intellectual property, we cannot be sure that patents will be granted with respect to any of our pending patent applications or with respect to any patent applications filed by us in the future. Moreover, even issued patents do not provide us with the right to practice our technology in relation to the commercialization of our therapeutics. The area of patent and other intellectual property rights in biotechnology is an evolving one with many risks and uncertainties, and third parties may have blocking patents that could be used to prevent us from commercializing our patented therapeutic candidates and practicing our proprietary technology. Our issued patents, those that may issue in the future and those that we in-license may be challenged, invalidated, or circumvented, which could limit our ability to stop competitors from marketing related products or limit the length of the term of patent protection that we may have for our therapeutic candidates. Furthermore, our competitors may independently develop similar technologies. </w:t>
      </w:r>
    </w:p>
    <w:p>
      <w:pPr>
        <w:pStyle w:val="TextBody"/>
        <w:bidi w:val="0"/>
        <w:spacing w:lineRule="auto" w:line="268" w:before="240" w:after="283"/>
        <w:ind w:left="0" w:right="0" w:firstLine="720"/>
        <w:jc w:val="left"/>
        <w:rPr/>
      </w:pPr>
      <w:r>
        <w:rPr>
          <w:rFonts w:ascii="Times New Roman;serif" w:hAnsi="Times New Roman;serif"/>
          <w:b w:val="false"/>
          <w:color w:val="000000"/>
          <w:sz w:val="20"/>
        </w:rPr>
        <w:t xml:space="preserve">Moreover, the claim coverage in a patent application can be significantly reduced before the patent is granted. Even if our patent applications issue as patents, they may not issue in a form that will provide us with any meaningful protection, prevent competitors or other third parties from competing with us or otherwise provide us with any competitive advantage. Any patents issuing from our patent applications may be challenged, narrowed, circumvented or invalidated by third parties. Consequently, we do not know whether our therapeutic programs and other proprietary technology will be protectable or remain protected by valid and enforceable patents. </w:t>
      </w:r>
      <w:r>
        <w:rPr>
          <w:rFonts w:ascii="Times New Roman;serif" w:hAnsi="Times New Roman;serif"/>
          <w:b w:val="false"/>
          <w:color w:val="000000"/>
          <w:sz w:val="20"/>
          <w:shd w:fill="FFFFFF" w:val="clear"/>
        </w:rPr>
        <w:t xml:space="preserve">For example, we do not currently have any issued patents covering any of our oligonucleotide therapeutic candidates. </w:t>
      </w:r>
      <w:r>
        <w:rPr>
          <w:rFonts w:ascii="Times New Roman;serif" w:hAnsi="Times New Roman;serif"/>
          <w:b w:val="false"/>
          <w:color w:val="000000"/>
          <w:sz w:val="20"/>
        </w:rPr>
        <w:t xml:space="preserve">The extent to which any patents, if and when granted, will cover our therapeutic candidates is uncertain.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In addition, given the amount of time required for the development, testing and regulatory review of our therapeutic programs and eventual therapeutic candidates, patents protecting the therapeutic candidates might expire before or shortly after such therapeutic candidates are commercialized. As a result, our intellectual property may not provide us with sufficient rights to exclude others from commercializing products similar or identical to ours. </w:t>
      </w:r>
    </w:p>
    <w:p>
      <w:pPr>
        <w:pStyle w:val="TextBody"/>
        <w:bidi w:val="0"/>
        <w:spacing w:lineRule="auto" w:line="268" w:before="240" w:after="283"/>
        <w:ind w:left="0" w:right="0" w:firstLine="720"/>
        <w:jc w:val="left"/>
        <w:rPr/>
      </w:pPr>
      <w:r>
        <w:rPr>
          <w:rFonts w:ascii="Times New Roman;serif" w:hAnsi="Times New Roman;serif"/>
          <w:b w:val="false"/>
          <w:color w:val="000000"/>
          <w:sz w:val="20"/>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("USPTO") or in other jurisdictions, or become involved in opposition, derivation, revocation, reexamination, post-grant and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 xml:space="preserve">review, or other similar proceedings challenging our patent rights. An adverse determination in any such submission, proceeding or litigation could reduce the scope of, or invalidate or render unenforceable, our patent rights, allow third parties to commercialize our therapeutic programs and other proprietary technologies we may develop and compete directly with us, without payment to us, or result in our inability to manufacture or commercialize products without infringing third-party patent rights. Such proceedings also may result in substantial cost and require significant time from our scientists and management, even if the eventual outcome is favorable to us.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if the breadth or strength of protection provided by our patents and patent applications is threatened, regardless of the outcome, it could dissuade companies from collaborating with us to license, develop or commercialize current or future therapeutic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451485"/>
                <wp:effectExtent l="0" t="0" r="0" b="0"/>
                <wp:wrapNone/>
                <wp:docPr id="81" name="Frame7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pPr>
      <w:r>
        <w:rPr>
          <w:rFonts w:ascii="Times New Roman;serif" w:hAnsi="Times New Roman;serif"/>
          <w:b/>
          <w:i/>
          <w:color w:val="000000"/>
          <w:sz w:val="20"/>
        </w:rPr>
        <w:t>Our rights to develop and commercialize any therapeutic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We are and expect to continue to be reliant upon third-party licensors for certain patent and other intellectual property rights that are important or necessary to the development of our therapeutic programs, eventual therapeutic candidates, and proprietary technologies. For example, we currently have a license from OSIF, an affiliate of The Ohio State University ("OSU") to certain patent rights and know-how of OSU. Our license agreement with OSIF imposes, and we expect that any future license agreement will impose, specified diligence, milestone payments, royalty payments, commercialization, development and other obligations on us and require us to meet development timelines, or to exercise diligent or commercially reasonable efforts to develop and commercialize licensed products, in order to maintain the licenses. These milestone payments, and other payments associated with the license, will make it less profitable for us to develop and potentially commercialize our therapeutic candidate. If this agreement is terminated, we could lose intellectual property rights that may be important to our business, potentially be liable for damages to the licensor or potentially be prevented from developing and commercializing our therapeutic candidate. Termination of the agreement or reduction or elimination of our rights under the agreement may also potentially result in us being required to negotiate a new or reinstated agreement with less favorable terms, and it is possible that we may be unable to obtain any such additional license at a reasonable cost or on reasonable terms, if at all. In that event, we may be required to spend time and resources to redesign our therapeutic candidate or the method for manufacturing it or to develop or license replacement technology, all of which may not be feasible on a technical or commercial basis. For more information on the terms of the license agreement with OSIF, please see the section titled "</w:t>
      </w:r>
      <w:r>
        <w:rPr>
          <w:rFonts w:ascii="Times New Roman;serif" w:hAnsi="Times New Roman;serif"/>
          <w:b w:val="false"/>
          <w:i/>
          <w:color w:val="000000"/>
          <w:sz w:val="20"/>
        </w:rPr>
        <w:t>Business — Intellectual property — License Agreement with The Ohio State University</w:t>
      </w:r>
      <w:r>
        <w:rPr>
          <w:rFonts w:ascii="Times New Roman;serif" w:hAnsi="Times New Roman;serif"/>
          <w:b w:val="false"/>
          <w:color w:val="000000"/>
          <w:sz w:val="20"/>
        </w:rPr>
        <w:t>" and "</w:t>
      </w:r>
      <w:r>
        <w:rPr>
          <w:rFonts w:ascii="Times New Roman;serif" w:hAnsi="Times New Roman;serif"/>
          <w:b w:val="false"/>
          <w:i/>
          <w:color w:val="000000"/>
          <w:sz w:val="20"/>
        </w:rPr>
        <w:t>Note 10, Commitments and Contingencies</w:t>
      </w:r>
      <w:r>
        <w:rPr>
          <w:rFonts w:ascii="Times New Roman;serif" w:hAnsi="Times New Roman;serif"/>
          <w:b w:val="false"/>
          <w:color w:val="000000"/>
          <w:sz w:val="20"/>
        </w:rPr>
        <w:t>" to our consolidated financial statements included in our Annual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our licensors have, or may in the future have, the right to terminate a license if we materially breach the agreement and fail to cure such breach within a specified period or in the event we undergo certain bankruptcy events. In spite of our best efforts, our current or any future licensors might conclude that we have materially breached our license agreements and might therefore terminate the license agreements. If our license agreements are terminated, we may lose our rights to develop and commercialize therapeutic candidates and technology, lose patent protection, experience significant delays in the development and commercialization of our therapeutic candidates and technology, and incur liability for damages. If these in-licenses are terminated, or if the underlying intellectual property fails to provide the intended exclusivity, our competitors or other third parties could have the freedom to seek regulatory approval of, and to market, products and technologies identical or competitive to ours and we may be required to cease our development and commercialization of certain of our therapeutic candidates and technology.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any therapeutic candidates we may develop and our technology. Any of the foregoing could have a material adverse effect on our competitive position, business, financial condition, results of operations and prospects.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Disputes may arise regarding intellectual property subject to a licensing agreement, including: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scope of rights granted and obligations imposed under the license agreement and other interpretation-related issues;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our or our licensors' ability to obtain, maintain and defend intellectual property and to enforce intellectual property rights against third parties;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extent to which our technology, therapeutic candidates and processes infringe, misappropriate or otherwise violate the intellectual property of the licensor that is not subject to the license agreement;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sublicensing of patent and other intellectual property rights under our license agreements;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our diligence, development, regulatory, commercialization, financial or other obligations under the license agreement and what activities satisfy those diligence obligations;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inventorship and ownership of inventions and know-how resulting from the joint creation or use of intellectual property by our current or future licensors and us and our partners; and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priority of invention of patented technology.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any current or future license agreements to which we are a party, including our license agreement with OSIF, are likely to be, complex, and certain provisions in such agreements may be susceptible to multiple interpretations.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451485"/>
                <wp:effectExtent l="0" t="0" r="0" b="0"/>
                <wp:wrapNone/>
                <wp:docPr id="82" name="Frame7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resolution of any contract interpretation disagreement that may arise could narrow what we believe to be the scope of our rights to the relevant intellectual property or technology, or increase what we believe to be our diligence, development, regulatory, commercialization, financial or other obligations under the relevant agreement. In addition, if disputes over intellectual property that we have licensed or any other dispute related to our license agreements prevent or impair our ability to maintain our current license agreements on commercially acceptable terms, we may be unable to successfully develop and commercialize the affected therapeutic candidates and technology. Any of the foregoing could have a material adverse effect on our business, financial condition, results of operations and prospects.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License agreements we may enter into in the future may be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 all relevant fields of use and in all territories in which we may wish to develop or commercialize our technology and any therapeutic candidates we may develop in the future.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some of our in-licensed patent and other intellectual property rights may in the future be subject to third 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 business. If our licensors fail to file, prosecute, maintain, enforce and defend such patents and patent applications, or lose rights to those patents or patent applications, the rights we have licensed may be reduced or eliminated, our right to develop and commercialize any of our technology and any therapeutic candidates we may develop that are the subject of such licensed rights could be adversely affected and we may not be able to prevent competitors or other third parties from making, using and selling competing products.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our owned and in-licensed patent rights may be subject to a reservation of rights by one or more third parties, including the U.S. government. Pursuant to the Bayh-Dole Act of 1980, the U.S. government has certain rights in inventions developed with government funding. These U.S. government rights include a non-exclusive, non-transferable, irrevocable worldwide license to use inventions for any governmental purpose. When new technologies are developed with government funding, in order to secure ownership of patent rights related to the technologies, the recipient of such funding is required to comply with certain government regulations, including timely disclosing the inventions claimed in such patent rights to the U.S. government and timely electing title to such inventions. A failure to meet these obligations may lead to a loss of rights or the unenforceability of relevant patents or patent applications.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If the U.S. government decides to exercise these rights, it is not required to engage us as its contractor in connection with doing so. The U.S. government's rights may also permit it to disclose the funded inventions and technology, which may include our confidential information, to third parties and to exercise march-in rights to use or allow third parties to use the technology that was developed using U.S. government funding.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451485"/>
                <wp:effectExtent l="0" t="0" r="0" b="0"/>
                <wp:wrapNone/>
                <wp:docPr id="83" name="Frame7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products covered by such intellectual property. Any of the foregoing could harm our business, financial condition, results of operations and prospects significantly. </w:t>
      </w:r>
    </w:p>
    <w:p>
      <w:pPr>
        <w:pStyle w:val="TextBody"/>
        <w:bidi w:val="0"/>
        <w:spacing w:lineRule="auto" w:line="268" w:before="240" w:after="283"/>
        <w:jc w:val="left"/>
        <w:rPr/>
      </w:pPr>
      <w:r>
        <w:rPr>
          <w:rFonts w:ascii="Times New Roman;serif" w:hAnsi="Times New Roman;serif"/>
          <w:b/>
          <w:i/>
          <w:color w:val="000000"/>
          <w:sz w:val="20"/>
        </w:rPr>
        <w:t>We may not be able to protect our intellectual property rights throughout the world.</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Filing, prosecuting, maintaining, enforcing and defending patents and other intellectual property rights on our technology and any therapeutic candidates we may develop in all jurisdictions throughout the world would be prohibitively expensive, and accordingly, our intellectual property rights in some jurisdictions outside the United States could be less extensive than those in the United States. In some cases, we or our licensors may not be able to obtain patent or other intellectual property protection for certain technology and therapeutic candidates outside the United States. In addition, the laws of some foreign jurisdictions do not protect intellectual property rights to the same extent as federal and state laws in the United States. Consequently, we and our licensors may not be able to obtain issued patents or other intellectual property rights covering any therapeutic candidates we may develop and our technology in all jurisdictions outside the United States and, as a result, may not be able to prevent third parties from practicing our and our licensors' inventions in all countries outside the United States, or from selling or importing products made using our inventions in and into the United States or other jurisdictions. Third parties may use our technologies in jurisdictions where we and our licensors have not pursued and obtained patent or other intellectual property protection to develop their own products and, further, may export otherwise infringing, misappropriating or violating products to territories where we have patent or other intellectual property protection, but enforcement is not as strong as that in the United States. These products may compete with any therapeutic candidates we may develop and our technology and our or our licensors' patents or other intellectual property rights may not be effective or sufficient to prevent them from competing.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many companies have encountered significant problems in protecting and defending intellectual property rights in foreign jurisdictions. The legal systems of certain jurisdictions, particularly certain developing countries, do not favor the enforcement of patents, trade secrets and other intellectual property protection, particularly those relating to biotechnology and pharmaceutical products, which could make it difficult for us to stop the infringement, misappropriation or other violation of our patent and other intellectual property rights or marketing of competing products in violation of our intellectual property rights generally. For example, an April 2019 report from the Office of the United States Trade Representative identified a number of countries, including China, Russia, Argentina, Chile and India, where challenges to the procurement and enforcement of patent rights have been reported. Proceedings to enforce our or our licensors' patent and other intellectual property rights in foreign jurisdictions could result in substantial costs and divert our efforts and attention from other aspects of our business, could put our patent and other intellectual property rights at risk of being invalidated or interpreted narrowly and our patent applications at risk of not issuing and could provoke third parties to assert claims against us. We or our licensors may not prevail in any lawsuits that we or our licensors initiate and, if we or our licensors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Many jurisdictions have compulsory licensing laws under which a patent owner may be compelled to grant licenses to third parties. In addition, many jurisdictions limit the enforceability of patents against government agencies or government contractors. In these jurisdictions, the patent owner may have limited remedies, which could materially diminish the value of such patents. If we or any of our licensors is forced to grant a license to third parties with respect to any patents relevant to our business, our competitive position may be impaired, and our business, financial condition, results of operations and prospects may be adversely affected.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Issued patents covering any therapeutic candidates we may develop could be found invalid or unenforceable if challenged in court or before administrative bodies in the United States or abroad.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owned and licensed patent rights may be subject to priority, validity, inventorship and enforceability disputes. If we or our licensors are unsuccessful in any of these proceedings, such patent rights may be narrowed, invalidated or held unenforceable, we may be required to obtain licenses from third parties, which may not be available on commercially reasonable terms or at all, or we may be required to cease the development, manufacture and commercialization of one or more of our therapeutic candidates. Any of the foregoing could have a material adverse effect on our business, financial condition, results of operations and prospects.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or one of our licensors initiate legal proceedings against a third party to enforce a patent covering any of any therapeutic candidates we may develop or our technology, the defendant could counterclaim that the patent covering the therapeutic candidate or technology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lack of written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451485"/>
                <wp:effectExtent l="0" t="0" r="0" b="0"/>
                <wp:wrapNone/>
                <wp:docPr id="84" name="Frame8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pPr>
      <w:r>
        <w:rPr>
          <w:rFonts w:ascii="Times New Roman;serif" w:hAnsi="Times New Roman;serif"/>
          <w:b w:val="false"/>
          <w:color w:val="000000"/>
          <w:sz w:val="20"/>
        </w:rPr>
        <w:t xml:space="preserve">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interference proceedings, derivation proceedings, post grant review,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 xml:space="preserve">review and equivalent proceedings such as opposition, invalidation and revocation proceedings in foreign jurisdictions. Such proceedings could result in the revocation or cancellation of or amendment to our patents in such a way that they no longer cover any therapeutic candidates we may develop or our technology or no longer prevent third parties from competing with any therapeutic candidates we may develop or our technology. The outcome following legal assertions of invalidity and unenforceability is unpredictable. Defense of these claims, regardless of their merit, would involve substantial litigation expense and would be a distraction to management and other employees.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one or more of our therapeutic candidates or technology. Such a loss of patent protection could have a material adverse effect on our business, financial condition, results of operations and prospects. </w:t>
      </w:r>
    </w:p>
    <w:p>
      <w:pPr>
        <w:pStyle w:val="TextBody"/>
        <w:bidi w:val="0"/>
        <w:spacing w:lineRule="auto" w:line="268" w:before="240" w:after="283"/>
        <w:jc w:val="left"/>
        <w:rPr/>
      </w:pPr>
      <w:r>
        <w:rPr>
          <w:rFonts w:ascii="Times New Roman;serif" w:hAnsi="Times New Roman;serif"/>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In certain circumstances, we rely on our licensing partners to pay these fees due to U.S. and non-U.S. patent agencies. The USPTO and various non-U.S.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w:t>
      </w:r>
    </w:p>
    <w:p>
      <w:pPr>
        <w:pStyle w:val="TextBody"/>
        <w:bidi w:val="0"/>
        <w:spacing w:lineRule="auto" w:line="268" w:before="240" w:after="283"/>
        <w:jc w:val="left"/>
        <w:rPr/>
      </w:pPr>
      <w:r>
        <w:rPr>
          <w:rFonts w:ascii="Times New Roman;serif" w:hAnsi="Times New Roman;serif"/>
          <w:b/>
          <w:i/>
          <w:color w:val="000000"/>
          <w:sz w:val="20"/>
        </w:rPr>
        <w:t>Changes in patent law in the United States or worldwide could diminish the value of patents in general, thereby impairing our ability to protect any therapeutic candidates we may develop and our technology.</w:t>
      </w:r>
      <w:r>
        <w:rPr>
          <w:color w:val="000000"/>
        </w:rPr>
        <w:t xml:space="preserve"> </w:t>
      </w:r>
    </w:p>
    <w:p>
      <w:pPr>
        <w:pStyle w:val="TextBody"/>
        <w:bidi w:val="0"/>
        <w:spacing w:lineRule="auto" w:line="268" w:before="240" w:after="283"/>
        <w:ind w:left="0" w:right="0" w:firstLine="720"/>
        <w:jc w:val="left"/>
        <w:rPr/>
      </w:pPr>
      <w:r>
        <w:rPr>
          <w:rFonts w:ascii="Times New Roman;serif" w:hAnsi="Times New Roman;serif"/>
          <w:b w:val="false"/>
          <w:color w:val="000000"/>
          <w:sz w:val="20"/>
        </w:rPr>
        <w:t xml:space="preserve">Changes in either the patent laws or interpretation of patent laws in the United States and worldwide, including patent reform legislation such as the Leahy-Smith America Invents Act (the "Leahy-Smith Act"), could increase the uncertainties and costs surrounding the prosecution of any owned or in-licensed patent applications and the maintenance, enforcement or defense of any current in-licensed issued patents and issued patents we may own or in-license in the future. The Leahy-Smith Act includes a number of significant changes to U.S.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 xml:space="preserve">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in-licensed issued patents and issued patents we may own or in-license in the future, all of which could have a material adverse effect on our business, financial condition, results of operations and prospects. Since patent applications in the United States and most other countries are confidential for a period of time after filing or until issuance, we cannot be certain that we or our licensors were the first to either (i) file any patent application related to our therapeutic candidates or (ii) invent any of the inventions claimed in our or our licensor's patents or patent applications. </w:t>
      </w:r>
    </w:p>
    <w:p>
      <w:pPr>
        <w:pStyle w:val="TextBody"/>
        <w:bidi w:val="0"/>
        <w:spacing w:lineRule="auto" w:line="268" w:before="240" w:after="283"/>
        <w:ind w:left="0" w:right="0" w:firstLine="720"/>
        <w:jc w:val="left"/>
        <w:rPr/>
      </w:pPr>
      <w:r>
        <w:rPr>
          <w:rFonts w:ascii="Times New Roman;serif" w:hAnsi="Times New Roman;serif"/>
          <w:b w:val="false"/>
          <w:color w:val="000000"/>
          <w:sz w:val="20"/>
        </w:rPr>
        <w:t xml:space="preserve">The Leahy-Smith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 xml:space="preserve">review, and derivation proceedings. Because of a lower evidentiary standard in USPTO proceedings compared to the evidentiary standard in United States federal courts necessary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451485"/>
                <wp:effectExtent l="0" t="0" r="0" b="0"/>
                <wp:wrapNone/>
                <wp:docPr id="85" name="Frame8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invalidate a patent claim, a third party could potentially provide evidence in a USPTO proceeding sufficient for the USPTO to hold a claim unpatentable even though the same evidence would be insufficient to invalidate the claim if first presented in a district court action. Accordingly, a third party may attempt to use the USPTO procedures to review patentability of our patent claims that would not have been invalidated if first challenged by the third party as a defendant in a district court action. Therefore, the Leahy-Smith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 </w:t>
      </w:r>
    </w:p>
    <w:p>
      <w:pPr>
        <w:pStyle w:val="TextBody"/>
        <w:bidi w:val="0"/>
        <w:spacing w:lineRule="auto" w:line="268" w:before="240" w:after="283"/>
        <w:ind w:left="0" w:right="0" w:firstLine="720"/>
        <w:jc w:val="left"/>
        <w:rPr/>
      </w:pPr>
      <w:r>
        <w:rPr>
          <w:rFonts w:ascii="Times New Roman;serif" w:hAnsi="Times New Roman;serif"/>
          <w:b w:val="false"/>
          <w:color w:val="000000"/>
          <w:sz w:val="20"/>
        </w:rPr>
        <w:t xml:space="preserve">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As one example, in the case </w:t>
      </w:r>
      <w:r>
        <w:rPr>
          <w:rFonts w:ascii="Times New Roman;serif" w:hAnsi="Times New Roman;serif"/>
          <w:b w:val="false"/>
          <w:i/>
          <w:color w:val="000000"/>
          <w:sz w:val="20"/>
        </w:rPr>
        <w:t>Assoc. for Molecular Pathology v. Myriad Genetics, Inc.</w:t>
      </w:r>
      <w:r>
        <w:rPr>
          <w:rFonts w:ascii="Times New Roman;serif" w:hAnsi="Times New Roman;serif"/>
          <w:b w:val="false"/>
          <w:color w:val="000000"/>
          <w:sz w:val="20"/>
        </w:rPr>
        <w:t xml:space="preserve">, the U.S. Supreme Court held that certain claims to DNA molecules are not patentable simply because they have been isolated from surrounding material. Moreover, in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patent-ineligible subject matter. Accordingly, in view of the guidance memo, there can be no assurance that claims in our patent rights covering any therapeutic candidates we may develop or our technology will be held by the USPTO or equivalent foreign patent offices or by courts in the United States or in foreign jurisdictions to cover patentable subject matter.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 </w:t>
      </w:r>
    </w:p>
    <w:p>
      <w:pPr>
        <w:pStyle w:val="TextBody"/>
        <w:bidi w:val="0"/>
        <w:spacing w:lineRule="auto" w:line="268" w:before="240" w:after="283"/>
        <w:jc w:val="left"/>
        <w:rPr/>
      </w:pPr>
      <w:r>
        <w:rPr>
          <w:rFonts w:ascii="Times New Roman;serif" w:hAnsi="Times New Roman;serif"/>
          <w:b/>
          <w:i/>
          <w:color w:val="000000"/>
          <w:sz w:val="20"/>
        </w:rPr>
        <w:t>If we do not obtain patent term extension and data exclusivity for any therapeutic candidates we may develop, our business may be harmed.</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Depending upon the timing, duration and specifics of any FDA marketing approval of any therapeutic candidates we may develop and our technology, one or more of our U.S. patents that we license or may own in the future may be eligible for limited patent term extension under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product, a method for using it or a method for manufacturing it may be extended. The application for the extension must be submitted prior to the expiration of the patent for which extension is sought and within 60 days of FDA approval. A patent that covers multiple products for which approval is sought can only be extended in connection with one of the approvals.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may obtain approval of competing products following our patent expiration, and our revenue could be reduced. Any of the foregoing could have a material adverse effect on our business, financial condition, results of operations and prospects. </w:t>
      </w:r>
    </w:p>
    <w:p>
      <w:pPr>
        <w:pStyle w:val="TextBody"/>
        <w:bidi w:val="0"/>
        <w:spacing w:lineRule="auto" w:line="268" w:before="240" w:after="283"/>
        <w:jc w:val="left"/>
        <w:rPr/>
      </w:pPr>
      <w:r>
        <w:rPr>
          <w:rFonts w:ascii="Times New Roman;serif" w:hAnsi="Times New Roman;serif"/>
          <w:b/>
          <w:i/>
          <w:color w:val="000000"/>
          <w:sz w:val="20"/>
        </w:rPr>
        <w:t>We may be subject to claims challenging the inventorship or ownership of our patent and other intellectual property rights.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or our licensors may be subject to claims that former employees, collaborators or other third parties have an interest in our owned or in-licensed patent rights, trade secrets or other intellectual property as an inventor or co-inventor. For example, we or our licensors may have inventorship disputes arise from conflicting obligations of employees, consultants or others who are involved in developing our therapeutic candidates or technology. Litigation may be necessary to defend against these and other claims challenging inventorship or our or our licensors' ownership of our owned or in-licensed patent rights,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any therapeutic candidates we may develop or our technology.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451485"/>
                <wp:effectExtent l="0" t="0" r="0" b="0"/>
                <wp:wrapNone/>
                <wp:docPr id="86" name="Frame8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pPr>
      <w:r>
        <w:rPr>
          <w:rFonts w:ascii="Times New Roman;serif" w:hAnsi="Times New Roman;serif"/>
          <w:b/>
          <w:i/>
          <w:color w:val="000000"/>
          <w:sz w:val="20"/>
        </w:rPr>
        <w:t>If we are unable to protect the confidentiality of our trade secrets, our business and competitive position would be harmed.</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seeking patent protection for our therapeutic programs and other proprietary technologies we may develop, we also rely on trade secrets and confidentiality agreements to protect our unpatented know-how, technology, and other proprietary information and to maintain our competitive position. With respect to our EEV Platform and development programs, we consider trade secrets and know-how to be one of our important sources of intellectual property, including our extensive knowledge of oligonucleotide drug delivery techniques and antibody conjugation. Trade secrets and know-how can be difficult to protect. In particular, the trade secrets and know-how in connection with our EEV Platform,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subject to claims that third parties have an ownership interest in our trade secrets. For example, we may have disputes arise from conflicting obligations of our employees, consultants or others who are involved in developing our therapeutic candidate.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 adverse effect on our business. Even if we are successful in defending against such claims, litigation could result in substantial costs and be a distraction to our management and other employees. </w:t>
      </w:r>
    </w:p>
    <w:p>
      <w:pPr>
        <w:pStyle w:val="TextBody"/>
        <w:bidi w:val="0"/>
        <w:spacing w:lineRule="auto" w:line="268" w:before="240" w:after="283"/>
        <w:jc w:val="left"/>
        <w:rPr/>
      </w:pPr>
      <w:r>
        <w:rPr>
          <w:rFonts w:ascii="Times New Roman;serif" w:hAnsi="Times New Roman;serif"/>
          <w:b/>
          <w:i/>
          <w:color w:val="000000"/>
          <w:sz w:val="20"/>
        </w:rPr>
        <w:t>We may not be successful in obtaining necessary rights to any therapeutic candidate we may develop through acquisitions and in-licenses.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own or exclusively license intellectual property rights covering certain aspects of our therapeutic programs. Other pharmaceutical companies and academic institutions may also have filed or are planning to file patent applications potentially relevant to our business. In order to avoid infringing these third-party patents, we may find it necessary or prudent to obtain licenses to such patents from such third-party intellectual property holders. However, we may be unable to secure such licenses or otherwise acquire or in-license any compositions, methods of use, processes or other intellectual property rights from third parties that we identify as necessary for our therapeutic programs and other proprietary technologies we may develop. The licensing or acquisition of third-party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therapeutic candidate, which could have a material adverse effect on our business, financial condition, results of operations and prospects. </w:t>
      </w:r>
    </w:p>
    <w:p>
      <w:pPr>
        <w:pStyle w:val="TextBody"/>
        <w:bidi w:val="0"/>
        <w:spacing w:lineRule="auto" w:line="268" w:before="240" w:after="283"/>
        <w:jc w:val="left"/>
        <w:rPr/>
      </w:pPr>
      <w:r>
        <w:rPr>
          <w:rFonts w:ascii="Times New Roman;serif" w:hAnsi="Times New Roman;serif"/>
          <w:b/>
          <w:i/>
          <w:color w:val="000000"/>
          <w:sz w:val="20"/>
        </w:rPr>
        <w:t>We may be subject to claims that our employees, consultants or advisors have wrongfully used or disclosed alleged trade secrets of their current or former employers or claims asserting ownership of what we regard as our own intellectual property.</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employees, consultants and advisors are currently or were previously employed at universities or other biotechnology or pharmaceutical companies, including our competitors or potential competitors. Although we try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451485"/>
                <wp:effectExtent l="0" t="0" r="0" b="0"/>
                <wp:wrapNone/>
                <wp:docPr id="87" name="Frame8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Furthermore, any disclosure, either intentional or unintentional, by our employees, consultants or vendors, or misappropriation by third parties (such as through a cybersecurity breach) of our trade secrets or proprietary information could enable competitors to duplicate or surpass our technological achievements, thus eroding our competitive position in our market. Such risk of disclosure can be increased by our use of AI technologies and can result in misappropriation and other security incidents and breached.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t>
      </w:r>
    </w:p>
    <w:p>
      <w:pPr>
        <w:pStyle w:val="TextBody"/>
        <w:bidi w:val="0"/>
        <w:spacing w:lineRule="auto" w:line="268" w:before="240" w:after="283"/>
        <w:jc w:val="left"/>
        <w:rPr/>
      </w:pPr>
      <w:r>
        <w:rPr>
          <w:rFonts w:ascii="Times New Roman;serif" w:hAnsi="Times New Roman;serif"/>
          <w:b/>
          <w:i/>
          <w:color w:val="000000"/>
          <w:sz w:val="20"/>
        </w:rPr>
        <w:t>Third-party claims of intellectual property infringement, misappropriation or other violations against us or our collaborators may prevent or delay the development and commercialization of our therapeutic programs and other proprietary technologies we may develop.</w:t>
      </w:r>
      <w:r>
        <w:rPr>
          <w:color w:val="000000"/>
        </w:rPr>
        <w:t xml:space="preserve"> </w:t>
      </w:r>
    </w:p>
    <w:p>
      <w:pPr>
        <w:pStyle w:val="TextBody"/>
        <w:bidi w:val="0"/>
        <w:spacing w:lineRule="auto" w:line="268" w:before="240" w:after="283"/>
        <w:ind w:left="0" w:right="0" w:firstLine="720"/>
        <w:jc w:val="left"/>
        <w:rPr/>
      </w:pPr>
      <w:r>
        <w:rPr>
          <w:rFonts w:ascii="Times New Roman;serif" w:hAnsi="Times New Roman;serif"/>
          <w:b w:val="false"/>
          <w:color w:val="000000"/>
          <w:sz w:val="20"/>
        </w:rPr>
        <w:t xml:space="preserve">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As discussed above, recently, due to changes in U.S. law referred to as patent reform, new procedures including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 xml:space="preserve">review and post-grant review have also been implemented. As stated above, this reform adds uncertainty to the possibility of challenge to our patents in the future.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Numerous U.S. and foreign issued patents and pending patent applications owned by third parties exist in the fields in which we are commercializing or plan to commercialize our therapeutic programs and in which we are developing other proprietary technologies. As the biotechnology and pharmaceutical industries expand and more patents are issued, the risk increases that our therapeutic programs and commercializing activities may give rise to claims of infringement of the patent rights of others. We are aware of third party patents that may cover certain aspects of therapeutic candidates that we are developing or may develop. We cannot assure our stockholders that our therapeutic programs and other proprietary technologies we may develop will not infringe existing or future patents owned by third parties. We may not be aware of patents that have already been issued and that a third party, for example, a competitor in the fields in which we are developing our therapeutic programs, might assert as infringed by us.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our planned products. As such, we review third-party patents in the relevant pharmaceutical markets. In addition, because patent applications can take many years to issue, there may be currently pending patent applications that may later result in issued patents that we may infringe.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that any third 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In this case, the holders of such patents may be able to block our ability to commercialize the infringing products or technologies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we may be unable to commercialize the infringing products or technologies or such commercialization efforts may be significantly delayed, which could in turn significantly harm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451485"/>
                <wp:effectExtent l="0" t="0" r="0" b="0"/>
                <wp:wrapNone/>
                <wp:docPr id="88" name="Frame8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have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In that event, we would be unable to further develop and commercialize our therapeutic candidate or technologies, which could harm our business significantly. Further, we cannot predict whether any required license would be available at all or whether it would be available on commercially reasonable terms. In the event that we could not obtain a license, we may be unable to further develop our therapeutic candidate and commercialize our product, if approved, which could harm our business significantly. Even if we are able to obtain a license, the license would likely obligate us to pay license fees or royalties or both, and the rights granted to us might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Engaging in litigation defending against third parties alleging infringement of patent and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could impair our ability to compete in the marketplace. The occurrence of any of the foregoing could have a material adverse effect on our business, financial condition or results of operations.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If we do not prevail in the patent proceedings the third parties may assert a claim of patent infringement directed at our therapeutic candidates. </w:t>
      </w:r>
    </w:p>
    <w:p>
      <w:pPr>
        <w:pStyle w:val="TextBody"/>
        <w:bidi w:val="0"/>
        <w:spacing w:lineRule="auto" w:line="268" w:before="240" w:after="283"/>
        <w:jc w:val="left"/>
        <w:rPr/>
      </w:pPr>
      <w:r>
        <w:rPr>
          <w:rFonts w:ascii="Times New Roman;serif" w:hAnsi="Times New Roman;serif"/>
          <w:b/>
          <w:i/>
          <w:color w:val="000000"/>
          <w:sz w:val="20"/>
        </w:rPr>
        <w:t>We may become involved in lawsuits to protect or enforce our patents and other intellectual property rights, which could be expensive, time-consuming and unsuccessful.</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Third parties, such as a competitor, may infringe our patent rights. In an infringement proceeding, a court may decide that a patent owned by us is invalid or unenforceable or may refuse to stop the other party from using the invention at issue on the grounds that the patent does not cover the technology in question. In addition, our patent rights may become involved in inventorship, priority or validity disputes. To counter or defend against such claims can be expensive and time-consuming. An adverse result in any litigation proceeding could put our patent rights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w:t>
      </w:r>
    </w:p>
    <w:p>
      <w:pPr>
        <w:pStyle w:val="TextBody"/>
        <w:bidi w:val="0"/>
        <w:spacing w:lineRule="auto" w:line="268" w:before="240" w:after="283"/>
        <w:jc w:val="left"/>
        <w:rPr/>
      </w:pPr>
      <w:r>
        <w:rPr>
          <w:rFonts w:ascii="Times New Roman;serif" w:hAnsi="Times New Roman;serif"/>
          <w:b/>
          <w:i/>
          <w:color w:val="000000"/>
          <w:sz w:val="20"/>
        </w:rPr>
        <w:t>If our trademarks and trade names are not adequately protected, then we may not be able to build name recognition in our markets of interest and our business may be adversely affected.</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451485"/>
                <wp:effectExtent l="0" t="0" r="0" b="0"/>
                <wp:wrapNone/>
                <wp:docPr id="89" name="Frame8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therapeutic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or equivalent body. Furthermore, in many countries, owning and maintaining a trademark registration may not provide an adequate defense against a subsequent infringement claim asserted by the owner of a senior trademark.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Furthermore, assertions of potential trademark infringement or possible market confusion may lead to coexistence agreements in order to avoid costly disputes related to our trademarks. As a consequence, we may be forced to amend the list of goods and services covered by our trademarks more narrowly than as originally filed and intended, which could adversely affect our ability to establish name recognition. For example, the description of goods and services for our Entrada trademark was amended twice to settle potential disputes with two other biopharmaceutical companies as part of coexistence agreements.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 </w:t>
      </w:r>
    </w:p>
    <w:p>
      <w:pPr>
        <w:pStyle w:val="TextBody"/>
        <w:bidi w:val="0"/>
        <w:spacing w:lineRule="auto" w:line="268" w:before="240" w:after="283"/>
        <w:jc w:val="left"/>
        <w:rPr/>
      </w:pPr>
      <w:r>
        <w:rPr>
          <w:rFonts w:ascii="Times New Roman;serif" w:hAnsi="Times New Roman;serif"/>
          <w:b/>
          <w:i/>
          <w:color w:val="000000"/>
          <w:sz w:val="20"/>
        </w:rPr>
        <w:t>Intellectual property rights do not necessarily address all potential threats.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others may be able to make products that are similar to our therapeutic candidate or utilize similar technology but that are not covered by the claims of the patents that we license or may own;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we might not have been the first to make the inventions covered by our current or future patent applications;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we might not have been the first to file patent applications covering our inventions;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others may independently develop similar or alternative technologies or duplicate any of our technologies without infringing our intellectual property rights;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it is possible that our current or future patent applications will not lead to issued patents;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any patent issuing from our current or future patent applications may be held invalid or unenforceable, including as a result of legal challenges by our competitors or other third parties;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our competitors or other third parties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we have engaged in scientific collaborations in the past and will continue to do so in the future and our collaborators may develop adjacent or competing products that are outside the scope of our patents;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we may not develop additional proprietary technologies that are patentable;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patents of others may harm our business; and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we may choose not to file for patent protection in order to maintain certain trade secrets or know-how, and a third party may subsequently file a patent application covering such intellectual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451485"/>
                <wp:effectExtent l="0" t="0" r="0" b="0"/>
                <wp:wrapNone/>
                <wp:docPr id="90" name="Frame8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occurrence of any of these events would have a material adverse effect on our business, financial condition, results of operations and prospects. </w:t>
      </w:r>
    </w:p>
    <w:p>
      <w:pPr>
        <w:pStyle w:val="TextBody"/>
        <w:bidi w:val="0"/>
        <w:spacing w:lineRule="auto" w:line="268" w:before="240" w:after="283"/>
        <w:jc w:val="left"/>
        <w:rPr/>
      </w:pPr>
      <w:r>
        <w:rPr>
          <w:rFonts w:ascii="Times New Roman;serif" w:hAnsi="Times New Roman;serif"/>
          <w:b/>
          <w:i/>
          <w:color w:val="000000"/>
          <w:sz w:val="20"/>
        </w:rPr>
        <w:t>We partially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dependent, in part, on patents, know-how and proprietary technology licensed from others. Our licenses to such patents, know-how and proprietary technology may not provide exclusive rights in all relevant fields of use and in all territories in which we may wish to develop or commercialize our therapeutics in the future. The agreements under which we license patents, know-how and proprietary technology from others are complex, and certain provisions in such agreements may be susceptible to multiple interpretations.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fail to comply with obligations under any license agreements, our licensors may have the right to terminate our license, in which event we would not be able to develop or market technology or therapeutic candidates covered by the intellectual property licensed under these agreements. In addition, we may need to obtain additional licenses from our existing licensors and others to advance our research or allow commercialization of therapeutic candidates we may develop. It is possible that we may be unable to obtain any additional licenses at a reasonable cost or on reasonable terms, if at all. In either event, we may be required to expend significant time and resources to redesign our technology, therapeutic candidates, or the methods for manufacturing them or to develop or license replacement technology, all of which may not be feasible on a technical or commercial basis. If we are unable to do so, we may be unable to develop or commercialize the affected technology or therapeutic candidates.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or our licensors fail to adequately protect our licensed intellectual property, our ability to commercialize therapeutic candidates could suffer. We do not have complete control over the maintenance, prosecution and litigation of our in-licensed patents and patent applications and may have limited control over future intellectual property that may be in-licensed. For example, we cannot be certain that activities such as the maintenance and prosecution by our licensors have been or will be conducted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resolution of any contract interpretation disagreement that may arise could narrow what we believe to be the scope of our rights to the relevant patents, know-how and proprietary technology, or increase what we believe to be our financial or other obligations under the relevant agreement. Disputes that may arise between us and our licensors regarding intellectual property subject to a license agreement could include disputes regarding: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scope of rights granted under the license agreement and other interpretation-related issues;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whether and the extent to which our technology and processes infringe on intellectual property of the licensor that is not subject to the licensing agreement;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our right to sublicense patent and other rights to third parties under collaborative development relationships;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our diligence obligations with respect to the use of the licensed technology in relation to our development and commercialization of our therapeutic candidates and what activities satisfy those diligence obligations; and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ownership of inventions and know-how resulting from the joint creation or use of intellectual property by our licensors and us.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disputes over intellectual property that we have licensed prevent or impair our ability to maintain our current licensing arrangements on acceptable terms, we may be unable to successfully develop and commercialize the affected technology or therapeutic candidates. As a result, any termination of or disputes over our intellectual property licenses could result in the loss of our ability to develop and commercialize our EEV Platform, or EEV products, or we could lose other significant rights, any of which could have a material adverse effect on our business, financial condition, results of operations and prospects.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our agreements with certain of our third-party research partners provide that improvements developed in the course of our relationship may be owned solely by either us or our third-party research partner, or jointly between us and the third party. If we determine that rights to such improvements owned solely by a research partner or other third party with whom we collaborate are necessary to commercialize our therapeutic candidates or maintain our competitive advantage, we may need to obtain a license from such third party in order to use the improvements and continue developing, manufacturing or marketing our therapeutic candidates. We may not be able to obtain such a license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451485"/>
                <wp:effectExtent l="0" t="0" r="0" b="0"/>
                <wp:wrapNone/>
                <wp:docPr id="91" name="Frame8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an exclusive basis, on commercially reasonable terms, or at all, which could prevent us from commercializing our therapeutic candidates or allow our competitors or others the chance to access technology that is important to our business. We also may need the cooperation of any co-owners of our intellectual property in order to enforce such intellectual property against third parties, and such cooperation may not be provided to us. </w:t>
      </w:r>
    </w:p>
    <w:p>
      <w:pPr>
        <w:pStyle w:val="TextBody"/>
        <w:bidi w:val="0"/>
        <w:spacing w:lineRule="auto" w:line="268" w:before="240" w:after="283"/>
        <w:jc w:val="left"/>
        <w:rPr/>
      </w:pPr>
      <w:r>
        <w:rPr>
          <w:rFonts w:ascii="Times New Roman;serif" w:hAnsi="Times New Roman;serif"/>
          <w:b/>
          <w:i/>
          <w:color w:val="000000"/>
          <w:sz w:val="20"/>
        </w:rPr>
        <w:t>We may not be successful in obtaining or maintaining necessary rights to product components and processes for our development portfolio through acquisitions and in-licenses.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of our business may depend in part on our ability to acquire, in-license or use third-party proprietary rights. For example, our therapeutic candidates may require specific formulations to work effectively and efficiently, we may develop therapeutic candidates containing our compounds and pre-existing pharmaceutical compounds, or we may be required by the FDA or comparable foreign regulatory authorities to provide a companion diagnostic test or tests with our therapeutic candidates, any of which could require us to obtain rights to use intellectual property held by third parties. In addition, with respect to any patents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therapeutic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therapeutic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 </w:t>
      </w:r>
    </w:p>
    <w:p>
      <w:pPr>
        <w:pStyle w:val="TextBody"/>
        <w:bidi w:val="0"/>
        <w:spacing w:lineRule="auto" w:line="268" w:before="240" w:after="283"/>
        <w:jc w:val="left"/>
        <w:rPr/>
      </w:pPr>
      <w:r>
        <w:rPr>
          <w:rFonts w:ascii="Times New Roman;serif" w:hAnsi="Times New Roman;serif"/>
          <w:b/>
          <w:i/>
          <w:color w:val="000000"/>
          <w:sz w:val="20"/>
        </w:rPr>
        <w:t>We, our collaborators and our service providers may be subject to a variety of privacy and data security laws and contractual obligations, which could increase compliance costs and our failure to comply with them could subject us to potentially significant fines or penalties and otherwise harm our business.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a large quantity of sensitive information, including confidential business and patient health information in connection with our preclinical studies, and are subject to laws and regulations governing the privacy and security of such information. The global data protection landscape is rapidly evolving, and we may be affected by or subject to new, amended or existing laws and regulations in the future, including as our operations continue to expand or if we operate in foreign jurisdictions. These laws and regulations may be subject to differing interpretations, which adds to the complexity of processing personal data. Guidance on implementation and compliance practices are often updated or otherwise revised.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there are numerous federal and state privacy and data security laws and regulations governing the collection, use, disclosure and protection of personal information, including federal and state health information privacy laws, federal and state cybersecurity incident notification laws and federal and state consumer protection laws. Each of these laws is subject to varying interpretations and constantly evolving. By way of example, at the federal level, HIPAA imposes privacy and security requirements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451485"/>
                <wp:effectExtent l="0" t="0" r="0" b="0"/>
                <wp:wrapNone/>
                <wp:docPr id="92" name="Frame8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certain breaches of health information to the HHS, affected individuals and if the breach is large enough, the media. Entities that are found to be in violation of HIPAA may be subject to significant civil, criminal and administrative fines and penalties and/or additional reporting and oversight obligations. Even when HIPAA does not apply, failing to take appropriate steps to keep consumers' personal information secure may constitute unfair acts or practices in or affecting commerce in violation of Section 5(a) of the Federal Trade Commission Act ("FTCA"), 15 U.S.C § 45(a). The Federal Trade Commission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Regulators and legislators in the U.S. are also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By way of example, the California Consumer Privacy Act ("CCPA"), which went into effect on January 1, 2020, established a comprehensive privacy framework for covered businesses by creating an expanded definition of personal information, data privacy rights for consumers in the State of California, and special rules on the collection of consumer data from minors. The CCPA also provided for civil penalties for violations of the act, as well as a private right of action for data breaches, which is expected to increase the risk of future data breach litigation. The California Privacy Rights Act ("CPRA") significantly modified the CCPA, imposing additional obligations on companies covered by the legislation, including by creating additional obligations with respect to the processing and storing of personal information and by expanding consumers' rights with respect to certain sensitive information.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Similarly comprehensive privacy laws have been passed in numerous other states, adding additional complexity, variation in requirements, restrictions and potential legal risk, requiring additional investment of resources in compliance programs. The introduction of these laws across the U.S. may impact our strategies and the availability of previously useful data as well as result in increased compliance costs and/or changes in business practices and policies. While these comprehensive consumer state privacy laws incorporate many similar concepts as the CCPA, there are also several key differences in the scope, application, and enforcement of these laws that will change the operational practices of regulated businesses. These comprehensive privacy laws will, among other things, impact how regulated businesses collect and process personal sensitive data, conduct data protection assessments, transfer personal data to affiliates, and respond to consumer rights requests.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in addition to comprehensive privacy laws, certain states have enacted laws which focus on certain specific types of information. For example, Washington's My Health My Data Act, which became effective on March 31, 2024, regulates the collection and sharing of health information and has a private right of action, which further increases the relevant compliance risk. Connecticut and Nevada have also passed similar laws regulating consumer health data. Further, a small number of states, including Texas and Illinois, have passed laws that regulate biometric information. The existence of these laws as well as comprehensive privacy laws in different states in the country make our compliance obligations more complex and costly and may increase the likelihood that we may be subject to enforcement actions or otherwise incur liability for noncompliance. State laws are changing rapidly and there have been discussions in the U.S. Congress of a new comprehensive federal data privacy law to which we could become subject, if enacted.</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will be subject to the data protection laws of the EU and UK in relation to personal data we collect from these territories. These laws impose additional obligations and risk upon our business, including substantial expenses and changes to business operations that are required to comply with these laws. The withdrawal of the UK from the EU (Brexit) and the subsequent separation of the data protection regimes of these territories means we are required to comply with separate data protection laws in the EU and UK which may lead to additional compliance costs and could increase our overall risk. The collection, use, storage, disclosure, transfer, and other processing of personal data in the EU is governed by the provisions of the EU GDPR. Following the withdrawal of the UK from the EU, the UK's European Union (Withdrawal) Act 2018 incorporated the EU GDPR into UK law along with the UK GDPR together with the EU GDPR, referred to as the GDPR. Failure to comply with the GDPR, and Member States' national data protection laws which may apply to the personal data we collect from the European Economic Area ("EEA") or UK, may result in fines and other administrative penalties, including monetary penalties of up to €20/£17.5 million or 4% of worldwide revenue (whichever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451485"/>
                <wp:effectExtent l="0" t="0" r="0" b="0"/>
                <wp:wrapNone/>
                <wp:docPr id="93" name="Frame8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 higher). The GDPR also confers a private right of action on data subjects and consumer associations to lodge complaints with supervisory authorities, seek judicial remedies, and obtain compensation for damages resulting from violations of the GDPR.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GDPR imposes several requirements relating to processing personal data, including the requirement to provide notice to individuals about personal data processing activities, ensure an appropriate lawful basis and/or conditions applies to the processing of personal data, having data processing agreements with third parties who process personal data, appointing data protection officers, conducting data protection impact assessments for high risk processing, record-keeping, responding to individuals' requests to exercise their rights in respect of their personal data, notification of data breaches to the competent national data protection authority, and the implementation of safeguards to protect the security and confidentiality of personal data. The GDPR also imposes several additional requirements relating to the processing of health and other sensitive data which may require us to obtain consent from the individuals to whom the personal data relates.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GDPR imposes strict rules on the transfer of personal data out of the EEA/UK to countries not regarded by the European Commission and the UK government as providing adequate protection, or third countries, including the United States. These transfers are prohibited unless an appropriate safeguard specified by data protection laws is implemented, such as the Standard Contractual Clauses ("SCCs"), approved by the European Commission, or a derogation applies. Transfers made pursuant to the SCCs need to be assessed on a case-by-case basis to ensure the law in the recipient country provides "essentially equivalent" protections to safeguard the transferred data. If the standard is not met, businesses will be required to adopt supplementary measures. Further, the EU and United States have adopted its adequacy decision for the EU-U.S. Data Privacy Framework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 UK is not subject to the European Commission's SCCs but the UK Information Commissioner's Office has published the UK's own transfer mechanisms for personal data originating from the UK (the International Data Transfer Agreement and International Data Transfer Addendum (each an "IDTA")), which have been in force since March 21, 2022. The IDTA requires the same case-by-case risk assessment of the transfer. In addition, there has been an extension to the Framework to cover UK transfers to the United States. The Framework could be challenged like its predecessor frameworks. The international transfer obligations under the EEA and UK data protection regimes will require significant effort and cost, and may result in us needing to make strategic considerations around where EEA/UK personal data is located and which service providers we can utilize for the processing of EEA/UK personal data, particularly as the enforcement around GDPR international transfer compliance obligations is currently unclear. The above transfer requirements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the UK is regarded as a third country under the EU's GDPR, the European Commission ("EC") has now issued a decision recognizing the UK as providing adequate protection under the EU GDPR and, therefore, transfers of personal data originating in the EU to the UK remain unrestricted. In December 2025, the European Commission adopted a decision to extend the validity of the UK adequacy decision for six years until December 2031, determining that the UK continues to offer a level of data protection that is "essentially equivalent" to the EU standards. This follows the UK's adoption of the Data (Use and Access) Act 2025 (the "DUAA") on June 19, 2025. Like the EU GDPR, the UK GDPR restricts personal data transfers outside the UK to countries not regarded by the UK as providing adequate protection. The UK Government has confirmed that personal data transfers from the UK to the EEA remain free flowing.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Compliance with these and any other applicable privacy and data security laws and regulations is a rigorous and time-intensive process. We may be required to modify our data processing practices and policies, put in place additional compliance mechanisms, and utilize management's time and/or divert resources from other initiatives and projects to ensure compliance with new data protection rules. Any failure or perceived failure by us to comply with any applicable federal, state or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451485"/>
                <wp:effectExtent l="0" t="0" r="0" b="0"/>
                <wp:wrapNone/>
                <wp:docPr id="94" name="Frame9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The use of new and evolving technologies, such as AI, in our offerings may result in spending material resources and presents risks and challenges that can impact our business including by posing security and other risks to our confidential information, proprietary information and personal information, and as a result we may be exposed to reputational harm and liability.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third-party vendors, continue to build and integrate AI into our offerings, and this innovation presents risks and challenges that could affect its adoption, and therefore our business. Use of this technology could pose cybersecurity, data privacy, IT, intellectual property, regulatory, legal, operational, competitive, reputational and other risks and challenges that could affect our business. Specifically, risks related to accuracy, bias, AI hallucinations, discrimination, harmful content, misinformation, fraud, scams, targeted attacks (including model poisoning or data poisoning), surveillance, data leakage, inequality, environmental harms, and other harms may flow from our development, use, or deployment of AI technologies. If we enable or offer solutions that draw controversy due to perceived or actual negative societal impact, we may also experience brand or reputational harm, competitive harm or legal liability.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growing number of legislators and regulators are adopting laws and regulations and have focused enforcement efforts on the adoption of artificial intelligence, and use of such technologies in compliance with ethical standards and societal expectations. These developments may increase our compliance burden and costs in connection with use of artificial intelligence and lead to legal liability if we fail to meet evolving legal standards or if use of such technologies results in harms or other causes of action we did not predict. For example, the EU began implementing the Artificial Intelligence Act (the "AI Act") on August 1, 2024, with a significant part of the law scheduled to come into effect in August 2026. As currently enacted, the AI Act, which may be amended as part of the EU's Digital Omnibus, imposes significant obligations on providers and deployers of high risk artificial intelligence systems, and encourages providers and deployers of artificial intelligence systems to account for EU ethical principles in their development and use of these systems. The scope of requirements depends on judicial interpretations and forthcoming legislative amendments, and non-compliance can lead to significant fines.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U.S., the regulatory environment for AI is complex and uncertain. Over the past year, states have advanced, and in some cases passed, dozens of laws focusing on AI governance and regulation, including on deployment of AI in healthcare settings. In addition, various federal regulators have issued guidance and focused enforcement efforts on the use of AI in regulated sectors. If we develop or use AI systems that are governed by these laws or regulations, we will need to meet higher standards of data quality, transparency, and human oversight, and we would need to adhere to specific and potentially burdensome and costly ethical, accountability, and administrative requirements, with the potential for significant enforcement or litigation in the event of any perceived non-compliance. At the federal level, the Trump Administration has endorsed a federal moratorium on the enforcement of state AI laws, including through an executive order issued December 11, 2025 titled "Ensuring a National Policy Framework for Artificial Intelligence." So far, these efforts have not been successful at curtailing state action on AI regulation, contributing to a complicated legislative patchwork, which may be litigated in state and federal courts.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rapid evolution of AI will require the application of significant resources to design, develop, test and maintain our products and services to help ensure that artificial intelligence is implemented in accordance with applicable law and regulation and in a socially responsible manner and to minimize any real or perceived unintended harmful impacts. The use of certain AI technology can give rise to intellectual property risks, including by disclosing or otherwise compromising our confidential or proprietary intellectual property, or by undermining our ability to assert or defend ownership rights in intellectual property created with the assistance of artificial intelligence tools.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vendors may in turn incorporate AI tools into their own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hardware, software, data and cloud computing platforms that we rely on, including, for example, the large language models leveraged in our AI systems, may not continue to be available at reasonable prices, on commercially reasonable terms or at all. Any loss of the right to use any of these hardware, software, data or cloud computing platforms could significantly increase our expenses and disrupt or otherwise result in delays in the provisioning of our services until equivalent technology is either developed by us, or, if available, is identified, obtained through purchase or license and integrated into our services, and no assurance can be provided that such equivalent technology would be developed or obtained in a timely manner or at all. Moreover, as a result of the increasing use and deployment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451485"/>
                <wp:effectExtent l="0" t="0" r="0" b="0"/>
                <wp:wrapNone/>
                <wp:docPr id="95" name="Frame9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AI technologies, infrastructure capacity requirements, including network capacity and, computing power and energy requirements, may increase which could lead to an increase in serve interruptions we experience.</w:t>
      </w:r>
    </w:p>
    <w:p>
      <w:pPr>
        <w:pStyle w:val="TextBody"/>
        <w:bidi w:val="0"/>
        <w:spacing w:lineRule="auto" w:line="268" w:before="240" w:after="283"/>
        <w:jc w:val="left"/>
        <w:rPr/>
      </w:pPr>
      <w:r>
        <w:rPr>
          <w:rFonts w:ascii="Times New Roman;serif" w:hAnsi="Times New Roman;serif"/>
          <w:b/>
          <w:i/>
          <w:color w:val="000000"/>
          <w:sz w:val="20"/>
        </w:rPr>
        <w:t>Use of open source software could impose limitations on us that may adversely affect our business.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Should use of open source software be necessary for commercialization of our therapeutic candidates, such use could impose limitations on our ability to commercialize. As a result, as we seek to use our platform in connection with commercially available products, we may be required to license software under different license terms, which may not be possible on commercially reasonable terms, if at all. If we are unable to license software components on terms that permit its use for commercial purposes, we may be required to replace those software components, which could result in delays, additional cost and additional regulatory approvals.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Use and distribution of open source software may entail greater risks than use of third-party commercial software, as open source licensors generally do not provide warranties or other contractual protections regarding infringement claims or the quality of the software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of the open source licenses, be required to release the source code of our proprietary software to the public. This could allow our competitors to create similar products with lower development effort and time, and ultimately could result in a loss of product sales for us. Although we monitor our use of open source software, the terms of many open source licenses have not been interpreted by U.S. courts, and there is a risk that those licenses could be construed in a manner that could impose unanticipated conditions or restrictions on our ability to commercialize our therapeutic candidates. We could be required to seek licenses from third parties in order to continue offering our therapeutic candidates, to re-engineer our therapeutic candidates or to discontinue the sale of our therapeutic candidates in the event re-engineering cannot be accomplished on a timely basis, any of which could materially and adversely affect our business, financial condition, results of operations and prospects.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Should any of these events occur, they could have a material adverse effect on our business, financial condition, results of operations, and prospects. </w:t>
      </w:r>
    </w:p>
    <w:p>
      <w:pPr>
        <w:pStyle w:val="TextBody"/>
        <w:bidi w:val="0"/>
        <w:spacing w:lineRule="auto" w:line="268" w:before="240" w:after="283"/>
        <w:jc w:val="left"/>
        <w:rPr/>
      </w:pPr>
      <w:r>
        <w:rPr>
          <w:rFonts w:ascii="Times New Roman;serif" w:hAnsi="Times New Roman;serif"/>
          <w:b/>
          <w:i/>
          <w:color w:val="000000"/>
          <w:sz w:val="20"/>
        </w:rPr>
        <w:t>Our reliance on third parties requires us to share our trade secrets, which increases the possibility that a competitor or other third party will discover our trade secrets or that our trade secrets will be misappropriated or disclosed.</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Because we currently rely on certain third parties to manufacture all or part of our drug product and to perform quality testing, and because we collaborate with various organizations and academic institutions for the advancement of our product engine and development portfolio,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and other similar agreements with our collaborators, advisors, employees, consultants and contractors prior to beginning research or disclosing any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or other third parties, are inadvertently incorporated into the technology of others or are disclosed or used in violation of these agreements. Despite our efforts to protect our trade secrets, our competitors may discover our trade secrets, either through breach of these agreements, independent development or publication of information including our trade secrets by third parties. Given that our proprietary position is based, in part, on our know-how and trade secrets, a competitor's or other third party's discovery of our proprietary technology and confidential information or other unauthorized use or disclosure would impair our competitive position and may harm our business, financial condition, results of operations and prospects. </w:t>
      </w:r>
    </w:p>
    <w:p>
      <w:pPr>
        <w:pStyle w:val="TextBody"/>
        <w:bidi w:val="0"/>
        <w:spacing w:lineRule="auto" w:line="268" w:before="240" w:after="283"/>
        <w:jc w:val="left"/>
        <w:rPr/>
      </w:pPr>
      <w:r>
        <w:rPr>
          <w:rFonts w:ascii="Times New Roman;serif" w:hAnsi="Times New Roman;serif"/>
          <w:b/>
          <w:i/>
          <w:color w:val="000000"/>
          <w:sz w:val="20"/>
        </w:rPr>
        <w:t>Rights to improvements to our therapeutic candidates may be held by third parties.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course of testing our therapeutic candidates, we may enter into agreements with third parties to conduct clinical testing, which may provide that improvements to our therapeutic candidates may be owned solely by a party or jointly between the parties. If we determine that rights to such improvements owned solely by a third party are necessary to commercialize our therapeutic candidates or maintain our competitive advantage, we may need to obtain a license from such third party in order to use the improvements and continue developing, manufacturing or marketing the therapeutic candidates.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Failure to obtain a license on commercially reasonable terms or at all, or to obtain an exclusive license, could prevent us from commercializing our therapeutic candidates or force us to cease some of our business operations, which could materially harm our business. If we determine that rights to improvements jointly owned between us and a third party are necessary to commercialize our therapeutic candidates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451485"/>
                <wp:effectExtent l="0" t="0" r="0" b="0"/>
                <wp:wrapNone/>
                <wp:docPr id="96" name="Frame9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maintain our competitive advantage, we may need to obtain an exclusive license from such third party. If we are unable to obtain an exclusive license to any such third-party co-owners' interest in such improvements, such co-owners may be able to license their rights to other third parties, including our competitors, and our competitors could market competing products and technology. In addition, we may need the cooperation of any such co-owners of our intellectual property in order to enforce such intellectual property against third parties, and such cooperation may not be provided to us. Any of the foregoing could have a material adverse effect on our competitive position, business, financial conditions, results of operations, and prospects. </w:t>
      </w:r>
    </w:p>
    <w:p>
      <w:pPr>
        <w:pStyle w:val="TextBody"/>
        <w:bidi w:val="0"/>
        <w:spacing w:lineRule="auto" w:line="268" w:before="240" w:after="283"/>
        <w:jc w:val="left"/>
        <w:rPr/>
      </w:pPr>
      <w:r>
        <w:rPr>
          <w:rFonts w:ascii="Times New Roman;serif" w:hAnsi="Times New Roman;serif"/>
          <w:b/>
          <w:i/>
          <w:color w:val="000000"/>
          <w:sz w:val="20"/>
        </w:rPr>
        <w:t>We may be subject to claims that we have wrongfully hired an employee from a competitor or that we or our employees have wrongfully used or disclosed alleged confidential information or trade secrets of their former employers.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is common in the biotechnology and pharmaceutical industries, in addition to our employees, we engage the services of consultants to assist us in the development of our therapeutic candidate,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pPr>
      <w:r>
        <w:rPr>
          <w:rFonts w:ascii="Times New Roman;serif" w:hAnsi="Times New Roman;serif"/>
          <w:b/>
          <w:color w:val="000000"/>
          <w:sz w:val="20"/>
        </w:rPr>
        <w:t>Risks Related to Ownership of Our Common Stock</w:t>
      </w:r>
      <w:r>
        <w:rPr>
          <w:color w:val="000000"/>
        </w:rPr>
        <w:t xml:space="preserve">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We do not know whether an active, liquid and orderly trading market will be sustained for our common stock and as a result it may be difficult for our stockholders to sell their shares of our common stock.</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our common stock is listed on the Nasdaq Global Market, an active trading market for our common stock may not be sustained. If a market for our common stock is not sustained, it may be difficult for our stockholders to sell their shares at the time they wish to sell them or at a price that they consider reasonable. The lack of a sustained active market may also reduce the fair market value of our stockholders'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Recent volatility in capital markets and lower market prices for many securities may affect our ability to access new capital through sales of shares of our common stock or issuance of indebtedness, which may harm our liquidity, limit our ability to grow our business, pursue acquisitions or improve our operating infrastructure and restrict our ability to compete in our markets.</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operations consume substantial amounts of cash, and we intend to continue to make significant investments to support our strategic goals, including near-term value creation and workforce capability evolution, respond to business challenges or opportunities, develop new solutions,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p>
    <w:p>
      <w:pPr>
        <w:pStyle w:val="TextBody"/>
        <w:bidi w:val="0"/>
        <w:spacing w:before="0" w:after="0"/>
        <w:ind w:left="0" w:right="0" w:firstLine="360"/>
        <w:jc w:val="left"/>
        <w:rPr/>
      </w:pPr>
      <w:r>
        <w:rPr/>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finance unanticipated working capital requirements;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develop or enhance our technological infrastructure and our existing solutions;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pursue acquisitions or other strategic relationships; and</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respond to competitive pressures.</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451485"/>
                <wp:effectExtent l="0" t="0" r="0" b="0"/>
                <wp:wrapNone/>
                <wp:docPr id="97" name="Frame9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pPr>
      <w:r>
        <w:rPr>
          <w:rFonts w:ascii="Times New Roman;serif" w:hAnsi="Times New Roman;serif"/>
          <w:b/>
          <w:i/>
          <w:color w:val="000000"/>
          <w:sz w:val="20"/>
        </w:rPr>
        <w:t>The market price of our common stock may be volatile, and investors could lose all or part of their investment.</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price of our common stock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Broad market and industry factors may negatively affect the market price of our common stock, regardless of our actual operating performance. In addition to the factors discussed in this "Risk Factors" section and elsewhere in this Quarterly Report, these factors include: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timing and results of INDs, preclinical studies and clinical trials of our therapeutic candidates or those of our competitors;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success of competitive products or announcements by potential competitors of their product development efforts;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our decision to initiate a clinical trial, not to initiate a clinical trial or to terminate an existing clinical trial;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any delay in our regulatory filings for our therapeutic candidates and any adverse development or perceived adverse development with respect to the applicable regulatory authority's review of such filings;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adverse developments concerning our potential future in-house manufacturing facilities or CMOs;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regulatory actions with respect to our therapeutics or therapeutic candidates or our competitors' products or therapeutic candidates;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actual or anticipated changes in our growth rate relative to our competitors;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size and growth of our initial target markets;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unanticipated serious safety concerns related to the use of our therapeutic candidates;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regulatory or legal developments in the U.S. and other countries;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developments or disputes concerning patent applications, issued patents or other proprietary rights;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significant lawsuits, including patent or stockholder litigation;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publication of research reports about us or our industry, or positive or negative recommendations or withdrawal of research coverage by securities analysts;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recruitment or departure of key personnel;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announcements by us or our competitors of significant acquisitions, strategic collaborations, joint ventures, collaborations or capital commitments;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actual or anticipated changes in estimates as to financial results, development timelines or recommendations by securities analysts;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fluctuations in the valuation of companies perceived by investors to be comparable to us;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market conditions in the pharmaceutical and biotechnology sector;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changes in the structure of healthcare payment systems;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share price and volume fluctuations attributable to inconsistent trading volume levels of our shares;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our failure to meet the estimates and projections of the investment community or that we may otherwise provide to the public;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announcement or expectation of additional financing efforts;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sales of our common stock by us, our insiders or our other stockholders;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expiration of market stand-off or lock-up agreements;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impact of any natural disasters or public health emergencies;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general macroeconomic, geopolitical, industry and market conditions such as recessions, interest rates, fuel prices, foreign currency fluctuations, tariffs (including tariffs that have been or may in the future be imposed by the United States or other countries), sanctions, trade protection measures or other trade barriers (including further legislation or actions taken by the United States or other countries that restrict trade), social, political and economic risks and military acts of war or terrorism;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451485"/>
                <wp:effectExtent l="0" t="0" r="0" b="0"/>
                <wp:wrapNone/>
                <wp:docPr id="98" name="Frame9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other events or factors, many of which are beyond our control.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lineRule="auto" w:line="268" w:before="240" w:after="283"/>
        <w:jc w:val="left"/>
        <w:rPr/>
      </w:pPr>
      <w:r>
        <w:rPr>
          <w:rFonts w:ascii="Times New Roman;serif" w:hAnsi="Times New Roman;serif"/>
          <w:b/>
          <w:i/>
          <w:color w:val="000000"/>
          <w:sz w:val="20"/>
        </w:rPr>
        <w:t>If securities or industry analysts do not publish research or reports, or if they publish adverse or misleading research or reports, regarding us, our business or our market, our stock price and trading volume could decline.</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common stock will be influenced by the research and reports that securities or industry analysts publish about us, our business or our market. In the event that one or more of the analysts who covers us issues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Our failure or perceived failure to achieve our corporate sustainability goals or maintain corporate sustainability practices that meet evolving stakeholder expectations could adversely affect us.</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achieve published corporate sustainability goals and commitments is subject to numerous factors both within and outside of our control. Our failure or perceived failure to achieve our corporate sustainability goals or maintain corporate sustainability practices that meet stakeholder expectations or regulatory requirements could harm our reputation, adversely impact our ability to attract and retain employees or customers and expose us to increased scrutiny from the investment community, regulatory authorities and others or subject us to liability. Our reputation also may be harmed by the perceptions that our customers, employees and other stakeholders have about our action or inaction on corporate sustainability issues. In addition, the increasing prevalence of corporate sustainability laws and regulations across the jurisdictions in which we operate may increase compliance risks and costs and, together with differing views on the appropriate role of sustainability practices and disclosures, may subject us to greater stakeholder scrutiny. Any potential damage to our reputation or loss of brand equity may adversely impact our business.</w:t>
      </w:r>
    </w:p>
    <w:p>
      <w:pPr>
        <w:pStyle w:val="TextBody"/>
        <w:bidi w:val="0"/>
        <w:spacing w:lineRule="auto" w:line="268" w:before="240" w:after="283"/>
        <w:jc w:val="left"/>
        <w:rPr/>
      </w:pPr>
      <w:r>
        <w:rPr>
          <w:rFonts w:ascii="Times New Roman;serif" w:hAnsi="Times New Roman;serif"/>
          <w:b/>
          <w:i/>
          <w:color w:val="000000"/>
          <w:sz w:val="20"/>
        </w:rPr>
        <w:t>Unstable market and global economic conditions, political instability and geopolitical events may have serious adverse consequences on our business, financial condition and stock price.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widely reported,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For example, inflation generally affects us by increasing our employee-related costs and clinical trial expenses, as well as other operating expenses.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Further, changing circumstances, some of which may be beyond our control, could cause us to consume capital significantly faster than we currently anticipate, and we may need to seek additional funds sooner than planned. Our business could also be impacted by volatility caused by geopolitical events within the United States and foreign jurisdictions, including as a result of an economic downturn and geopolitical events, such as changes in the U.S. federal policy that affect the geopolitical landscape and ongoing military conflicts, such as the recent conflict in Iran, as well as ongoing conflicts in Ukraine and in the Middle East. Although the length and impact of the ongoing military conflicts is highly unpredictable, the ongoing conflicts between Russia and Ukraine, the U.S. and Iran, and in the Middle East have led to market disruptions, including significant volatility in commodity prices, credit and capital markets, as well as supply chain interruptions, which contributed to record inflation globally. We are continuing to monitor inflation, the situations in Ukraine and the Middle East and global capital markets and assessing their potential impact on our business, including the impact on the supply chains we rely on for the manufacture of our product and product candidates and related raw materials. Sanctions imposed by the U.S. and other countries in response to such conflicts may also continue to adversely impact the financial markets and the global economy, and any economic countermeasures by the affected countries or others could exacerbate market and economic instability. Additionally, changes to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For example, on October 1, 2025, the U.S. federal government shutdown through November 12, 2025, suspending services deemed non-essential as a result of the failure by Congress to enact regular appropriations for the 2026 fiscal year. If we experience another prolonged government shutdown, it could result in increased uncertainty and volatility in the global economy and financial markets which could have a material adverse effect on our business. There can be no assurance that further deterioration in credit and financial markets and confidence in economic conditions will not occur, including as a result of heightened geopolitical tensions or increasing concerns regarding a potential global recession. If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451485"/>
                <wp:effectExtent l="0" t="0" r="0" b="0"/>
                <wp:wrapNone/>
                <wp:docPr id="99" name="Frame9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current equity and credit markets deteriorate, or do not improve, it may make any necessary debt or equity financing more difficult, more costly, and more dilutive.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Failure to secure any necessary financing in a timely manner and on favorable terms could have a material adverse event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 For example, the BIOSECURE Act, signed into law as part of the recently-enacted NDAA, may restrict the ability of U.S. biopharmaceutical companies to purchase services or products from, or otherwise collaborate with, certain Chinese biotechnology companies of concern without losing the ability to contract with, or otherwise receive funding from, the U.S. government. We continue to assess the legislation as it develops to determine whether it could have an effect on our contractual relationships. Also,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To the extent that our profitability and strategies are negatively affected by downturns or volatility in general economic conditions, our business and results of operations may be materially adversely affected.</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stock price may decline due in part to the volatility of the stock market and the general economic downturn.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business is affected by macroeconomic conditions, including inflationary pressure, tariffs, interest rates and supply chain constraints.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Various macroeconomic factors could adversely affect our business and the results of our operations and financial condition, including changes in inflation, interest rates, tariffs and overall economic conditions and uncertainties such as those resulting from the current and future conditions in the global financial markets. Recent supply chain constraints have led to higher inflation, which if sustained could have a negative impact on our product development and operations. If inflation or other factors were to significantly increase our business costs, our ability to develop our current pipeline and new therapeutic products may be negatively affected. Interest rates, the liquidity of the credit markets and the volatility of the capital markets could also affect the operation of our business and our ability to raise capital on favorable terms, or at all, in order to fund our operations. Similarly, these macroeconomic factors could affect the ability of our third-party suppliers and manufacturers to manufacture clinical trial materials for our product candidates.</w:t>
      </w:r>
    </w:p>
    <w:p>
      <w:pPr>
        <w:pStyle w:val="TextBody"/>
        <w:bidi w:val="0"/>
        <w:spacing w:lineRule="auto" w:line="268" w:before="240" w:after="283"/>
        <w:jc w:val="left"/>
        <w:rPr/>
      </w:pPr>
      <w:r>
        <w:rPr>
          <w:rFonts w:ascii="Times New Roman;serif" w:hAnsi="Times New Roman;serif"/>
          <w:b/>
          <w:i/>
          <w:color w:val="000000"/>
          <w:sz w:val="20"/>
        </w:rPr>
        <w:t>Our principal stockholders and management own a significant percentage of our stock and will be able to exert significant control over matters subject to stockholder approval.</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executive officers, directors, holders of 5% or more of our capital stock and their respective affiliates beneficially owned approximately 66% of our outstanding voting stock as of June 30, 2026. These stockholders, acting together,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investors may feel are in their best interest as one of our stockholders. The interests of this group of stockholders may not always coincide with each investor's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 </w:t>
      </w:r>
    </w:p>
    <w:p>
      <w:pPr>
        <w:pStyle w:val="TextBody"/>
        <w:bidi w:val="0"/>
        <w:spacing w:lineRule="auto" w:line="268" w:before="240" w:after="283"/>
        <w:jc w:val="left"/>
        <w:rPr/>
      </w:pPr>
      <w:r>
        <w:rPr>
          <w:rFonts w:ascii="Times New Roman;serif" w:hAnsi="Times New Roman;serif"/>
          <w:b/>
          <w:i/>
          <w:color w:val="000000"/>
          <w:sz w:val="20"/>
        </w:rPr>
        <w:t>Future sales and issuances of our common stock or rights to purchase common stock, including pursuant to our 2021 Plan and 2025 Inducement Equity Plan, could result in additional dilution of the percentage ownership of our stockholders and could cause our stock price to fall.</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significant additional capital may be needed in the future to continue our planned operations, including conducting clinical trials, supporting commercialization efforts, expanding research and development activities for key preclinical programs and covering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our 2021 Stock Option and Incentive Plan, as amended (the "2021 Plan"), our management is authorized to grant stock options to our employees, directors and consultants. Additionally, pursuant to our 2025 Inducement Equity Plan, as amended (the "2025 Inducement Plan"), our board of directors or compensation committee of the board of directors are authorized to grant equity awards to induce highly qualified prospective employees who are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451485"/>
                <wp:effectExtent l="0" t="0" r="0" b="0"/>
                <wp:wrapNone/>
                <wp:docPr id="100" name="Frame9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currently employed by the Company to accept employment with the Company. If the number of shares reserved under our 2021 Plan and/or the 2025 Inducement Plan is increased pursuant to the terms of the 2021 Plan and the 2025 Inducement Plan, as applicable, our stockholders may experience additional dilution, which could cause our stock price to fall.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of the above events could significantly harm our business, prospects, financial condition and results of operations and cause the price of our common stock to decline. </w:t>
      </w:r>
    </w:p>
    <w:p>
      <w:pPr>
        <w:pStyle w:val="TextBody"/>
        <w:bidi w:val="0"/>
        <w:spacing w:lineRule="auto" w:line="268" w:before="240" w:after="283"/>
        <w:jc w:val="left"/>
        <w:rPr/>
      </w:pPr>
      <w:r>
        <w:rPr>
          <w:rFonts w:ascii="Times New Roman;serif" w:hAnsi="Times New Roman;serif"/>
          <w:b/>
          <w:i/>
          <w:color w:val="000000"/>
          <w:sz w:val="20"/>
        </w:rPr>
        <w:t>Raising additional capital may cause dilution to our stockholders, restrict our operations or require us to relinquish rights to our technologies or therapeutic candidates.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have any committed external source of funds or other support for our development and commercialization efforts, and we cannot be certain that additional funding will be available on acceptable terms, or at all. Until such time, if ever, as we can generate substantial product revenues, we expect to finance our cash needs through equity offerings, including potentially through our at-the-market offering program, debt financings, or other capital sources, including potential collaborations, licenses and other similar arrangements. To the extent that we raise additional capital through the sale of equity or convertible debt securities, our stockholders' ownership interest will be diluted, and the terms of these securities may include liquidation or other preferences that adversely affect our stockholders' rights. Any future debt financing and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our recurring losses from operations and recurring negative cash flows from operations, there is uncertainty regarding our ability to maintain liquidity sufficient to operate our business effectively. If we raise additional funds through future collaborations, licenses and other similar arrangements, we may have to relinquish valuable rights to our future revenue streams, research programs, therapeutic candidates or EEV Platform,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therapeutic candidates that we would otherwise prefer to develop and market ourselves. Any of the above events could significantly harm our business, prospects, financial condition and results of operations and cause the price of our common stock to decline. </w:t>
      </w:r>
    </w:p>
    <w:p>
      <w:pPr>
        <w:pStyle w:val="TextBody"/>
        <w:bidi w:val="0"/>
        <w:spacing w:lineRule="auto" w:line="268" w:before="240" w:after="283"/>
        <w:jc w:val="left"/>
        <w:rPr/>
      </w:pPr>
      <w:r>
        <w:rPr>
          <w:rFonts w:ascii="Times New Roman;serif" w:hAnsi="Times New Roman;serif"/>
          <w:b/>
          <w:i/>
          <w:color w:val="000000"/>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an "emerging growth company," as defined in the Jumpstart Our Business Startups Act of 2012 ("JOBS Act"). For as long as we continue to be an emerging growth company, we intend to take advantage of exemptions from various reporting requirements that are applicable to other public companies that are not emerging growth companies, including: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not being required to comply with the auditor attestation requirements of Section 404 of the Sarbanes-Oxley Act of 2002, as amended ("Sarbanes-Oxley Act");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reduced disclosure obligations regarding executive compensation in our periodic reports and proxy statements; and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exemptions from the requirements of holding nonbinding advisory stockholder votes on executive compensation and stockholder approval of any golden parachute payments not previously approved.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will remain an emerging growth company until the earliest to occur of: (i) the last day of the fiscal year in which we have more than $1.235 billion in annual revenue; (ii) the date we qualify as a "large accelerated filer," with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451485"/>
                <wp:effectExtent l="0" t="0" r="0" b="0"/>
                <wp:wrapNone/>
                <wp:docPr id="101" name="Frame9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least $700.0 million of equity securities held by non-affiliates; (iii) the date on which we have issued more than $1.0 billion in non-convertible debt securities during the prior three-year period; and (iv) the last day of the fiscal year ending after the fifth anniversary of our initial public offering.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Even after we no longer qualify as an emerging growth company, we may still qualify as a "smaller reporting company,"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cannot predict if investors will find our common stock less attractive because we may rely on these exemptions. </w:t>
      </w:r>
    </w:p>
    <w:p>
      <w:pPr>
        <w:pStyle w:val="TextBody"/>
        <w:bidi w:val="0"/>
        <w:spacing w:lineRule="auto" w:line="268" w:before="240" w:after="283"/>
        <w:jc w:val="left"/>
        <w:rPr/>
      </w:pPr>
      <w:r>
        <w:rPr>
          <w:rFonts w:ascii="Times New Roman;serif" w:hAnsi="Times New Roman;serif"/>
          <w:b/>
          <w:i/>
          <w:color w:val="000000"/>
          <w:sz w:val="20"/>
        </w:rPr>
        <w:t>We do not intend to pay dividends on our common stock so any returns will be limited to the value of our stock.</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 </w:t>
      </w:r>
    </w:p>
    <w:p>
      <w:pPr>
        <w:pStyle w:val="TextBody"/>
        <w:bidi w:val="0"/>
        <w:spacing w:lineRule="auto" w:line="268" w:before="240" w:after="283"/>
        <w:jc w:val="left"/>
        <w:rPr/>
      </w:pPr>
      <w:r>
        <w:rPr>
          <w:rFonts w:ascii="Times New Roman;serif" w:hAnsi="Times New Roman;serif"/>
          <w:b/>
          <w:i/>
          <w:color w:val="000000"/>
          <w:sz w:val="20"/>
        </w:rPr>
        <w:t>Anti-takeover provisions in our certificate of incorporation, our bylaws and Delaware law might discourage, delay or prevent a change in control of our company or changes in our management and, therefore, depress the market price of our common stock.</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Fourth Amended and Restated Certificate of Incorporation, as amended ("Charter"), and our Amended and Restated Bylaws ("Bylaws") contain provisions that could depress the market price of our common stock by acting to discourage, delay or prevent a change in control of our company or changes in our management that the stockholders of our company may deem advantageous. These provisions include, among other things: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 board of directors divided into three classes serving staggered three-year terms, such that not all members of the board will be elected at one time;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 prohibition on stockholder actions through written consent, which requires that all stockholder actions be taken at a meeting of our stockholders;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 requirement that special meetings of stockholders be called only by the board of directors acting pursuant to a resolution approved by the affirmative vote of a majority of the directors then in office;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advance notice requirements for stockholder proposals and nominations for election to our board of directors;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a requirement of approval of not less than two-thirds of all outstanding shares of our voting stock to amend any bylaws by stockholder action;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a requirement of approval by the affirmative vote of a majority of the outstanding shares of our voting stock to amend or repeal specified provisions of our certificate of incorporation, and the affirmative vote of a majority of the outstanding shares of each class entitled to vote thereon as a class, at a duly constituted meeting of stockholders called expressly for such purpose; and</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 xml:space="preserve">the authority of the board of directors to issue preferred stock on terms determined by the board of directors without stockholder approval and which preferred stock may include rights superior to the rights of the holders of common stock.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provision of our Charter, our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451485"/>
                <wp:effectExtent l="0" t="0" r="0" b="0"/>
                <wp:wrapNone/>
                <wp:docPr id="102" name="Frame9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pPr>
      <w:r>
        <w:rPr>
          <w:rFonts w:ascii="Times New Roman;serif" w:hAnsi="Times New Roman;serif"/>
          <w:b/>
          <w:i/>
          <w:color w:val="000000"/>
          <w:sz w:val="20"/>
        </w:rPr>
        <w:t>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Bylaws provide that, unless we consent in writing to an alternative forum, the Court of Chancery of the State of Delaware is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DGCL, our certificate of incorporation or our bylaws or (iv) any action asserting a claim that is governed by the internal affairs doctrine, in each case subject to the Court of Chancery having personal jurisdiction over the indispensable parties named as defendants therein ("Delaware Forum Provision"). The Delaware Forum Provision will not apply to any causes of action arising under the Securities Act or the Securities Exchange Act of 1934, as amended (the "Exchange Act"). Our Bylaws further provide that, unless we consent in writing to the selection of an alternative forum, the federal district courts of the U.S. shall be the sole and exclusive forum for resolving any complaint asserting a cause or causes of action arising under the Securities Act ("Federal Forum Provision"). In addition, our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Delaware Forum Provision and the Federal Forum Provision in our Bylaws may impose additional litigation costs on stockholders in pursuing any such claims. Additionally, the forum selection clauses in our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pPr>
      <w:r>
        <w:rPr>
          <w:rFonts w:ascii="Times New Roman;serif" w:hAnsi="Times New Roman;serif"/>
          <w:b/>
          <w:color w:val="000000"/>
          <w:sz w:val="20"/>
        </w:rPr>
        <w:t>General Risk Factors</w:t>
      </w:r>
      <w:r>
        <w:rPr>
          <w:color w:val="000000"/>
        </w:rPr>
        <w:t xml:space="preserve"> </w:t>
      </w:r>
    </w:p>
    <w:p>
      <w:pPr>
        <w:pStyle w:val="TextBody"/>
        <w:bidi w:val="0"/>
        <w:spacing w:lineRule="auto" w:line="268" w:before="240" w:after="283"/>
        <w:jc w:val="left"/>
        <w:rPr/>
      </w:pPr>
      <w:r>
        <w:rPr>
          <w:rFonts w:ascii="Times New Roman;serif" w:hAnsi="Times New Roman;serif"/>
          <w:b/>
          <w:i/>
          <w:color w:val="000000"/>
          <w:sz w:val="20"/>
        </w:rPr>
        <w:t>We have incurred and will continue to incur increased costs as a result of operating as a public company, and our management is required to devote substantial time to related compliance initiatives.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public company, we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Nasdaq. Our management and other personnel devote and will need to continue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we expect these rules and regulations to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as a public company, we are required to incur additional costs and obligations in order to comply with SEC rules that implement Section 404 of the Sarbanes-Oxley Act. Under these rules, beginning with our second annual report on Form 10-K after we became a public company, we are required to make a formal assessment of the effectiveness of our internal control over financial reporting, and once we cease to be an emerging growth company, we may be required to include an attestation report on internal control over financial reporting issued by our independent registered public accounting firm. To achieve compliance with Section 404, we are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451485"/>
                <wp:effectExtent l="0" t="0" r="0" b="0"/>
                <wp:wrapNone/>
                <wp:docPr id="103" name="Frame9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pPr>
      <w:r>
        <w:rPr>
          <w:rFonts w:ascii="Times New Roman;serif" w:hAnsi="Times New Roman;serif"/>
          <w:b/>
          <w:i/>
          <w:color w:val="000000"/>
          <w:sz w:val="20"/>
        </w:rPr>
        <w:t>If we experience material weaknesses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in the future discover material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stock exchange on which our common stock is listed, the SEC or other regulatory authorities. </w:t>
      </w:r>
    </w:p>
    <w:p>
      <w:pPr>
        <w:pStyle w:val="TextBody"/>
        <w:bidi w:val="0"/>
        <w:spacing w:lineRule="auto" w:line="268" w:before="240" w:after="283"/>
        <w:jc w:val="left"/>
        <w:rPr/>
      </w:pPr>
      <w:r>
        <w:rPr>
          <w:rFonts w:ascii="Times New Roman;serif" w:hAnsi="Times New Roman;serif"/>
          <w:b/>
          <w:i/>
          <w:color w:val="000000"/>
          <w:sz w:val="20"/>
        </w:rPr>
        <w:t>Our disclosure controls and procedures may not prevent or detect all errors or acts of fraud.</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lineRule="auto" w:line="268" w:before="240" w:after="283"/>
        <w:jc w:val="left"/>
        <w:rPr/>
      </w:pPr>
      <w:r>
        <w:rPr>
          <w:rFonts w:ascii="Times New Roman;serif" w:hAnsi="Times New Roman;serif"/>
          <w:b/>
          <w:i/>
          <w:color w:val="000000"/>
          <w:sz w:val="20"/>
        </w:rPr>
        <w:t>We may be subject to securities litigation, which is expensive and could divert management attention.</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 </w:t>
      </w:r>
    </w:p>
    <w:p>
      <w:pPr>
        <w:pStyle w:val="TextBody"/>
        <w:bidi w:val="0"/>
        <w:spacing w:lineRule="auto" w:line="268" w:before="240" w:after="283"/>
        <w:jc w:val="left"/>
        <w:rPr/>
      </w:pPr>
      <w:r>
        <w:rPr>
          <w:rFonts w:ascii="Times New Roman;serif" w:hAnsi="Times New Roman;serif"/>
          <w:b/>
          <w:i/>
          <w:color w:val="000000"/>
          <w:sz w:val="20"/>
        </w:rPr>
        <w:t>Our insurance policies are expensive and only protect us from some business risks, which will leave us exposed to significant uninsured liabilities.</w:t>
      </w:r>
      <w:r>
        <w:rPr>
          <w:color w:val="000000"/>
        </w:rPr>
        <w:t xml:space="preserv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carry insurance for all categories of risk that our business may encounter. Some of the policies we currently maintain include property, general liability, employment benefits liability, business automobile, workers' compensation, and directors' and officers', employment practices and fiduciary liability insurance. We do not know, however, if we will be able to maintain insurance with adequate levels of coverage. Any significant uninsured liability may require us to pay substantial amounts, which would adversely affect our financial position and results of operations.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Disruptions at the FDA, the SEC and other U.S. government agencies caused by reduction in staffing,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Federal agencies in the U.S., including the FDA, the SEC and other comparable regulatory authorities, operate pursuant to annual appropriations and other political and budgetary processes, and may from time to time be subject to continuing resolutions, funding lapses, or other fiscal restraints. The FDA is currently funded through September 30, 2026. The ability of the FDA and other comparable regulatory authorities to review and approve new products can be affected by a variety of factors, including government budget and funding levels, statutory, regulatory, leadership and policy changes, the FDA's or other comparable regulatory authorities' ability to hire and retain key personnel and accept the payment of user fees, and other events that may otherwise affect the FDA's or other comparable regulatory authorities' ability to perform routine functions. Average review times at the FDA and other comparable regulatory authorities have fluctuated in recent years and may continue to fluctuate as a result of these factors. In addition, government funding of the SEC and other U.S. government agencies on which our operations may rely, including those that fund research and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451485"/>
                <wp:effectExtent l="0" t="0" r="0" b="0"/>
                <wp:wrapNone/>
                <wp:docPr id="104" name="Frame10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activities, is subject to the political process, including executive and congressional priorities, which is inherently fluid and unpredictable. For example, the Trump Administration has issued executive orders seeking to greatly reduce the size of the federal workforce, including through layoffs and severance packages offered to employees of federal agencies within the executive branch and independent agencies, including the FDA. Any such reduction in personnel may result in longer review times by the FDA and other agencies.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Disruptions and personnel turnover, as a result of leadership changes, staff reductions or otherwise at the FDA, the SEC and other agencies may also slow the time necessary for new drugs and biologics or modifications to approved drugs and biologics to be reviewed and/or approved by necessary government agencies, which would adversely affect our business. For example, in 2025, changes and cuts in FDA staffing have been reported as resulting in delays in the FDA's responsiveness or in its ability to review IND submissions or marketing applications, issue regulations or guidance, or implement or enforce regulatory requirements in a timely fashion or at all. Also, state governments may seek to address or react to changes at the federal level with changes to their regulatory frameworks in a manner that could impact our operations.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Over the last several years, including from October 1, 2025 to November 12, 2025, the U.S. government has shut down several times and certain regulatory agencies, such as the FDA and the SEC, have had to furlough critical employees and stop critical activities. If a prolonged government shutdown occurs again, or a widespread freeze on federal funding occurs in the future or if global health concerns or staffing changes prevent the FDA, the SEC or other regulatory authorities from conducting their regular inspections, reviews, or other regulatory activities, including formal and informal interactions with product developers, it could significantly impact the ability of the FDA or other such regulatory authorities to timely review and process our future regulatory submissions, which could have a material adverse effect on our business. Further, in our operations as a public company, future government shutdowns and/or substantial leadership, personnel, and policy changes at the SEC could impact our business be delaying review of our public filings, which in turn could delay our frustrate our ability to access the public markets and obtain necessary capital in order to properly capitalize and continue our operations or delay the review or effectiveness of required regulatory or securities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Set forth below is information regarding shares of equity securities sold, and options granted, by us during the three months ended June 30, 2026 that were not registered under the Securities Act of 1933, as amended (the "Securities Act").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Sales of Unregistered Equity Securities</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Purchase of Equity Securities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Rule 10b5-1 Trading Arrangements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our officers (as defined in Rule 16a–1(f)) and directors may enter into Rule 10b5-1 or non-Rule 10b5-1 trading arrangements (as each such term is defined in Item 408 of Regulation S-K). During the three months ended June 30, 2026, our officers and directors took the following actions with respect to 10b5-1 trading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451485"/>
                <wp:effectExtent l="0" t="0" r="0" b="0"/>
                <wp:wrapNone/>
                <wp:docPr id="105" name="Frame10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28"/>
        <w:gridCol w:w="464"/>
        <w:gridCol w:w="375"/>
        <w:gridCol w:w="204"/>
        <w:gridCol w:w="204"/>
        <w:gridCol w:w="208"/>
        <w:gridCol w:w="109"/>
        <w:gridCol w:w="109"/>
        <w:gridCol w:w="109"/>
        <w:gridCol w:w="186"/>
        <w:gridCol w:w="186"/>
        <w:gridCol w:w="191"/>
        <w:gridCol w:w="109"/>
        <w:gridCol w:w="109"/>
        <w:gridCol w:w="109"/>
        <w:gridCol w:w="671"/>
        <w:gridCol w:w="671"/>
        <w:gridCol w:w="673"/>
        <w:gridCol w:w="147"/>
        <w:gridCol w:w="147"/>
        <w:gridCol w:w="147"/>
        <w:gridCol w:w="539"/>
        <w:gridCol w:w="539"/>
        <w:gridCol w:w="558"/>
        <w:gridCol w:w="109"/>
        <w:gridCol w:w="109"/>
        <w:gridCol w:w="109"/>
        <w:gridCol w:w="423"/>
        <w:gridCol w:w="423"/>
        <w:gridCol w:w="425"/>
        <w:gridCol w:w="109"/>
        <w:gridCol w:w="109"/>
        <w:gridCol w:w="109"/>
        <w:gridCol w:w="285"/>
        <w:gridCol w:w="285"/>
        <w:gridCol w:w="418"/>
      </w:tblGrid>
      <w:tr>
        <w:trPr/>
        <w:tc>
          <w:tcPr>
            <w:tcW w:w="52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Arrangement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(Title)</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Type of Trading Arrangement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Nature of Trading Arrangement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Aggregate Maximum Number of Shares that may be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Expiration Date</w:t>
            </w:r>
          </w:p>
        </w:tc>
      </w:tr>
      <w:tr>
        <w:trPr/>
        <w:tc>
          <w:tcPr>
            <w:tcW w:w="13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Nathan Dowden (President and Chief Operating Officer)</w:t>
            </w:r>
          </w:p>
        </w:tc>
        <w:tc>
          <w:tcPr>
            <w:tcW w:w="6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Adopt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6/3/2026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Trading plan intended to satisfy the affirmative defense conditions of Securities Exchange Act Rule 10b5-1(c)</w:t>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Sale of the Company's common stock pursuant to the terms of the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73,538(1)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6/5/2027</w:t>
            </w:r>
          </w:p>
        </w:tc>
      </w:tr>
    </w:tbl>
    <w:p>
      <w:pPr>
        <w:pStyle w:val="TextBody"/>
        <w:bidi w:val="0"/>
        <w:spacing w:lineRule="auto" w:line="26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(1)For purposes of this disclosure, the shares included in this table reflect the aggregate maximum number of shares that may be sold under the 10b5-1 trading arrangement. This 10b5-1 trading arrangement covers RSUs, shares underlying stock options exercisable and shares held by the officer. The actual number of shares that may be sold under the 10b5-1 trading arrangement will be calculated as RSU vesting to satisfy tax withholding obligations pursuant to the Company's non-discretionary sell-to-cover requirement occurs.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451485"/>
                <wp:effectExtent l="0" t="0" r="0" b="0"/>
                <wp:wrapNone/>
                <wp:docPr id="106" name="Frame10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exhibits listed on the Exhibit Index immediately preceding such exhibits, which is incorporated herein by reference, are filed or furnished as part of this Quarterly Report on Form 10-Q ("Quarterly Report").</w:t>
      </w:r>
    </w:p>
    <w:tbl>
      <w:tblPr>
        <w:tblW w:w="10205" w:type="dxa"/>
        <w:jc w:val="left"/>
        <w:tblInd w:w="0" w:type="dxa"/>
        <w:tblLayout w:type="fixed"/>
        <w:tblCellMar>
          <w:top w:w="28" w:type="dxa"/>
          <w:left w:w="28" w:type="dxa"/>
          <w:bottom w:w="28" w:type="dxa"/>
          <w:right w:w="28" w:type="dxa"/>
        </w:tblCellMar>
      </w:tblPr>
      <w:tblGrid>
        <w:gridCol w:w="316"/>
        <w:gridCol w:w="278"/>
        <w:gridCol w:w="279"/>
        <w:gridCol w:w="109"/>
        <w:gridCol w:w="109"/>
        <w:gridCol w:w="109"/>
        <w:gridCol w:w="2700"/>
        <w:gridCol w:w="2597"/>
        <w:gridCol w:w="3708"/>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3708" w:type="dxa"/>
            <w:tcBorders/>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Fourth Amended and Restated Certificate of Incorporation of the Registrant (incorporated by reference to Exhibit 3.1 to the Current Report on Form 8-K filed by the Registrant on November 2, 2021).</w:t>
              </w:r>
            </w:hyperlink>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Certificate of Amendment to the Fourth Amended and Restated Certificate of Incorporation of the Registrant (incorporated by reference to Exhibit 3.1 to the Current Report on Form 8-K filed by the Registrant on June 13, 2024).</w:t>
              </w:r>
            </w:hyperlink>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Amended and Restated Bylaws of the Registrant (incorporated by reference to Exhibit 3.2 to the Current Report on Form 8-K filed by the Registrant on November 2, 2021).</w:t>
              </w:r>
            </w:hyperlink>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Specimen Common Stock Certificate (incorporated by reference to Exhibit 4.1 to the Registration Statement on Form S-1 filed by the Registrant on October 25, 2021).</w:t>
              </w:r>
            </w:hyperlink>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80"/>
                  <w:sz w:val="20"/>
                  <w:u w:val="single"/>
                </w:rPr>
                <w:t>Amended and Restated Investors</w:t>
              </w:r>
            </w:hyperlink>
            <w:hyperlink r:id="rId11">
              <w:r>
                <w:rPr>
                  <w:rStyle w:val="InternetLink"/>
                  <w:rFonts w:ascii="Times New Roman;serif" w:hAnsi="Times New Roman;serif"/>
                  <w:b w:val="false"/>
                  <w:color w:val="000080"/>
                  <w:sz w:val="20"/>
                  <w:u w:val="single"/>
                </w:rPr>
                <w:t>'</w:t>
              </w:r>
            </w:hyperlink>
            <w:hyperlink r:id="rId12">
              <w:r>
                <w:rPr>
                  <w:rStyle w:val="InternetLink"/>
                  <w:rFonts w:ascii="Times New Roman;serif" w:hAnsi="Times New Roman;serif"/>
                  <w:b w:val="false"/>
                  <w:color w:val="000080"/>
                  <w:sz w:val="20"/>
                  <w:u w:val="single"/>
                </w:rPr>
                <w:t xml:space="preserve"> Rights Agreement among the Registrant and certain of its stockholders, effective as of March 29, 2021 (incorporated by reference to Exhibit 4.2 to the Registration Statement on Form S-1 filed by the Registrant on October 8, 2021).</w:t>
              </w:r>
            </w:hyperlink>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0"/>
                  <w:u w:val="single"/>
                </w:rPr>
                <w:t>Form of Pre-Funded Warrant (incorporated by reference to Exhibit 4.1 to the Current Report on Form 8-K filed by the Registrant on June 24, 2024).</w:t>
              </w:r>
            </w:hyperlink>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20"/>
                  <w:u w:val="single"/>
                </w:rPr>
                <w:t>Amendment No. 1 to Entrada Therapeutics, Inc. 2021 Stock Option and Incentive Plan (incorporated by reference to Exhibit 10.1 to the Current Report on Form 8-K filed by the Registrant on June 10, 2026).</w:t>
              </w:r>
            </w:hyperlink>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80"/>
                  <w:sz w:val="20"/>
                  <w:u w:val="single"/>
                </w:rPr>
                <w:t>Amendment No. 1 to Entrada Therapeutics, Inc. 2021 Employ</w:t>
              </w:r>
            </w:hyperlink>
            <w:hyperlink r:id="rId16">
              <w:r>
                <w:rPr>
                  <w:rStyle w:val="InternetLink"/>
                  <w:rFonts w:ascii="Times New Roman;serif" w:hAnsi="Times New Roman;serif"/>
                  <w:b w:val="false"/>
                  <w:color w:val="000080"/>
                  <w:sz w:val="20"/>
                  <w:u w:val="single"/>
                </w:rPr>
                <w:t>e</w:t>
              </w:r>
            </w:hyperlink>
            <w:hyperlink r:id="rId17">
              <w:r>
                <w:rPr>
                  <w:rStyle w:val="InternetLink"/>
                  <w:rFonts w:ascii="Times New Roman;serif" w:hAnsi="Times New Roman;serif"/>
                  <w:b w:val="false"/>
                  <w:color w:val="000080"/>
                  <w:sz w:val="20"/>
                  <w:u w:val="single"/>
                </w:rPr>
                <w:t>e Stock Purchase Plan (incorporated by reference to Exhibit 10.1 to the Current Report on Form 8-K filed by the Registrant on June 10, 2026).</w:t>
              </w:r>
            </w:hyperlink>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trda-20260630x10qe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r>
              <w:rPr>
                <w:rFonts w:ascii="Times New Roman;serif" w:hAnsi="Times New Roman;serif"/>
                <w:b w:val="false"/>
                <w:color w:val="000000"/>
                <w:sz w:val="20"/>
              </w:rPr>
              <w:t>.</w:t>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trda-20260630x10qe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r>
              <w:rPr>
                <w:rFonts w:ascii="Times New Roman;serif" w:hAnsi="Times New Roman;serif"/>
                <w:b w:val="false"/>
                <w:color w:val="000000"/>
                <w:sz w:val="20"/>
              </w:rPr>
              <w:t>.</w:t>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trda-20260630x10qex321.htm">
              <w:r>
                <w:rPr>
                  <w:rStyle w:val="InternetLink"/>
                  <w:rFonts w:ascii="Times New Roman;serif" w:hAnsi="Times New Roman;serif"/>
                  <w:b w:val="false"/>
                  <w:color w:val="0000FF"/>
                  <w:sz w:val="20"/>
                  <w:u w:val="single"/>
                </w:rPr>
                <w:t>Certifications of Principal Executive Officer and Principal Financial Officer Pursuant to 18 U.S.C. Section 1350, as Adopted Pursuant to Section 906 of the Sarbanes-Oxley Act of 2002</w:t>
              </w:r>
            </w:hyperlink>
            <w:r>
              <w:rPr>
                <w:rFonts w:ascii="Times New Roman;serif" w:hAnsi="Times New Roman;serif"/>
                <w:b w:val="false"/>
                <w:color w:val="000000"/>
                <w:sz w:val="20"/>
              </w:rPr>
              <w:t>.</w:t>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as Inline XBRL with applicable taxonomy extension information contained in Exhibits 101)</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60" w:after="283"/>
        <w:ind w:left="0" w:right="0" w:hanging="360"/>
        <w:jc w:val="left"/>
        <w:rPr>
          <w:color w:val="000000"/>
        </w:rPr>
      </w:pPr>
      <w:r>
        <w:rPr>
          <w:color w:val="000000"/>
        </w:rPr>
        <w:t>†    </w:t>
      </w:r>
      <w:r>
        <w:rPr>
          <w:rFonts w:ascii="Times New Roman;serif" w:hAnsi="Times New Roman;serif"/>
          <w:b w:val="false"/>
          <w:color w:val="000000"/>
          <w:sz w:val="20"/>
        </w:rPr>
        <w:t>Filed herewith.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The certifications furnished in Exhibit 32.1 hereto are deemed to be furnished with this Quarterly Report and will not be deemed to be "filed" for purposes of Section 18 of the Securities Exchange Act of 1934, as amended, except to the extent that the Registrant specifically incorporates it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Indicates a management contract or any compensatory plan, contract or arrangement.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3467f07267724fc59766f05371e7d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bl>
      <w:tblPr>
        <w:tblW w:w="5580" w:type="dxa"/>
        <w:jc w:val="left"/>
        <w:tblInd w:w="0" w:type="dxa"/>
        <w:tblLayout w:type="fixed"/>
        <w:tblCellMar>
          <w:top w:w="28" w:type="dxa"/>
          <w:left w:w="28" w:type="dxa"/>
          <w:bottom w:w="28" w:type="dxa"/>
          <w:right w:w="28" w:type="dxa"/>
        </w:tblCellMar>
      </w:tblPr>
      <w:tblGrid>
        <w:gridCol w:w="124"/>
        <w:gridCol w:w="109"/>
        <w:gridCol w:w="109"/>
        <w:gridCol w:w="491"/>
        <w:gridCol w:w="491"/>
        <w:gridCol w:w="491"/>
        <w:gridCol w:w="1102"/>
        <w:gridCol w:w="1102"/>
        <w:gridCol w:w="15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8"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ENTRADA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Dipal Doshi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Dipal Doshi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Kory Wentworth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Kory Wentworth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451485"/>
                <wp:effectExtent l="0" t="0" r="0" b="0"/>
                <wp:wrapNone/>
                <wp:docPr id="109" name="Frame10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432"/>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OR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Dipal Doshi,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Form 10-Q for the quarterly period ended June 30, 2026 of Entrada Therapeutics,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bl>
      <w:tblPr>
        <w:tblW w:w="3340"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56"/>
        <w:gridCol w:w="756"/>
        <w:gridCol w:w="1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Dipal Doshi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Dipal Doshi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OR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Kory Wentworth,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Form 10-Q for the quarterly period ended June 30, 2026 of Entrada Therapeutics,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bl>
      <w:tblPr>
        <w:tblW w:w="467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148"/>
        <w:gridCol w:w="1148"/>
        <w:gridCol w:w="16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Kory Wentworth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Kory Wentworth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 OF PRINCIPAL EXECUTIVE OFFICER AND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Entrada Therapeutics, Inc. (the “Company”) for the quarterly period ended June 30, 2026 as filed with the Securities and Exchange Commission on the date hereof (the “Report”), the undersigned hereby certify, pursuant to 18 U.S.C. § 1350, as adopted pursuant to § 906 of the Sarbanes-Oxley Act of 2002, that, to the best of their knowledge: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bl>
      <w:tblPr>
        <w:tblW w:w="3340"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56"/>
        <w:gridCol w:w="756"/>
        <w:gridCol w:w="1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Dipal Doshi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Dipal Doshi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bl>
      <w:tblPr>
        <w:tblW w:w="467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148"/>
        <w:gridCol w:w="1148"/>
        <w:gridCol w:w="16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Kory Wentworth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Kory Wentworth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1689375/000110465921132980/tm2131671d1_ex3-1.htm" TargetMode="External"/><Relationship Id="rId7" Type="http://schemas.openxmlformats.org/officeDocument/2006/relationships/hyperlink" Target="https://www.sec.gov/Archives/edgar/data/1689375/000110465924071249/tm2417220d1_ex3-1.htm" TargetMode="External"/><Relationship Id="rId8" Type="http://schemas.openxmlformats.org/officeDocument/2006/relationships/hyperlink" Target="https://www.sec.gov/Archives/edgar/data/1689375/000110465921132980/tm2131671d1_ex3-2.htm" TargetMode="External"/><Relationship Id="rId9" Type="http://schemas.openxmlformats.org/officeDocument/2006/relationships/hyperlink" Target="https://www.sec.gov/Archives/edgar/data/1689375/000110465921129181/tm2123090d10_ex4-1.htm" TargetMode="External"/><Relationship Id="rId10" Type="http://schemas.openxmlformats.org/officeDocument/2006/relationships/hyperlink" Target="https://www.sec.gov/Archives/edgar/data/1689375/000110465921124689/tm2123090d7_ex4-2.htm" TargetMode="External"/><Relationship Id="rId11" Type="http://schemas.openxmlformats.org/officeDocument/2006/relationships/hyperlink" Target="https://www.sec.gov/Archives/edgar/data/1689375/000110465921124689/tm2123090d7_ex4-2.htm" TargetMode="External"/><Relationship Id="rId12" Type="http://schemas.openxmlformats.org/officeDocument/2006/relationships/hyperlink" Target="https://www.sec.gov/Archives/edgar/data/1689375/000110465921124689/tm2123090d7_ex4-2.htm" TargetMode="External"/><Relationship Id="rId13" Type="http://schemas.openxmlformats.org/officeDocument/2006/relationships/hyperlink" Target="https://www.sec.gov/Archives/edgar/data/1689375/000110465924074130/tm2417848d3_ex4-1.htm" TargetMode="External"/><Relationship Id="rId14" Type="http://schemas.openxmlformats.org/officeDocument/2006/relationships/hyperlink" Target="https://www.sec.gov/Archives/edgar/data/1689375/000110465926072326/tm2617532d1_ex10-1.htm" TargetMode="External"/><Relationship Id="rId15" Type="http://schemas.openxmlformats.org/officeDocument/2006/relationships/hyperlink" Target="https://www.sec.gov/Archives/edgar/data/1689375/000110465926072326/tm2617532d1_ex10-2.htm" TargetMode="External"/><Relationship Id="rId16" Type="http://schemas.openxmlformats.org/officeDocument/2006/relationships/hyperlink" Target="https://www.sec.gov/Archives/edgar/data/1689375/000110465926072326/tm2617532d1_ex10-2.htm" TargetMode="External"/><Relationship Id="rId17" Type="http://schemas.openxmlformats.org/officeDocument/2006/relationships/hyperlink" Target="https://www.sec.gov/Archives/edgar/data/1689375/000110465926072326/tm2617532d1_ex10-2.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75055</Words>
  <Characters>426270</Characters>
  <CharactersWithSpaces>499878</CharactersWithSpaces>
  <Paragraphs>2841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