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338455</wp:posOffset>
            </wp:positionV>
            <wp:extent cx="7161530" cy="26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26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5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36" w:lineRule="exact"/>
        <w:rPr>
          <w:sz w:val="24"/>
          <w:szCs w:val="24"/>
          <w:color w:val="auto"/>
        </w:rPr>
      </w:pPr>
    </w:p>
    <w:p>
      <w:pPr>
        <w:ind w:left="700" w:hanging="616"/>
        <w:spacing w:after="0"/>
        <w:tabs>
          <w:tab w:leader="none" w:pos="700" w:val="left"/>
        </w:tabs>
        <w:numPr>
          <w:ilvl w:val="0"/>
          <w:numId w:val="1"/>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fiscal year ended December 31, 2024</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79" w:lineRule="exact"/>
        <w:rPr>
          <w:sz w:val="24"/>
          <w:szCs w:val="24"/>
          <w:color w:val="auto"/>
        </w:rPr>
      </w:pPr>
    </w:p>
    <w:p>
      <w:pPr>
        <w:ind w:left="700" w:hanging="616"/>
        <w:spacing w:after="0"/>
        <w:tabs>
          <w:tab w:leader="none" w:pos="700" w:val="left"/>
        </w:tabs>
        <w:numPr>
          <w:ilvl w:val="0"/>
          <w:numId w:val="2"/>
        </w:numPr>
        <w:rPr>
          <w:rFonts w:ascii="MS PGothic" w:cs="MS PGothic" w:eastAsia="MS PGothic" w:hAnsi="MS PGothic"/>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transition period from to</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Commission File Number: 001-40969</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ENTRADA THERAPEUTICS, INC.</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223" w:lineRule="exact"/>
        <w:rPr>
          <w:sz w:val="24"/>
          <w:szCs w:val="24"/>
          <w:color w:val="auto"/>
        </w:rPr>
      </w:pPr>
    </w:p>
    <w:tbl>
      <w:tblPr>
        <w:tblLayout w:type="fixed"/>
        <w:tblInd w:w="1880" w:type="dxa"/>
        <w:tblCellMar>
          <w:top w:w="0" w:type="dxa"/>
          <w:left w:w="0" w:type="dxa"/>
          <w:bottom w:w="0" w:type="dxa"/>
          <w:right w:w="0" w:type="dxa"/>
        </w:tblCellMar>
      </w:tblPr>
      <w:tr>
        <w:trPr>
          <w:trHeight w:val="130"/>
        </w:trPr>
        <w:tc>
          <w:tcPr>
            <w:tcW w:w="2020" w:type="dxa"/>
            <w:vAlign w:val="bottom"/>
          </w:tcPr>
          <w:p>
            <w:pPr>
              <w:jc w:val="center"/>
              <w:ind w:right="291"/>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494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81-3983399</w:t>
            </w:r>
          </w:p>
        </w:tc>
      </w:tr>
      <w:tr>
        <w:trPr>
          <w:trHeight w:val="146"/>
        </w:trPr>
        <w:tc>
          <w:tcPr>
            <w:tcW w:w="2020" w:type="dxa"/>
            <w:vAlign w:val="bottom"/>
          </w:tcPr>
          <w:p>
            <w:pPr>
              <w:jc w:val="center"/>
              <w:ind w:right="291"/>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4940" w:type="dxa"/>
            <w:vAlign w:val="bottom"/>
          </w:tcPr>
          <w:p>
            <w:pPr>
              <w:jc w:val="center"/>
              <w:ind w:left="3931"/>
              <w:spacing w:after="0"/>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30"/>
        </w:trPr>
        <w:tc>
          <w:tcPr>
            <w:tcW w:w="2020" w:type="dxa"/>
            <w:vAlign w:val="bottom"/>
          </w:tcPr>
          <w:p>
            <w:pPr>
              <w:jc w:val="center"/>
              <w:ind w:right="311"/>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4940" w:type="dxa"/>
            <w:vAlign w:val="bottom"/>
          </w:tcPr>
          <w:p>
            <w:pPr>
              <w:jc w:val="center"/>
              <w:ind w:left="3911"/>
              <w:spacing w:after="0"/>
              <w:rPr>
                <w:sz w:val="20"/>
                <w:szCs w:val="20"/>
                <w:color w:val="auto"/>
              </w:rPr>
            </w:pPr>
            <w:r>
              <w:rPr>
                <w:rFonts w:ascii="Times New Roman" w:cs="Times New Roman" w:eastAsia="Times New Roman" w:hAnsi="Times New Roman"/>
                <w:sz w:val="10"/>
                <w:szCs w:val="10"/>
                <w:b w:val="1"/>
                <w:bCs w:val="1"/>
                <w:color w:val="auto"/>
                <w:w w:val="98"/>
              </w:rPr>
              <w:t>Identification Number)</w:t>
            </w:r>
          </w:p>
        </w:tc>
      </w:tr>
      <w:tr>
        <w:trPr>
          <w:trHeight w:val="361"/>
        </w:trPr>
        <w:tc>
          <w:tcPr>
            <w:tcW w:w="2020" w:type="dxa"/>
            <w:vAlign w:val="bottom"/>
          </w:tcPr>
          <w:p>
            <w:pPr>
              <w:jc w:val="center"/>
              <w:ind w:right="311"/>
              <w:spacing w:after="0"/>
              <w:rPr>
                <w:sz w:val="20"/>
                <w:szCs w:val="20"/>
                <w:color w:val="auto"/>
              </w:rPr>
            </w:pPr>
            <w:r>
              <w:rPr>
                <w:rFonts w:ascii="Times New Roman" w:cs="Times New Roman" w:eastAsia="Times New Roman" w:hAnsi="Times New Roman"/>
                <w:sz w:val="10"/>
                <w:szCs w:val="10"/>
                <w:b w:val="1"/>
                <w:bCs w:val="1"/>
                <w:color w:val="auto"/>
                <w:w w:val="99"/>
              </w:rPr>
              <w:t>One Design Center Place</w:t>
            </w:r>
          </w:p>
        </w:tc>
        <w:tc>
          <w:tcPr>
            <w:tcW w:w="4940" w:type="dxa"/>
            <w:vAlign w:val="bottom"/>
          </w:tcPr>
          <w:p>
            <w:pPr>
              <w:spacing w:after="0"/>
              <w:rPr>
                <w:sz w:val="24"/>
                <w:szCs w:val="24"/>
                <w:color w:val="auto"/>
              </w:rPr>
            </w:pPr>
          </w:p>
        </w:tc>
      </w:tr>
      <w:tr>
        <w:trPr>
          <w:trHeight w:val="159"/>
        </w:trPr>
        <w:tc>
          <w:tcPr>
            <w:tcW w:w="2020" w:type="dxa"/>
            <w:vAlign w:val="bottom"/>
          </w:tcPr>
          <w:p>
            <w:pPr>
              <w:jc w:val="center"/>
              <w:ind w:right="291"/>
              <w:spacing w:after="0"/>
              <w:rPr>
                <w:sz w:val="20"/>
                <w:szCs w:val="20"/>
                <w:color w:val="auto"/>
              </w:rPr>
            </w:pPr>
            <w:r>
              <w:rPr>
                <w:rFonts w:ascii="Times New Roman" w:cs="Times New Roman" w:eastAsia="Times New Roman" w:hAnsi="Times New Roman"/>
                <w:sz w:val="10"/>
                <w:szCs w:val="10"/>
                <w:b w:val="1"/>
                <w:bCs w:val="1"/>
                <w:color w:val="auto"/>
                <w:w w:val="98"/>
              </w:rPr>
              <w:t>Suite 17-500</w:t>
            </w:r>
          </w:p>
        </w:tc>
        <w:tc>
          <w:tcPr>
            <w:tcW w:w="4940" w:type="dxa"/>
            <w:vAlign w:val="bottom"/>
          </w:tcPr>
          <w:p>
            <w:pPr>
              <w:spacing w:after="0"/>
              <w:rPr>
                <w:sz w:val="13"/>
                <w:szCs w:val="13"/>
                <w:color w:val="auto"/>
              </w:rPr>
            </w:pPr>
          </w:p>
        </w:tc>
      </w:tr>
      <w:tr>
        <w:trPr>
          <w:trHeight w:val="159"/>
        </w:trPr>
        <w:tc>
          <w:tcPr>
            <w:tcW w:w="2020" w:type="dxa"/>
            <w:vAlign w:val="bottom"/>
          </w:tcPr>
          <w:p>
            <w:pPr>
              <w:jc w:val="center"/>
              <w:ind w:right="311"/>
              <w:spacing w:after="0"/>
              <w:rPr>
                <w:sz w:val="20"/>
                <w:szCs w:val="20"/>
                <w:color w:val="auto"/>
              </w:rPr>
            </w:pPr>
            <w:r>
              <w:rPr>
                <w:rFonts w:ascii="Times New Roman" w:cs="Times New Roman" w:eastAsia="Times New Roman" w:hAnsi="Times New Roman"/>
                <w:sz w:val="10"/>
                <w:szCs w:val="10"/>
                <w:b w:val="1"/>
                <w:bCs w:val="1"/>
                <w:color w:val="auto"/>
                <w:w w:val="97"/>
              </w:rPr>
              <w:t>Boston, MA</w:t>
            </w:r>
          </w:p>
        </w:tc>
        <w:tc>
          <w:tcPr>
            <w:tcW w:w="4940" w:type="dxa"/>
            <w:vAlign w:val="bottom"/>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02210</w:t>
            </w:r>
          </w:p>
        </w:tc>
      </w:tr>
      <w:tr>
        <w:trPr>
          <w:trHeight w:val="159"/>
        </w:trPr>
        <w:tc>
          <w:tcPr>
            <w:tcW w:w="2020" w:type="dxa"/>
            <w:vAlign w:val="bottom"/>
          </w:tcPr>
          <w:p>
            <w:pPr>
              <w:jc w:val="center"/>
              <w:ind w:right="291"/>
              <w:spacing w:after="0"/>
              <w:rPr>
                <w:sz w:val="20"/>
                <w:szCs w:val="20"/>
                <w:color w:val="auto"/>
              </w:rPr>
            </w:pPr>
            <w:r>
              <w:rPr>
                <w:rFonts w:ascii="Times New Roman" w:cs="Times New Roman" w:eastAsia="Times New Roman" w:hAnsi="Times New Roman"/>
                <w:sz w:val="10"/>
                <w:szCs w:val="10"/>
                <w:b w:val="1"/>
                <w:bCs w:val="1"/>
                <w:color w:val="auto"/>
                <w:w w:val="98"/>
              </w:rPr>
              <w:t>(Address of Principal Executive Offices)</w:t>
            </w:r>
          </w:p>
        </w:tc>
        <w:tc>
          <w:tcPr>
            <w:tcW w:w="4940" w:type="dxa"/>
            <w:vAlign w:val="bottom"/>
          </w:tcPr>
          <w:p>
            <w:pPr>
              <w:jc w:val="center"/>
              <w:ind w:left="3911"/>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212"/>
        </w:trPr>
        <w:tc>
          <w:tcPr>
            <w:tcW w:w="20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 (857) 520-9158</w:t>
            </w:r>
          </w:p>
        </w:tc>
      </w:tr>
    </w:tbl>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p>
      <w:pPr>
        <w:sectPr>
          <w:pgSz w:w="11900" w:h="16838" w:orient="portrait"/>
          <w:cols w:equalWidth="0" w:num="1">
            <w:col w:w="11260"/>
          </w:cols>
          <w:pgMar w:left="300" w:top="507" w:right="339" w:bottom="1440" w:gutter="0" w:footer="0" w:header="0"/>
        </w:sectPr>
      </w:pPr>
    </w:p>
    <w:p>
      <w:pPr>
        <w:spacing w:after="0" w:line="23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Title of Each Class</w:t>
      </w:r>
    </w:p>
    <w:p>
      <w:pPr>
        <w:spacing w:after="0" w:line="4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9"/>
          <w:szCs w:val="9"/>
          <w:b w:val="1"/>
          <w:bCs w:val="1"/>
          <w:color w:val="auto"/>
        </w:rPr>
        <w:t>Trading Symbol(s)</w:t>
      </w:r>
    </w:p>
    <w:p>
      <w:pPr>
        <w:spacing w:after="0" w:line="56"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0"/>
          <w:szCs w:val="10"/>
          <w:b w:val="1"/>
          <w:bCs w:val="1"/>
          <w:color w:val="auto"/>
        </w:rPr>
        <w:t>TRDA</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9"/>
          <w:szCs w:val="9"/>
          <w:b w:val="1"/>
          <w:bCs w:val="1"/>
          <w:color w:val="auto"/>
        </w:rPr>
        <w:t>Name of each exchange on which registered</w:t>
      </w:r>
    </w:p>
    <w:p>
      <w:pPr>
        <w:spacing w:after="0" w:line="56"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0"/>
          <w:szCs w:val="10"/>
          <w:b w:val="1"/>
          <w:bCs w:val="1"/>
          <w:color w:val="auto"/>
        </w:rPr>
        <w:t>The Nasdaq Global Market</w:t>
      </w:r>
    </w:p>
    <w:p>
      <w:pPr>
        <w:spacing w:after="0" w:line="89" w:lineRule="exact"/>
        <w:rPr>
          <w:sz w:val="24"/>
          <w:szCs w:val="24"/>
          <w:color w:val="auto"/>
        </w:rPr>
      </w:pPr>
    </w:p>
    <w:p>
      <w:pPr>
        <w:sectPr>
          <w:pgSz w:w="11900" w:h="16838" w:orient="portrait"/>
          <w:cols w:equalWidth="0" w:num="3">
            <w:col w:w="4320" w:space="720"/>
            <w:col w:w="2080" w:space="720"/>
            <w:col w:w="3420"/>
          </w:cols>
          <w:pgMar w:left="300" w:top="50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0"/>
          <w:szCs w:val="10"/>
          <w:color w:val="auto"/>
        </w:rPr>
        <w:t>Securities registered pursuant to Section 12(g) of the Act: None</w:t>
      </w:r>
    </w:p>
    <w:p>
      <w:pPr>
        <w:spacing w:after="0" w:line="52"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7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00" w:lineRule="exact"/>
        <w:rPr>
          <w:sz w:val="24"/>
          <w:szCs w:val="24"/>
          <w:color w:val="auto"/>
        </w:rPr>
      </w:pPr>
    </w:p>
    <w:p>
      <w:pPr>
        <w:ind w:right="140"/>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60" w:lineRule="exact"/>
        <w:rPr>
          <w:sz w:val="24"/>
          <w:szCs w:val="24"/>
          <w:color w:val="auto"/>
        </w:rPr>
      </w:pPr>
    </w:p>
    <w:p>
      <w:pPr>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70" w:lineRule="exact"/>
        <w:rPr>
          <w:sz w:val="24"/>
          <w:szCs w:val="24"/>
          <w:color w:val="auto"/>
        </w:rPr>
      </w:pPr>
    </w:p>
    <w:p>
      <w:pPr>
        <w:ind w:right="160"/>
        <w:spacing w:after="0" w:line="263"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00" w:top="507" w:right="339" w:bottom="1440" w:gutter="0" w:footer="0" w:header="0"/>
          <w:type w:val="continuous"/>
        </w:sectPr>
      </w:pPr>
    </w:p>
    <w:p>
      <w:pPr>
        <w:spacing w:after="0" w:line="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9"/>
          <w:szCs w:val="9"/>
          <w:color w:val="auto"/>
        </w:rPr>
        <w:t>Large 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Accelerated filer</w:t>
      </w:r>
    </w:p>
    <w:p>
      <w:pPr>
        <w:spacing w:after="0" w:line="20" w:lineRule="exact"/>
        <w:rPr>
          <w:sz w:val="24"/>
          <w:szCs w:val="24"/>
          <w:color w:val="auto"/>
        </w:rPr>
      </w:pPr>
      <w:r>
        <w:rPr>
          <w:sz w:val="24"/>
          <w:szCs w:val="24"/>
          <w:color w:val="auto"/>
        </w:rPr>
        <w:br w:type="column"/>
      </w:r>
    </w:p>
    <w:p>
      <w:pPr>
        <w:spacing w:after="0" w:line="51" w:lineRule="exact"/>
        <w:rPr>
          <w:sz w:val="20"/>
          <w:szCs w:val="20"/>
          <w:color w:val="auto"/>
        </w:rPr>
      </w:pPr>
      <w:r>
        <w:rPr>
          <w:rFonts w:ascii="MS PGothic" w:cs="MS PGothic" w:eastAsia="MS PGothic" w:hAnsi="MS PGothic"/>
          <w:sz w:val="7"/>
          <w:szCs w:val="7"/>
          <w:color w:val="auto"/>
        </w:rPr>
        <w:t>☒</w:t>
      </w:r>
    </w:p>
    <w:p>
      <w:pPr>
        <w:spacing w:after="0" w:line="216" w:lineRule="exact"/>
        <w:rPr>
          <w:sz w:val="24"/>
          <w:szCs w:val="24"/>
          <w:color w:val="auto"/>
        </w:rPr>
      </w:pPr>
    </w:p>
    <w:p>
      <w:pPr>
        <w:sectPr>
          <w:pgSz w:w="11900" w:h="16838" w:orient="portrait"/>
          <w:cols w:equalWidth="0" w:num="4">
            <w:col w:w="1700" w:space="720"/>
            <w:col w:w="400" w:space="720"/>
            <w:col w:w="2020" w:space="720"/>
            <w:col w:w="4980"/>
          </w:cols>
          <w:pgMar w:left="300" w:top="507" w:right="339" w:bottom="1440" w:gutter="0" w:footer="0" w:header="0"/>
          <w:type w:val="continuous"/>
        </w:sectPr>
      </w:pPr>
    </w:p>
    <w:p>
      <w:pPr>
        <w:spacing w:after="0" w:line="2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9"/>
          <w:szCs w:val="9"/>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Smaller reporting company</w:t>
      </w:r>
    </w:p>
    <w:p>
      <w:pPr>
        <w:spacing w:after="0" w:line="20" w:lineRule="exact"/>
        <w:rPr>
          <w:sz w:val="24"/>
          <w:szCs w:val="24"/>
          <w:color w:val="auto"/>
        </w:rPr>
      </w:pPr>
      <w:r>
        <w:rPr>
          <w:sz w:val="24"/>
          <w:szCs w:val="24"/>
          <w:color w:val="auto"/>
        </w:rPr>
        <w:br w:type="column"/>
      </w:r>
    </w:p>
    <w:p>
      <w:pPr>
        <w:spacing w:after="0" w:line="51" w:lineRule="exact"/>
        <w:rPr>
          <w:sz w:val="20"/>
          <w:szCs w:val="20"/>
          <w:color w:val="auto"/>
        </w:rPr>
      </w:pPr>
      <w:r>
        <w:rPr>
          <w:rFonts w:ascii="MS PGothic" w:cs="MS PGothic" w:eastAsia="MS PGothic" w:hAnsi="MS PGothic"/>
          <w:sz w:val="7"/>
          <w:szCs w:val="7"/>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Emerging growth company</w:t>
      </w:r>
    </w:p>
    <w:p>
      <w:pPr>
        <w:spacing w:after="0" w:line="20" w:lineRule="exact"/>
        <w:rPr>
          <w:sz w:val="24"/>
          <w:szCs w:val="24"/>
          <w:color w:val="auto"/>
        </w:rPr>
      </w:pPr>
      <w:r>
        <w:rPr>
          <w:sz w:val="24"/>
          <w:szCs w:val="24"/>
          <w:color w:val="auto"/>
        </w:rPr>
        <w:br w:type="column"/>
      </w:r>
    </w:p>
    <w:p>
      <w:pPr>
        <w:spacing w:after="0" w:line="51" w:lineRule="exact"/>
        <w:rPr>
          <w:sz w:val="20"/>
          <w:szCs w:val="20"/>
          <w:color w:val="auto"/>
        </w:rPr>
      </w:pPr>
      <w:r>
        <w:rPr>
          <w:rFonts w:ascii="MS PGothic" w:cs="MS PGothic" w:eastAsia="MS PGothic" w:hAnsi="MS PGothic"/>
          <w:sz w:val="7"/>
          <w:szCs w:val="7"/>
          <w:color w:val="auto"/>
        </w:rPr>
        <w:t>☒</w:t>
      </w:r>
    </w:p>
    <w:p>
      <w:pPr>
        <w:spacing w:after="0" w:line="142" w:lineRule="exact"/>
        <w:rPr>
          <w:sz w:val="24"/>
          <w:szCs w:val="24"/>
          <w:color w:val="auto"/>
        </w:rPr>
      </w:pPr>
    </w:p>
    <w:p>
      <w:pPr>
        <w:sectPr>
          <w:pgSz w:w="11900" w:h="16838" w:orient="portrait"/>
          <w:cols w:equalWidth="0" w:num="6">
            <w:col w:w="1700" w:space="720"/>
            <w:col w:w="400" w:space="720"/>
            <w:col w:w="2020" w:space="720"/>
            <w:col w:w="400" w:space="720"/>
            <w:col w:w="2020" w:space="720"/>
            <w:col w:w="1120"/>
          </w:cols>
          <w:pgMar w:left="300" w:top="507" w:right="339" w:bottom="1440" w:gutter="0" w:footer="0" w:header="0"/>
          <w:type w:val="continuous"/>
        </w:sect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10" w:lineRule="exact"/>
        <w:rPr>
          <w:sz w:val="24"/>
          <w:szCs w:val="24"/>
          <w:color w:val="auto"/>
        </w:rPr>
      </w:pPr>
    </w:p>
    <w:p>
      <w:pPr>
        <w:ind w:right="420"/>
        <w:spacing w:after="0" w:line="130"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25"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7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p>
    <w:p>
      <w:pPr>
        <w:spacing w:after="0" w:line="7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110" w:lineRule="exact"/>
        <w:rPr>
          <w:sz w:val="24"/>
          <w:szCs w:val="24"/>
          <w:color w:val="auto"/>
        </w:rPr>
      </w:pPr>
    </w:p>
    <w:p>
      <w:pPr>
        <w:ind w:right="100"/>
        <w:spacing w:after="0" w:line="257" w:lineRule="auto"/>
        <w:rPr>
          <w:sz w:val="20"/>
          <w:szCs w:val="20"/>
          <w:color w:val="auto"/>
        </w:rPr>
      </w:pPr>
      <w:r>
        <w:rPr>
          <w:rFonts w:ascii="Times New Roman" w:cs="Times New Roman" w:eastAsia="Times New Roman" w:hAnsi="Times New Roman"/>
          <w:sz w:val="10"/>
          <w:szCs w:val="10"/>
          <w:color w:val="auto"/>
        </w:rPr>
        <w:t>The aggregate market value of registrant’s common equity held by non-affiliates of registrant on June 30, 2024 was approximately $392.5 million based upon the closing sale price of the common stock as reported on The Nasdaq Global Market as of June 28, 2024 (the last business day of the registrant's most recently completed second fiscal quarter).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As of February 20, 2025, the registrant had 37,594,630 shares of common stock, $0.0001 par value per share, outstanding.</w:t>
      </w:r>
    </w:p>
    <w:p>
      <w:pPr>
        <w:spacing w:after="0" w:line="1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530225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0"/>
          <w:szCs w:val="10"/>
          <w:color w:val="auto"/>
        </w:rPr>
        <w:t>Portions of the registrant's definitive Proxy Statement for its 2025 Annual Meeting of Stockholders, which the registrant intends to file pursuant to Regulation 14A with the Securities and Exchange Commission not later than 120 days after the registrant's fiscal year ended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551815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25400</wp:posOffset>
            </wp:positionV>
            <wp:extent cx="7161530" cy="2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266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760"/>
          </w:cols>
          <w:pgMar w:left="300" w:top="507" w:right="8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1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Table of Contents</w:t>
            </w:r>
          </w:p>
        </w:tc>
        <w:tc>
          <w:tcPr>
            <w:tcW w:w="4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648"/>
        </w:trPr>
        <w:tc>
          <w:tcPr>
            <w:tcW w:w="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920" w:type="dxa"/>
            <w:vAlign w:val="bottom"/>
            <w:gridSpan w:val="8"/>
          </w:tcPr>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200" w:type="dxa"/>
            <w:vAlign w:val="bottom"/>
          </w:tcPr>
          <w:p>
            <w:pPr>
              <w:spacing w:after="0"/>
              <w:rPr>
                <w:sz w:val="24"/>
                <w:szCs w:val="24"/>
                <w:color w:val="auto"/>
              </w:rPr>
            </w:pPr>
          </w:p>
        </w:tc>
      </w:tr>
      <w:tr>
        <w:trPr>
          <w:trHeight w:val="40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0"/>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gridSpan w:val="6"/>
          </w:tcPr>
          <w:p>
            <w:pPr>
              <w:jc w:val="center"/>
              <w:ind w:right="312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2200" w:type="dxa"/>
            <w:vAlign w:val="bottom"/>
          </w:tcPr>
          <w:p>
            <w:pPr>
              <w:spacing w:after="0"/>
              <w:rPr>
                <w:sz w:val="14"/>
                <w:szCs w:val="14"/>
                <w:color w:val="auto"/>
              </w:rPr>
            </w:pPr>
          </w:p>
        </w:tc>
      </w:tr>
      <w:tr>
        <w:trPr>
          <w:trHeight w:val="394"/>
        </w:trPr>
        <w:tc>
          <w:tcPr>
            <w:tcW w:w="20" w:type="dxa"/>
            <w:vAlign w:val="bottom"/>
          </w:tcPr>
          <w:p>
            <w:pPr>
              <w:spacing w:after="0"/>
              <w:rPr>
                <w:sz w:val="24"/>
                <w:szCs w:val="24"/>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680" w:type="dxa"/>
            <w:vAlign w:val="bottom"/>
            <w:gridSpan w:val="6"/>
          </w:tcPr>
          <w:p>
            <w:pPr>
              <w:spacing w:after="0"/>
              <w:rPr>
                <w:sz w:val="24"/>
                <w:szCs w:val="24"/>
                <w:color w:val="auto"/>
              </w:rPr>
            </w:pPr>
          </w:p>
        </w:tc>
        <w:tc>
          <w:tcPr>
            <w:tcW w:w="43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Business</w:t>
            </w:r>
          </w:p>
        </w:tc>
        <w:tc>
          <w:tcPr>
            <w:tcW w:w="460" w:type="dxa"/>
            <w:vAlign w:val="bottom"/>
            <w:tcBorders>
              <w:top w:val="single" w:sz="8" w:color="0000FF"/>
            </w:tcBorders>
          </w:tcPr>
          <w:p>
            <w:pPr>
              <w:spacing w:after="0"/>
              <w:rPr>
                <w:sz w:val="24"/>
                <w:szCs w:val="24"/>
                <w:color w:val="auto"/>
              </w:rPr>
            </w:pPr>
          </w:p>
        </w:tc>
        <w:tc>
          <w:tcPr>
            <w:tcW w:w="3160" w:type="dxa"/>
            <w:vAlign w:val="bottom"/>
            <w:gridSpan w:val="4"/>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2"/>
        </w:trPr>
        <w:tc>
          <w:tcPr>
            <w:tcW w:w="20" w:type="dxa"/>
            <w:vAlign w:val="bottom"/>
          </w:tcPr>
          <w:p>
            <w:pPr>
              <w:spacing w:after="0"/>
              <w:rPr>
                <w:sz w:val="15"/>
                <w:szCs w:val="15"/>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1A.</w:t>
            </w:r>
          </w:p>
        </w:tc>
        <w:tc>
          <w:tcPr>
            <w:tcW w:w="560" w:type="dxa"/>
            <w:vAlign w:val="bottom"/>
            <w:gridSpan w:val="2"/>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Risk Factors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2"/>
        </w:trPr>
        <w:tc>
          <w:tcPr>
            <w:tcW w:w="20" w:type="dxa"/>
            <w:vAlign w:val="bottom"/>
          </w:tcPr>
          <w:p>
            <w:pPr>
              <w:spacing w:after="0"/>
              <w:rPr>
                <w:sz w:val="15"/>
                <w:szCs w:val="15"/>
                <w:color w:val="auto"/>
              </w:rPr>
            </w:pPr>
          </w:p>
        </w:tc>
        <w:tc>
          <w:tcPr>
            <w:tcW w:w="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7"/>
              </w:rPr>
              <w:t>Item 1B.</w:t>
            </w:r>
          </w:p>
        </w:tc>
        <w:tc>
          <w:tcPr>
            <w:tcW w:w="580" w:type="dxa"/>
            <w:vAlign w:val="bottom"/>
            <w:gridSpan w:val="3"/>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Unresolved Staff Comments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82"/>
        </w:trPr>
        <w:tc>
          <w:tcPr>
            <w:tcW w:w="20" w:type="dxa"/>
            <w:vAlign w:val="bottom"/>
          </w:tcPr>
          <w:p>
            <w:pPr>
              <w:spacing w:after="0"/>
              <w:rPr>
                <w:sz w:val="15"/>
                <w:szCs w:val="15"/>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1C</w:t>
            </w:r>
            <w:r>
              <w:rPr>
                <w:rFonts w:ascii="Times New Roman" w:cs="Times New Roman" w:eastAsia="Times New Roman" w:hAnsi="Times New Roman"/>
                <w:sz w:val="14"/>
                <w:szCs w:val="14"/>
                <w:color w:val="000000"/>
              </w:rPr>
              <w:t>.</w:t>
            </w: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Cybersecurity</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82"/>
        </w:trPr>
        <w:tc>
          <w:tcPr>
            <w:tcW w:w="2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60" w:type="dxa"/>
            <w:vAlign w:val="bottom"/>
            <w:tcBorders>
              <w:top w:val="single" w:sz="8" w:color="0000FF"/>
            </w:tcBorders>
          </w:tcPr>
          <w:p>
            <w:pPr>
              <w:spacing w:after="0"/>
              <w:rPr>
                <w:sz w:val="15"/>
                <w:szCs w:val="15"/>
                <w:color w:val="auto"/>
              </w:rPr>
            </w:pPr>
          </w:p>
        </w:tc>
        <w:tc>
          <w:tcPr>
            <w:tcW w:w="620" w:type="dxa"/>
            <w:vAlign w:val="bottom"/>
            <w:gridSpan w:val="5"/>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Properties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680" w:type="dxa"/>
            <w:vAlign w:val="bottom"/>
            <w:gridSpan w:val="6"/>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Legal Proceedings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2"/>
        </w:trPr>
        <w:tc>
          <w:tcPr>
            <w:tcW w:w="20" w:type="dxa"/>
            <w:vAlign w:val="bottom"/>
          </w:tcPr>
          <w:p>
            <w:pPr>
              <w:spacing w:after="0"/>
              <w:rPr>
                <w:sz w:val="15"/>
                <w:szCs w:val="15"/>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4.</w:t>
            </w: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Mine Safety Disclosures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394"/>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6"/>
          </w:tcPr>
          <w:p>
            <w:pPr>
              <w:jc w:val="center"/>
              <w:ind w:right="314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22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5.</w:t>
            </w:r>
          </w:p>
        </w:tc>
        <w:tc>
          <w:tcPr>
            <w:tcW w:w="680" w:type="dxa"/>
            <w:vAlign w:val="bottom"/>
            <w:gridSpan w:val="6"/>
          </w:tcPr>
          <w:p>
            <w:pPr>
              <w:spacing w:after="0"/>
              <w:rPr>
                <w:sz w:val="24"/>
                <w:szCs w:val="24"/>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680" w:type="dxa"/>
            <w:vAlign w:val="bottom"/>
            <w:gridSpan w:val="6"/>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7.</w:t>
            </w:r>
          </w:p>
        </w:tc>
        <w:tc>
          <w:tcPr>
            <w:tcW w:w="680" w:type="dxa"/>
            <w:vAlign w:val="bottom"/>
            <w:gridSpan w:val="6"/>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2"/>
        </w:trPr>
        <w:tc>
          <w:tcPr>
            <w:tcW w:w="20" w:type="dxa"/>
            <w:vAlign w:val="bottom"/>
          </w:tcPr>
          <w:p>
            <w:pPr>
              <w:spacing w:after="0"/>
              <w:rPr>
                <w:sz w:val="15"/>
                <w:szCs w:val="15"/>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7A.</w:t>
            </w:r>
          </w:p>
        </w:tc>
        <w:tc>
          <w:tcPr>
            <w:tcW w:w="560" w:type="dxa"/>
            <w:vAlign w:val="bottom"/>
            <w:gridSpan w:val="2"/>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8.</w:t>
            </w:r>
          </w:p>
        </w:tc>
        <w:tc>
          <w:tcPr>
            <w:tcW w:w="680" w:type="dxa"/>
            <w:vAlign w:val="bottom"/>
            <w:gridSpan w:val="6"/>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2"/>
        </w:trPr>
        <w:tc>
          <w:tcPr>
            <w:tcW w:w="20" w:type="dxa"/>
            <w:vAlign w:val="bottom"/>
          </w:tcPr>
          <w:p>
            <w:pPr>
              <w:spacing w:after="0"/>
              <w:rPr>
                <w:sz w:val="15"/>
                <w:szCs w:val="15"/>
                <w:color w:val="auto"/>
              </w:rPr>
            </w:pPr>
          </w:p>
        </w:tc>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9.</w:t>
            </w:r>
          </w:p>
        </w:tc>
        <w:tc>
          <w:tcPr>
            <w:tcW w:w="680" w:type="dxa"/>
            <w:vAlign w:val="bottom"/>
            <w:gridSpan w:val="6"/>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2"/>
        </w:trPr>
        <w:tc>
          <w:tcPr>
            <w:tcW w:w="20" w:type="dxa"/>
            <w:vAlign w:val="bottom"/>
          </w:tcPr>
          <w:p>
            <w:pPr>
              <w:spacing w:after="0"/>
              <w:rPr>
                <w:sz w:val="15"/>
                <w:szCs w:val="15"/>
                <w:color w:val="auto"/>
              </w:rPr>
            </w:pPr>
          </w:p>
        </w:tc>
        <w:tc>
          <w:tcPr>
            <w:tcW w:w="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Item 9A.</w:t>
            </w:r>
          </w:p>
        </w:tc>
        <w:tc>
          <w:tcPr>
            <w:tcW w:w="560" w:type="dxa"/>
            <w:vAlign w:val="bottom"/>
            <w:gridSpan w:val="2"/>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Controls and Procedures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2"/>
        </w:trPr>
        <w:tc>
          <w:tcPr>
            <w:tcW w:w="20" w:type="dxa"/>
            <w:vAlign w:val="bottom"/>
          </w:tcPr>
          <w:p>
            <w:pPr>
              <w:spacing w:after="0"/>
              <w:rPr>
                <w:sz w:val="15"/>
                <w:szCs w:val="15"/>
                <w:color w:val="auto"/>
              </w:rPr>
            </w:pPr>
          </w:p>
        </w:tc>
        <w:tc>
          <w:tcPr>
            <w:tcW w:w="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7"/>
              </w:rPr>
              <w:t>Item 9B.</w:t>
            </w:r>
          </w:p>
        </w:tc>
        <w:tc>
          <w:tcPr>
            <w:tcW w:w="580" w:type="dxa"/>
            <w:vAlign w:val="bottom"/>
            <w:gridSpan w:val="3"/>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Other Information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r>
      <w:tr>
        <w:trPr>
          <w:trHeight w:val="182"/>
        </w:trPr>
        <w:tc>
          <w:tcPr>
            <w:tcW w:w="20" w:type="dxa"/>
            <w:vAlign w:val="bottom"/>
          </w:tcPr>
          <w:p>
            <w:pPr>
              <w:spacing w:after="0"/>
              <w:rPr>
                <w:sz w:val="15"/>
                <w:szCs w:val="15"/>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9C.</w:t>
            </w: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394"/>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20" w:type="dxa"/>
            <w:vAlign w:val="bottom"/>
            <w:gridSpan w:val="8"/>
          </w:tcPr>
          <w:p>
            <w:pPr>
              <w:jc w:val="center"/>
              <w:ind w:left="1049"/>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2200" w:type="dxa"/>
            <w:vAlign w:val="bottom"/>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10.</w:t>
            </w:r>
          </w:p>
        </w:tc>
        <w:tc>
          <w:tcPr>
            <w:tcW w:w="600" w:type="dxa"/>
            <w:vAlign w:val="bottom"/>
            <w:gridSpan w:val="4"/>
          </w:tcPr>
          <w:p>
            <w:pPr>
              <w:spacing w:after="0"/>
              <w:rPr>
                <w:sz w:val="24"/>
                <w:szCs w:val="24"/>
                <w:color w:val="auto"/>
              </w:rPr>
            </w:pPr>
          </w:p>
        </w:tc>
        <w:tc>
          <w:tcPr>
            <w:tcW w:w="4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580" w:type="dxa"/>
            <w:vAlign w:val="bottom"/>
            <w:tcBorders>
              <w:top w:val="single" w:sz="8" w:color="0000FF"/>
            </w:tcBorders>
            <w:gridSpan w:val="6"/>
          </w:tcPr>
          <w:p>
            <w:pPr>
              <w:spacing w:after="0"/>
              <w:rPr>
                <w:sz w:val="24"/>
                <w:szCs w:val="24"/>
                <w:color w:val="auto"/>
              </w:rPr>
            </w:pPr>
          </w:p>
        </w:tc>
        <w:tc>
          <w:tcPr>
            <w:tcW w:w="310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82"/>
        </w:trPr>
        <w:tc>
          <w:tcPr>
            <w:tcW w:w="20" w:type="dxa"/>
            <w:vAlign w:val="bottom"/>
          </w:tcPr>
          <w:p>
            <w:pPr>
              <w:spacing w:after="0"/>
              <w:rPr>
                <w:sz w:val="15"/>
                <w:szCs w:val="15"/>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11.</w:t>
            </w: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Executive Compensation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12.</w:t>
            </w:r>
          </w:p>
        </w:tc>
        <w:tc>
          <w:tcPr>
            <w:tcW w:w="600" w:type="dxa"/>
            <w:vAlign w:val="bottom"/>
            <w:gridSpan w:val="4"/>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82"/>
        </w:trPr>
        <w:tc>
          <w:tcPr>
            <w:tcW w:w="20" w:type="dxa"/>
            <w:vAlign w:val="bottom"/>
          </w:tcPr>
          <w:p>
            <w:pPr>
              <w:spacing w:after="0"/>
              <w:rPr>
                <w:sz w:val="15"/>
                <w:szCs w:val="15"/>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13.</w:t>
            </w:r>
          </w:p>
        </w:tc>
        <w:tc>
          <w:tcPr>
            <w:tcW w:w="600" w:type="dxa"/>
            <w:vAlign w:val="bottom"/>
            <w:gridSpan w:val="4"/>
          </w:tcPr>
          <w:p>
            <w:pPr>
              <w:spacing w:after="0"/>
              <w:rPr>
                <w:sz w:val="15"/>
                <w:szCs w:val="15"/>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82"/>
        </w:trPr>
        <w:tc>
          <w:tcPr>
            <w:tcW w:w="20" w:type="dxa"/>
            <w:vAlign w:val="bottom"/>
          </w:tcPr>
          <w:p>
            <w:pPr>
              <w:spacing w:after="0"/>
              <w:rPr>
                <w:sz w:val="15"/>
                <w:szCs w:val="15"/>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14.</w:t>
            </w: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Principal Accounting Fees and Services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394"/>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6"/>
          </w:tcPr>
          <w:p>
            <w:pPr>
              <w:jc w:val="center"/>
              <w:ind w:right="312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2200" w:type="dxa"/>
            <w:vAlign w:val="bottom"/>
          </w:tcPr>
          <w:p>
            <w:pPr>
              <w:spacing w:after="0"/>
              <w:rPr>
                <w:sz w:val="24"/>
                <w:szCs w:val="24"/>
                <w:color w:val="auto"/>
              </w:rPr>
            </w:pPr>
          </w:p>
        </w:tc>
      </w:tr>
      <w:tr>
        <w:trPr>
          <w:trHeight w:val="394"/>
        </w:trPr>
        <w:tc>
          <w:tcPr>
            <w:tcW w:w="20" w:type="dxa"/>
            <w:vAlign w:val="bottom"/>
          </w:tcPr>
          <w:p>
            <w:pPr>
              <w:spacing w:after="0"/>
              <w:rPr>
                <w:sz w:val="24"/>
                <w:szCs w:val="24"/>
                <w:color w:val="auto"/>
              </w:rPr>
            </w:pPr>
          </w:p>
        </w:tc>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15.</w:t>
            </w:r>
          </w:p>
        </w:tc>
        <w:tc>
          <w:tcPr>
            <w:tcW w:w="600" w:type="dxa"/>
            <w:vAlign w:val="bottom"/>
            <w:gridSpan w:val="4"/>
          </w:tcPr>
          <w:p>
            <w:pPr>
              <w:spacing w:after="0"/>
              <w:rPr>
                <w:sz w:val="24"/>
                <w:szCs w:val="24"/>
                <w:color w:val="auto"/>
              </w:rPr>
            </w:pPr>
          </w:p>
        </w:tc>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Exhibits and Financial Statement Schedules</w:t>
            </w:r>
          </w:p>
        </w:tc>
        <w:tc>
          <w:tcPr>
            <w:tcW w:w="540" w:type="dxa"/>
            <w:vAlign w:val="bottom"/>
            <w:tcBorders>
              <w:top w:val="single" w:sz="8" w:color="0000FF"/>
            </w:tcBorders>
            <w:gridSpan w:val="4"/>
          </w:tcPr>
          <w:p>
            <w:pPr>
              <w:spacing w:after="0"/>
              <w:rPr>
                <w:sz w:val="24"/>
                <w:szCs w:val="24"/>
                <w:color w:val="auto"/>
              </w:rPr>
            </w:pPr>
          </w:p>
        </w:tc>
        <w:tc>
          <w:tcPr>
            <w:tcW w:w="3120" w:type="dxa"/>
            <w:vAlign w:val="bottom"/>
            <w:gridSpan w:val="2"/>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82"/>
        </w:trPr>
        <w:tc>
          <w:tcPr>
            <w:tcW w:w="20" w:type="dxa"/>
            <w:vAlign w:val="bottom"/>
          </w:tcPr>
          <w:p>
            <w:pPr>
              <w:spacing w:after="0"/>
              <w:rPr>
                <w:sz w:val="15"/>
                <w:szCs w:val="15"/>
                <w:color w:val="auto"/>
              </w:rPr>
            </w:pPr>
          </w:p>
        </w:tc>
        <w:tc>
          <w:tcPr>
            <w:tcW w:w="108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16.</w:t>
            </w: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Form 10-K Summary</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13"/>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20" w:type="dxa"/>
            <w:vAlign w:val="bottom"/>
            <w:gridSpan w:val="8"/>
          </w:tcPr>
          <w:p>
            <w:pPr>
              <w:ind w:left="100"/>
              <w:spacing w:after="0"/>
              <w:rPr>
                <w:sz w:val="20"/>
                <w:szCs w:val="20"/>
                <w:color w:val="auto"/>
              </w:rPr>
            </w:pPr>
            <w:r>
              <w:rPr>
                <w:rFonts w:ascii="Times New Roman" w:cs="Times New Roman" w:eastAsia="Times New Roman" w:hAnsi="Times New Roman"/>
                <w:sz w:val="14"/>
                <w:szCs w:val="14"/>
                <w:color w:val="auto"/>
              </w:rPr>
              <w:t>Signatures</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r>
    </w:tbl>
    <w:p>
      <w:pPr>
        <w:spacing w:after="0" w:line="25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From time to time, we may use our website or our LinkedIn profile at www.linkedin.com/company/entradatx to distribute material information. Our financial and other material information is routinely posted to and accessible on the Investors Relations section of our website, available at www.entradatx.com. Investors are encouraged to review the Investors Relations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 on Form 10-K.</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49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This Annual Report on Form 10-K (“Annual Report”) contains express or implied forward-looking statements within the meaning of the Private Securities Litigation Reform Act of 1995, Section 27A of the Securities Act of 1933, as amended (the “Securities Act”), and Section 21E of the Securities Exchange Act of 1934, as amended (the “Exchange Act”). These statements are based on our management’s current beliefs, expectations and assumptions about future events, conditions and results and on information currently available to us.</w:t>
      </w:r>
    </w:p>
    <w:p>
      <w:pPr>
        <w:spacing w:after="0" w:line="157"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include, but are not limited to, statements about:</w:t>
      </w:r>
    </w:p>
    <w:p>
      <w:pPr>
        <w:spacing w:after="0" w:line="157" w:lineRule="exact"/>
        <w:rPr>
          <w:sz w:val="20"/>
          <w:szCs w:val="20"/>
          <w:color w:val="auto"/>
        </w:rPr>
      </w:pPr>
    </w:p>
    <w:p>
      <w:pPr>
        <w:ind w:left="52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costs of conducting our research and development programs, our current and future preclinical studies, and our current and future clinical trials, including statements regarding the timing of initiation and completion of studies or trials and related preparatory work, the period during which the results of the trials will become available, and our current and future programs;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preclinical studies and clinical trials to demonstrate safety and efficacy of our therapeutic candidates, and other positive results;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and the potential safety, efficacy and therapeutic effects of our therapeutic candidates;</w:t>
      </w:r>
    </w:p>
    <w:p>
      <w:pPr>
        <w:spacing w:after="0" w:line="83" w:lineRule="exact"/>
        <w:rPr>
          <w:rFonts w:ascii="Times New Roman" w:cs="Times New Roman" w:eastAsia="Times New Roman" w:hAnsi="Times New Roman"/>
          <w:sz w:val="14"/>
          <w:szCs w:val="14"/>
          <w:color w:val="auto"/>
        </w:rPr>
      </w:pPr>
    </w:p>
    <w:p>
      <w:pPr>
        <w:ind w:left="520" w:right="24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scope and likelihood of regulatory filings and approvals, including timing of any Investigational New Drug application (“IND”) and final U.S. Food and Drug Administration (“FDA”) or foreign equivalent approval of our current therapeutic candidates or any future therapeutic candidates;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content of any update regarding our regulatory filings;</w:t>
      </w:r>
    </w:p>
    <w:p>
      <w:pPr>
        <w:spacing w:after="0" w:line="83" w:lineRule="exact"/>
        <w:rPr>
          <w:rFonts w:ascii="Times New Roman" w:cs="Times New Roman" w:eastAsia="Times New Roman" w:hAnsi="Times New Roman"/>
          <w:sz w:val="14"/>
          <w:szCs w:val="14"/>
          <w:color w:val="auto"/>
        </w:rPr>
      </w:pPr>
    </w:p>
    <w:p>
      <w:pPr>
        <w:ind w:left="520" w:right="18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leverage our proprietary EEV platform (“EEV Platform”) to efficiently develop additional therapeutic candidates, including by applying learnings from one program to other programs and from one indication to our other indications;</w:t>
      </w:r>
    </w:p>
    <w:p>
      <w:pPr>
        <w:spacing w:after="0" w:line="39" w:lineRule="exact"/>
        <w:rPr>
          <w:rFonts w:ascii="Times New Roman" w:cs="Times New Roman" w:eastAsia="Times New Roman" w:hAnsi="Times New Roman"/>
          <w:sz w:val="14"/>
          <w:szCs w:val="14"/>
          <w:color w:val="auto"/>
        </w:rPr>
      </w:pPr>
    </w:p>
    <w:p>
      <w:pPr>
        <w:ind w:left="520" w:right="26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number of patients that we will enroll and our ability to initiate, recruit and enroll patients in and conduct and successfully complete clinical trials at the pace that we project;</w:t>
      </w:r>
    </w:p>
    <w:p>
      <w:pPr>
        <w:spacing w:after="0" w:line="3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manufacturing and our ability to scale-up our manufacturing and processing approaches to appropriately address our anticipated commercial needs, which will require significant resources;</w:t>
      </w:r>
    </w:p>
    <w:p>
      <w:pPr>
        <w:spacing w:after="0" w:line="39" w:lineRule="exact"/>
        <w:rPr>
          <w:rFonts w:ascii="Times New Roman" w:cs="Times New Roman" w:eastAsia="Times New Roman" w:hAnsi="Times New Roman"/>
          <w:sz w:val="14"/>
          <w:szCs w:val="14"/>
          <w:color w:val="auto"/>
        </w:rPr>
      </w:pPr>
    </w:p>
    <w:p>
      <w:pPr>
        <w:ind w:left="520" w:right="20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or maintain collaborations or strategic relationships and the ability and willingness of our third-party strategic collaborators to undertake research and development activities relating to our current or future therapeutic candidates and discovery programs;</w:t>
      </w:r>
    </w:p>
    <w:p>
      <w:pPr>
        <w:spacing w:after="0" w:line="29" w:lineRule="exact"/>
        <w:rPr>
          <w:rFonts w:ascii="Times New Roman" w:cs="Times New Roman" w:eastAsia="Times New Roman" w:hAnsi="Times New Roman"/>
          <w:sz w:val="14"/>
          <w:szCs w:val="14"/>
          <w:color w:val="auto"/>
        </w:rPr>
      </w:pPr>
    </w:p>
    <w:p>
      <w:pPr>
        <w:ind w:left="520" w:right="2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benefits of the partnership, licensing and/or collaboration arrangements and other strategic arrangements and transactions we have entered into or may enter into in the future;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our technologies and programs, including those with strategic partners;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development and commercialization of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take advantage of expedited regulatory pathways for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therapeutic candidates, and technology;</w:t>
      </w:r>
    </w:p>
    <w:p>
      <w:pPr>
        <w:spacing w:after="0" w:line="83" w:lineRule="exact"/>
        <w:rPr>
          <w:rFonts w:ascii="Times New Roman" w:cs="Times New Roman" w:eastAsia="Times New Roman" w:hAnsi="Times New Roman"/>
          <w:sz w:val="14"/>
          <w:szCs w:val="14"/>
          <w:color w:val="auto"/>
        </w:rPr>
      </w:pPr>
    </w:p>
    <w:p>
      <w:pPr>
        <w:ind w:left="520" w:right="10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therapeutic candidates and other therapeutic candidates we may develop, including the extensions of existing patent terms where available, and the validity of intellectual property;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held by third parties, and our ability not to infringe, misappropriate or otherwise violate any third-party intellectual property rights;</w:t>
      </w:r>
    </w:p>
    <w:p>
      <w:pPr>
        <w:spacing w:after="0" w:line="83" w:lineRule="exact"/>
        <w:rPr>
          <w:rFonts w:ascii="Times New Roman" w:cs="Times New Roman" w:eastAsia="Times New Roman" w:hAnsi="Times New Roman"/>
          <w:sz w:val="14"/>
          <w:szCs w:val="14"/>
          <w:color w:val="auto"/>
        </w:rPr>
      </w:pPr>
    </w:p>
    <w:p>
      <w:pPr>
        <w:ind w:left="520" w:right="10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over which we estimate our available financial resources, together with ongoing research support will enable us to fund the Company's current and future operating expenses and capital expenditure requirements;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 and estimates of our future expenses, revenues, capital requirements, use of our cash reserves, and our needs for additional financing;</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development and commercialization of our therapeutic candidates and any other approved product;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and the size and growth potential of the markets for our therapeutic candidates, and our ability to serve those markets;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our therapeutic candidates with advantages in turnaround times or manufacturing cost;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competitive position and the success of competing therapies that are or may become available;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for and ability to attract and retain key scientific, management and other personnel and to identify, hire and retain additional qualified professionals;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remain an emerging growth company under the Jumpstart Our Business Startups Act of 2012 (the “JOBS Act”);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use of our existing resources;</w:t>
      </w:r>
    </w:p>
    <w:p>
      <w:pPr>
        <w:spacing w:after="0" w:line="83" w:lineRule="exact"/>
        <w:rPr>
          <w:rFonts w:ascii="Times New Roman" w:cs="Times New Roman" w:eastAsia="Times New Roman" w:hAnsi="Times New Roman"/>
          <w:sz w:val="14"/>
          <w:szCs w:val="14"/>
          <w:color w:val="auto"/>
        </w:rPr>
      </w:pPr>
    </w:p>
    <w:p>
      <w:pPr>
        <w:ind w:left="520" w:right="1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timing, progress and success of our collaboration with Vertex Pharmaceuticals Incorporated (“Vertex”), including any future payments we may receive under our collaboration and license agreements, as well as our ability to identify and enter into future license agreements and collaborations;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and expectations regarding milestone, royalty or other payments that could be due to third parties under existing agreements;</w:t>
      </w:r>
    </w:p>
    <w:p>
      <w:pPr>
        <w:spacing w:after="0" w:line="83" w:lineRule="exact"/>
        <w:rPr>
          <w:rFonts w:ascii="Times New Roman" w:cs="Times New Roman" w:eastAsia="Times New Roman" w:hAnsi="Times New Roman"/>
          <w:sz w:val="14"/>
          <w:szCs w:val="14"/>
          <w:color w:val="auto"/>
        </w:rPr>
      </w:pPr>
    </w:p>
    <w:p>
      <w:pPr>
        <w:ind w:left="520" w:right="240" w:hanging="260"/>
        <w:spacing w:after="0" w:line="24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global economic and political developments on our business, including rising inflation and capital market disruptions, international tariffs, trade protection measures, the current conflicts in Ukraine and the Middle East, economic sanctions and economic slowdowns or recessions that may result from such developments which could harm our research and development efforts as well as the value of our common stock and our ability to access capital markets;</w:t>
      </w:r>
    </w:p>
    <w:p>
      <w:pPr>
        <w:spacing w:after="0" w:line="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caption “Risk Factors.”</w:t>
      </w:r>
    </w:p>
    <w:p>
      <w:pPr>
        <w:spacing w:after="0" w:line="168"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terminology such as “may,” “might,” “will,” “could,” “would,” “should,” “expect,” “plan,” “anticipate,” “intend,” “believe,” “estimate,” “seek,” “predict,” “future,” “project,” “potential,” “continue,” “target,” “contemplate,” “possible,” “can,” or the negative of these terms or other comparable terminology, and similar expressions, although not all forward-looking statements contain these identifying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titled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and the documents that we reference in this Annual Report and have filed with the Securities and Exchange Commission thereto completely and with the understanding that our actual future results may be materially different from any future results expressed or implied by these forward-looking statements.</w:t>
      </w:r>
    </w:p>
    <w:p>
      <w:pPr>
        <w:spacing w:after="0" w:line="168"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4"/>
          <w:szCs w:val="14"/>
          <w:color w:val="auto"/>
        </w:rPr>
        <w:t>The forward-looking statements in this Annual Report represent our views as of the date of this Annual Report. We do not undertake any obligation to publicly update any forward-looking statement except to the extent required by applicable law. You should therefore not rely on these forward-looking statements as representing our views as of any date subsequent to the date of this Annual Report.</w:t>
      </w:r>
    </w:p>
    <w:p>
      <w:pPr>
        <w:spacing w:after="0" w:line="14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4"/>
          <w:szCs w:val="14"/>
          <w:color w:val="auto"/>
        </w:rPr>
        <w:t>This Annual Report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All of the market data used in this Annual Report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36"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This Annual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Annual Report. Unless the context otherwise requires, reference in this Annual Report to the terms “Entrada,” “Entrada Therapeutics,” “the Company,” “we,” “us,” “our,” and similar designations refer to Entrada Therapeutics, Inc. and, where appropriate, our wholly-owned subsidiary.</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507"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MATERIAL AND OTHER RISKS ASSOCIATED WITH OUR BUSINESS</w:t>
      </w:r>
    </w:p>
    <w:p>
      <w:pPr>
        <w:spacing w:after="0" w:line="181" w:lineRule="exact"/>
        <w:rPr>
          <w:sz w:val="20"/>
          <w:szCs w:val="20"/>
          <w:color w:val="auto"/>
        </w:rPr>
      </w:pPr>
    </w:p>
    <w:p>
      <w:pPr>
        <w:ind w:right="560" w:firstLine="509"/>
        <w:spacing w:after="0" w:line="287"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and are subject to change based on various factors, including those highlighted in the section entitled “Risk Factors” and elsewhere in this Annual Report on Form 10-K (“Annual Report”). These risks include, but are not limited to, the following:</w:t>
      </w:r>
    </w:p>
    <w:p>
      <w:pPr>
        <w:spacing w:after="0" w:line="114" w:lineRule="exact"/>
        <w:rPr>
          <w:sz w:val="20"/>
          <w:szCs w:val="20"/>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p>
    <w:p>
      <w:pPr>
        <w:spacing w:after="0" w:line="39" w:lineRule="exact"/>
        <w:rPr>
          <w:rFonts w:ascii="Times New Roman" w:cs="Times New Roman" w:eastAsia="Times New Roman" w:hAnsi="Times New Roman"/>
          <w:sz w:val="14"/>
          <w:szCs w:val="14"/>
          <w:color w:val="auto"/>
        </w:rPr>
      </w:pPr>
    </w:p>
    <w:p>
      <w:pPr>
        <w:ind w:left="520" w:right="26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39" w:lineRule="exact"/>
        <w:rPr>
          <w:rFonts w:ascii="Times New Roman" w:cs="Times New Roman" w:eastAsia="Times New Roman" w:hAnsi="Times New Roman"/>
          <w:sz w:val="14"/>
          <w:szCs w:val="14"/>
          <w:color w:val="auto"/>
        </w:rPr>
      </w:pPr>
    </w:p>
    <w:p>
      <w:pPr>
        <w:ind w:left="520" w:right="120" w:hanging="260"/>
        <w:spacing w:after="0" w:line="25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early in our development efforts and as a result it will be years before we commercialize a therapeutic candidate, if ever. If we are unable to identify and advance therapeutic candidates through preclinical studies and/or clinical trials, obtain marketing approval and ultimately commercialize them, or experience significant delays in doing so, our business will be materially harmed.</w:t>
      </w:r>
    </w:p>
    <w:p>
      <w:pPr>
        <w:spacing w:after="0" w:line="51" w:lineRule="exact"/>
        <w:rPr>
          <w:rFonts w:ascii="Times New Roman" w:cs="Times New Roman" w:eastAsia="Times New Roman" w:hAnsi="Times New Roman"/>
          <w:sz w:val="14"/>
          <w:szCs w:val="14"/>
          <w:color w:val="auto"/>
        </w:rPr>
      </w:pPr>
    </w:p>
    <w:p>
      <w:pPr>
        <w:ind w:left="520" w:hanging="260"/>
        <w:spacing w:after="0" w:line="254" w:lineRule="auto"/>
        <w:tabs>
          <w:tab w:leader="none" w:pos="516" w:val="left"/>
        </w:tabs>
        <w:numPr>
          <w:ilvl w:val="0"/>
          <w:numId w:val="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Our business is highly dependent on the clinical advancement of our programs and modalities and is especially dependent on the success of our lead therapeutic candidates, ENTR-601-44, ENTR-601-45, ENTR-601-50, ENTR-601-51 and our partnered candidate VX-670. Delay or failure to advance programs or modalities, including ENTR-601-44, ENTR-601-45, ENTR-601-50, ENTR-601-51 and VX-670 could adversely impact our business.</w:t>
      </w:r>
    </w:p>
    <w:p>
      <w:pPr>
        <w:spacing w:after="0" w:line="51" w:lineRule="exact"/>
        <w:rPr>
          <w:rFonts w:ascii="Times New Roman" w:cs="Times New Roman" w:eastAsia="Times New Roman" w:hAnsi="Times New Roman"/>
          <w:sz w:val="14"/>
          <w:szCs w:val="14"/>
          <w:color w:val="231F20"/>
        </w:rPr>
      </w:pPr>
    </w:p>
    <w:p>
      <w:pPr>
        <w:ind w:left="520" w:right="44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Endosomal Escape Vehicle (“EEV”) therapeutic candidates are based on a novel therapeutic approach, which makes it difficult to predict the time and cost of development and of subsequently obtaining regulatory approval, if at all.</w:t>
      </w:r>
    </w:p>
    <w:p>
      <w:pPr>
        <w:spacing w:after="0" w:line="39" w:lineRule="exact"/>
        <w:rPr>
          <w:rFonts w:ascii="Times New Roman" w:cs="Times New Roman" w:eastAsia="Times New Roman" w:hAnsi="Times New Roman"/>
          <w:sz w:val="14"/>
          <w:szCs w:val="14"/>
          <w:color w:val="auto"/>
        </w:rPr>
      </w:pPr>
    </w:p>
    <w:p>
      <w:pPr>
        <w:ind w:left="520" w:right="60" w:hanging="260"/>
        <w:spacing w:after="0" w:line="24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completed the testing of any of our therapeutic candidates in clinical trials and our therapeutic candidates may not have favorable results in clinical trials, if any, or receive regulatory approval on a timely basis, if at all.</w:t>
      </w:r>
    </w:p>
    <w:p>
      <w:pPr>
        <w:spacing w:after="0" w:line="56" w:lineRule="exact"/>
        <w:rPr>
          <w:rFonts w:ascii="Times New Roman" w:cs="Times New Roman" w:eastAsia="Times New Roman" w:hAnsi="Times New Roman"/>
          <w:sz w:val="14"/>
          <w:szCs w:val="14"/>
          <w:color w:val="auto"/>
        </w:rPr>
      </w:pPr>
    </w:p>
    <w:p>
      <w:pPr>
        <w:ind w:left="520" w:right="3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delays in the commencement, enrollment or completion of our planned clinical trials, or failure to demonstrate safety and efficacy to the satisfaction of applicable regulatory authorities could prevent us from commercializing any therapeutic candidates we determine to develop on a timely basis, if at all.</w:t>
      </w:r>
    </w:p>
    <w:p>
      <w:pPr>
        <w:spacing w:after="0" w:line="3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approach to the discovery and development of therapeutic candidates based on our EEV platform (“EEV Platform”) is unproven, and we do not know whether we will be able to develop any products of commercial value, or if competing technological approaches will limit the commercial value of our therapeutic candidates or render our EEV Platform obsolete.</w:t>
      </w:r>
    </w:p>
    <w:p>
      <w:pPr>
        <w:spacing w:after="0" w:line="39" w:lineRule="exact"/>
        <w:rPr>
          <w:rFonts w:ascii="Times New Roman" w:cs="Times New Roman" w:eastAsia="Times New Roman" w:hAnsi="Times New Roman"/>
          <w:sz w:val="14"/>
          <w:szCs w:val="14"/>
          <w:color w:val="auto"/>
        </w:rPr>
      </w:pPr>
    </w:p>
    <w:p>
      <w:pPr>
        <w:ind w:left="520" w:right="10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and expect to continue to rely, on third parties to conduct some or all aspects of our product manufacturing, research and preclinical and clinical testing, and these third parties may not perform satisfactorily or, dedicate adequate resources to meet our needs, or may be unable to acquire the necessary supplies to perform successfully.</w:t>
      </w:r>
    </w:p>
    <w:p>
      <w:pPr>
        <w:spacing w:after="0" w:line="39" w:lineRule="exact"/>
        <w:rPr>
          <w:rFonts w:ascii="Times New Roman" w:cs="Times New Roman" w:eastAsia="Times New Roman" w:hAnsi="Times New Roman"/>
          <w:sz w:val="14"/>
          <w:szCs w:val="14"/>
          <w:color w:val="auto"/>
        </w:rPr>
      </w:pPr>
    </w:p>
    <w:p>
      <w:pPr>
        <w:ind w:left="520" w:right="20" w:hanging="260"/>
        <w:spacing w:after="0" w:line="25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and may in the future enter into collaborations, licenses and other similar arrangements with third parties for the research, development and commercialization of certain of the therapeutic candidates we may develop, including our collaboration with Vertex Pharmaceuticals Incorporated (“Vertex”). If any such arrangements are not successful, we may not be able to capitalize on the market potential of those therapeutic candidates.</w:t>
      </w:r>
    </w:p>
    <w:p>
      <w:pPr>
        <w:spacing w:after="0" w:line="51" w:lineRule="exact"/>
        <w:rPr>
          <w:rFonts w:ascii="Times New Roman" w:cs="Times New Roman" w:eastAsia="Times New Roman" w:hAnsi="Times New Roman"/>
          <w:sz w:val="14"/>
          <w:szCs w:val="14"/>
          <w:color w:val="auto"/>
        </w:rPr>
      </w:pPr>
    </w:p>
    <w:p>
      <w:pPr>
        <w:ind w:left="520" w:right="4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expand our development and regulatory capabilities, and as a result, we may encounter difficulties in managing our growth, which could disrupt our operations.</w:t>
      </w:r>
    </w:p>
    <w:p>
      <w:pPr>
        <w:spacing w:after="0" w:line="83" w:lineRule="exact"/>
        <w:rPr>
          <w:rFonts w:ascii="Times New Roman" w:cs="Times New Roman" w:eastAsia="Times New Roman" w:hAnsi="Times New Roman"/>
          <w:sz w:val="14"/>
          <w:szCs w:val="14"/>
          <w:color w:val="auto"/>
        </w:rPr>
      </w:pPr>
    </w:p>
    <w:p>
      <w:pPr>
        <w:ind w:left="520" w:right="260" w:hanging="260"/>
        <w:spacing w:after="0" w:line="25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will attempt to diversify our risks by developing one or more programs in each modality, there are risks that are unique to each modality and risks that are applicable across modalities. These risks may impair our ability to advance one or more of our programs in clinical development, obtain regulatory approval, or ultimately commercialize our programs, or cause us to experience significant delays in doing so, any of which may materially harm our business.</w:t>
      </w:r>
    </w:p>
    <w:p>
      <w:pPr>
        <w:spacing w:after="0" w:line="51" w:lineRule="exact"/>
        <w:rPr>
          <w:rFonts w:ascii="Times New Roman" w:cs="Times New Roman" w:eastAsia="Times New Roman" w:hAnsi="Times New Roman"/>
          <w:sz w:val="14"/>
          <w:szCs w:val="14"/>
          <w:color w:val="auto"/>
        </w:rPr>
      </w:pPr>
    </w:p>
    <w:p>
      <w:pPr>
        <w:ind w:left="520" w:right="1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or our collaborators are unable to obtain and maintain patent protection for our EEV Platform, therapeutic development programs and other proprietary technologies we develop, or if the scope of the patent protection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right="100"/>
        <w:spacing w:after="0" w:line="271" w:lineRule="auto"/>
        <w:rPr>
          <w:sz w:val="20"/>
          <w:szCs w:val="20"/>
          <w:color w:val="auto"/>
        </w:rPr>
      </w:pPr>
      <w:r>
        <w:rPr>
          <w:rFonts w:ascii="Times New Roman" w:cs="Times New Roman" w:eastAsia="Times New Roman" w:hAnsi="Times New Roman"/>
          <w:sz w:val="14"/>
          <w:szCs w:val="14"/>
          <w:color w:val="auto"/>
        </w:rPr>
        <w:t>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p>
    <w:p>
      <w:pPr>
        <w:spacing w:after="0" w:line="40"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success depends on our ability to retain key employees and to attract, retain and motivate qualified personnel.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 of our common stock may be volatile, and investors could lose all or part of their investment.</w:t>
      </w:r>
    </w:p>
    <w:p>
      <w:pPr>
        <w:spacing w:after="0" w:line="83" w:lineRule="exact"/>
        <w:rPr>
          <w:rFonts w:ascii="Times New Roman" w:cs="Times New Roman" w:eastAsia="Times New Roman" w:hAnsi="Times New Roman"/>
          <w:sz w:val="14"/>
          <w:szCs w:val="14"/>
          <w:color w:val="auto"/>
        </w:rPr>
      </w:pPr>
    </w:p>
    <w:p>
      <w:pPr>
        <w:ind w:left="520" w:right="1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capital markets may affect our ability to access new capital, which may harm our liquidity, limit our ability to grow our business, pursue acquisitions or improve our operating infrastructure and restrict our ability to compete in our markets.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Unstable market and economic conditions may have adverse consequences for our business, financial condition and stock price.</w:t>
      </w:r>
    </w:p>
    <w:p>
      <w:pPr>
        <w:spacing w:after="0" w:line="179"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The material and other risks summarized above should be read together with the text of the full risk factors and in the other information set forth in this Annual Report, including our consolidated financial statements and the related notes, as well as in other documents that we file with the Securities and Exchange Commission (the “SEC”). If any such material and other risks and uncertainties actually occur, our business, prospects, financial condition and results of operations could be materially and adversely affected. The risks summarized above or described in full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507"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are a clinical-stage biopharmaceutical company aiming to transform the lives of patients by establishing a new class of medicines which engage intracellular targets that have long been considered inaccessible. We enter 2025 with significant momentum, including the planned initiation of our next clinical trial of ENTR-601-44, regulatory submissions under review for ENTR-601-45, and the ongoing progress of our VX-670 partnership with Vertex Pharmaceuticals Incorporated (“Vertex”). We plan to have four clinical programs in patients ongoing by the end of 2025, marking a new phase in the Company’s growth. This regulatory progress follows positive preliminary data in healthy volunteers from a Phase 1 clinical trial, ENTR-601-44-101, reported in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Key business updates include:</w:t>
      </w:r>
    </w:p>
    <w:p>
      <w:pPr>
        <w:spacing w:after="0" w:line="210" w:lineRule="exact"/>
        <w:rPr>
          <w:sz w:val="20"/>
          <w:szCs w:val="20"/>
          <w:color w:val="auto"/>
        </w:rPr>
      </w:pPr>
    </w:p>
    <w:p>
      <w:pPr>
        <w:jc w:val="both"/>
        <w:ind w:left="520" w:right="20" w:hanging="260"/>
        <w:spacing w:after="0" w:line="238" w:lineRule="auto"/>
        <w:tabs>
          <w:tab w:leader="none" w:pos="511" w:val="left"/>
        </w:tabs>
        <w:numPr>
          <w:ilvl w:val="0"/>
          <w:numId w:val="7"/>
        </w:numPr>
        <w:rPr>
          <w:rFonts w:ascii="Arial" w:cs="Arial" w:eastAsia="Arial" w:hAnsi="Arial"/>
          <w:sz w:val="16"/>
          <w:szCs w:val="16"/>
          <w:color w:val="auto"/>
        </w:rPr>
      </w:pPr>
      <w:r>
        <w:rPr>
          <w:rFonts w:ascii="Times New Roman" w:cs="Times New Roman" w:eastAsia="Times New Roman" w:hAnsi="Times New Roman"/>
          <w:sz w:val="14"/>
          <w:szCs w:val="14"/>
          <w:color w:val="auto"/>
        </w:rPr>
        <w:t>In 2024, we submitted regulatory applications to initiate global Phase 1/2 MAD clinical studies in patients for ENTR-601-44 in the United States, United Kingdom and Europe. We have also submitted regulatory applications to initiate a Phase 1/2 MAD clinical study of ENTR-601-45 in the United Kingdom and Europe for patients living with DMD who are amenable to exon 45 skipping.</w:t>
      </w:r>
    </w:p>
    <w:p>
      <w:pPr>
        <w:ind w:left="520" w:right="1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3, 2025, we announced the receipt of authorization from the United Kingdom’s Medicines and Healthcare Products Regulatory Agency (“MHRA”) and Research Ethics Committee for its Clinical Trial of an Investigational Medicinal Product to initiate ELEVATE-44-201, a Phase 1/2 multiple ascending dose (“MAD”) clinical study of ENTR-601-44 for the potential treatment of Duchenne muscular dystrophy (“Duchenne” or “DMD”) in patients with a confirmed mutation in the DMD gene amenable to exon 44 skipping. We are on track to initiate ELEVATE-44-201 in the United Kingdom in the second quarter of 2025.</w:t>
      </w:r>
    </w:p>
    <w:p>
      <w:pPr>
        <w:jc w:val="both"/>
        <w:ind w:left="520" w:right="24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24, 2025, we announced that the United States Food and Drug Administration (“FDA”) had lifted the clinical hold on the Investigational New Drug application (“IND”) for ENTR-601-44, and we received authorization to initiate ELEVATE-44-102, a Phase 1b MAD clinical study of ENTR-601-44 in adult DMD patients. The Company plans to initiate study enrollment in the first half of 2026.</w:t>
      </w:r>
    </w:p>
    <w:p>
      <w:pPr>
        <w:ind w:left="520" w:right="4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positive preclinical data, we are on track to submit regulatory applications to initiate a clinical trial of our third Duchenne product candidate, ENTR-601-50, in patients who are exon 50 skipping amenable, in the fourth quarter of 2025.</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we selected ENTR-601-51 as our clinical candidate for our exon 51 program in patients who are exon 51 skipping amenable, and expect to submit global regulatory filings in 2026.</w:t>
      </w:r>
    </w:p>
    <w:p>
      <w:pPr>
        <w:spacing w:after="0" w:line="8" w:lineRule="exact"/>
        <w:rPr>
          <w:rFonts w:ascii="Times New Roman" w:cs="Times New Roman" w:eastAsia="Times New Roman" w:hAnsi="Times New Roman"/>
          <w:sz w:val="14"/>
          <w:szCs w:val="14"/>
          <w:color w:val="auto"/>
        </w:rPr>
      </w:pPr>
    </w:p>
    <w:p>
      <w:pPr>
        <w:ind w:left="520" w:right="1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Vertex partnered candidate, VX-670, is in an ongoing global Phase 1/2 clinical trial, and in November 2024, Vertex announced completion of the Phase 1 SAD portion of the study and initiation of the Phase 2 MAD portion to evaluate both safety and efficacy.</w:t>
      </w:r>
    </w:p>
    <w:p>
      <w:pPr>
        <w:ind w:left="520" w:right="40" w:hanging="260"/>
        <w:spacing w:after="0" w:line="26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also generated positive preclinical data from programs outside of our neuromuscular franchise, which include new moieties, and expect to share our first clinical candidate in ocular disease later in 2025.</w:t>
      </w:r>
    </w:p>
    <w:p>
      <w:pPr>
        <w:spacing w:after="0" w:line="159"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believe that the potential success of our early programs can translate into the efficient development of additional therapeutic candidates and allow us to build portfolios in neuromuscular disease and beyond.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231F20"/>
        </w:rPr>
        <w:t>Platform and Pipeline</w:t>
      </w:r>
    </w:p>
    <w:p>
      <w:pPr>
        <w:spacing w:after="0" w:line="179"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Approximately 75% of all disease-causing targets are located inside cells. Intracellular therapeutics are designed to correct disease-causing dysfunction inside cells, addressing targets at the level of DNA, RNA or protein. In order to do so, these therapeutics need to first get through the cell’s membrane, which is a phospholipid bilayer, and then escape from the cell’s transportation and sorting vehicle, known as the early endosome, in order to reach and engage with their intended targets. Small molecules can permeate cell membranes but tend to be rapidly cleared by the body before they reach the intended tissue and can be associated with off-target effects. These limitations often necessitate high therapeutic doses and can be associated with less-than-optimal therapeutic activity. Biological therapeutics are generally potent and specific with respect to their intracellular targets of interest but limited in their ability to reach such targets, often lacking the ability to efficiently penetrate the cell membrane and then escape from the early endosome.</w:t>
      </w:r>
    </w:p>
    <w:p>
      <w:pPr>
        <w:spacing w:after="0" w:line="14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We believe our EEV Platform can enable the efficient intracellular delivery of highly targeted and potent therapeutics throughout the body. The cornerstone of our platform, our proprietary EEV peptides are based upon small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cyclic peptides of approximately 10 amino acid residues or fewer. EEV peptides bind with low affinity, at normal serum pH levels, directly to the phospholipid bilayer of all cells and trigger the natural process of endocytosis. In our preclinical studies, we have observed, based on mass balance analysis, that greater than 90% of EEV-conjugated material is taken up by the tissues of the body. Once inside the cell, these studies indicate that the EEV-conjugated material rapidly escapes from the early endosome. Because of the low-pH conditions in the early endosome, the binding affinity of the EEV to the inner endosome wall increases, resulting in the successful formation and budding of unstable vesicles which then collapse and release their contents into the cell cytosol. In our preclinical studies, we observed that approximately 50% of the EEV-conjugated material escaped the endosome to reach the intracellular disease target as compared to the &lt;2% observed in prior studies of current biologics. While these preclinical studies were not designed as head-to-head comparisons to current biologics, these data generally compare favorably to historical published data regarding the percentage, of current biologics that have been observed to reach their designed intracellular disease target. We leverage a variety of organelle targeting moieties to ensure that, where necessary, the therapeutic reaches the right sub-compartment inside the 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103505</wp:posOffset>
            </wp:positionV>
            <wp:extent cx="4123055" cy="170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23055" cy="170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60" w:firstLine="509"/>
        <w:spacing w:after="0" w:line="270" w:lineRule="auto"/>
        <w:rPr>
          <w:sz w:val="20"/>
          <w:szCs w:val="20"/>
          <w:color w:val="auto"/>
        </w:rPr>
      </w:pPr>
      <w:r>
        <w:rPr>
          <w:rFonts w:ascii="Times New Roman" w:cs="Times New Roman" w:eastAsia="Times New Roman" w:hAnsi="Times New Roman"/>
          <w:sz w:val="14"/>
          <w:szCs w:val="14"/>
          <w:color w:val="auto"/>
        </w:rPr>
        <w:t>We believe our EEV Platform can offer meaningful advantages over existing therapeutic approaches, including broad potential therapeutic index, potential utility across multiple modalities, and potential applicability to a wide range of diseases. We are engaged in preclinical lead optimization efforts in both neuromuscular and non-neuromuscular disease and discovery efforts to advance platform applications including through novel moiety and delivery modality combinations. We are developing the following therapeutic candidates: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419100</wp:posOffset>
            </wp:positionV>
            <wp:extent cx="3234055" cy="2418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4055" cy="241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Lead Neuromuscular Programs</w:t>
      </w:r>
    </w:p>
    <w:p>
      <w:pPr>
        <w:spacing w:after="0" w:line="16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We are initially focused on the development of EEV therapeutics for rare neuromuscular diseases, and DMD in particular. DMD is a monogenic X-linked disease caused by mutations in the DMD gene, which encodes for the protein dystrophin. Dystrophin is essential to maintaining the structural integrity and normal function of muscle cells for walking, breathing and cardiac function. In patients with Duchenne, mutations in the DMD gene can lead to certain exons being misread, resulting in a failure to produce sufficient functional dystrophin. The reduction or absence of functional dystrophin leads to damage to muscle cell membranes, resulting in muscle cell death and progressive loss of muscle function.</w:t>
      </w:r>
    </w:p>
    <w:p>
      <w:pPr>
        <w:spacing w:after="0" w:line="152"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symptoms of Duchenne typically manifest in the first few years of life. Patients experience progressive muscle weakness and muscle wasting and have difficulty standing up, climbing stairs, running, breathing and performing daily functions. As the disease progresses, the severity of damage to skeletal and cardiac muscles results in most patients experiencing total loss of ambulation in the pre-teenage or early teenage years. Progressive loss of upper extremity function is often observed in the mid-to-late teens followed by paralysis, respiratory and/or cardiac failure, resulting in early mortality in the third or fourth decade of life.</w:t>
      </w:r>
    </w:p>
    <w:p>
      <w:pPr>
        <w:spacing w:after="0" w:line="130" w:lineRule="exact"/>
        <w:rPr>
          <w:sz w:val="20"/>
          <w:szCs w:val="20"/>
          <w:color w:val="auto"/>
        </w:rPr>
      </w:pPr>
    </w:p>
    <w:p>
      <w:pPr>
        <w:ind w:right="200" w:firstLine="509"/>
        <w:spacing w:after="0" w:line="271" w:lineRule="auto"/>
        <w:rPr>
          <w:sz w:val="20"/>
          <w:szCs w:val="20"/>
          <w:color w:val="auto"/>
        </w:rPr>
      </w:pPr>
      <w:r>
        <w:rPr>
          <w:rFonts w:ascii="Times New Roman" w:cs="Times New Roman" w:eastAsia="Times New Roman" w:hAnsi="Times New Roman"/>
          <w:sz w:val="14"/>
          <w:szCs w:val="14"/>
          <w:color w:val="auto"/>
        </w:rPr>
        <w:t>We estimate that DMD occurs in approximately one in every 3,500 to 5,000 live male births and that the patient population is approximately 41,000 patients in the aggregate in the United States and Europe. Approximately 80% of patients have mutations amenable to exon skipping in the nucleus.</w:t>
      </w:r>
    </w:p>
    <w:p>
      <w:pPr>
        <w:spacing w:after="0" w:line="13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Corticosteroids are the current standard of care. However, chronic use of corticosteroids, particularly in pediatric populations, is challenging due to side effects including growth impairment, immune suppression, obesity and other endocrine-related disorders. There are four FDA-approved PMO-based oligonucleotide skipping therapies, each addressing a specific mutation: casimersen (exon 45), eteplirsen (exon 51), golodirsen (exon 53) and viltolarsen (exon 53). These products have all been approved using the accelerated approval pathway on the basis of dystrophin production. These currently approved exon skipping therapeutics have demonstrated a modest improvement in dystrophin levels ranging from approximately 1-6%. However, the FDA-approved labels for all four drugs state that continued approval may be contingent upon the verification of a clinical benefit in confirmatory clinical trials. None of the products are approved by the European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Medicines Agency (“EMA”) due to insufficient evidence of clinical benefit. A fifth drug, ataluren, was conditionally approved outside of the United States in certain territories for nonsense mutations in ambulatory patients with DMD aged five years and older. These therapies require weekly intravenous infusions which is suboptimal from a patient perspective. More recently, a histone deacetylase inhibitor (HDACi) givinostat, which works as a supportive care treatment by targeting pathogenic processes to reduce inflammation and loss of muscle, was approved by the FDA for the treatment of boys ages 6 years and up with DMD.</w:t>
      </w:r>
    </w:p>
    <w:p>
      <w:pPr>
        <w:spacing w:after="0" w:line="130" w:lineRule="exact"/>
        <w:rPr>
          <w:sz w:val="20"/>
          <w:szCs w:val="20"/>
          <w:color w:val="auto"/>
        </w:rPr>
      </w:pPr>
    </w:p>
    <w:p>
      <w:pPr>
        <w:jc w:val="both"/>
        <w:ind w:right="60" w:firstLine="509"/>
        <w:spacing w:after="0" w:line="248" w:lineRule="auto"/>
        <w:rPr>
          <w:sz w:val="20"/>
          <w:szCs w:val="20"/>
          <w:color w:val="auto"/>
        </w:rPr>
      </w:pPr>
      <w:r>
        <w:rPr>
          <w:rFonts w:ascii="Times New Roman" w:cs="Times New Roman" w:eastAsia="Times New Roman" w:hAnsi="Times New Roman"/>
          <w:sz w:val="14"/>
          <w:szCs w:val="14"/>
          <w:color w:val="auto"/>
        </w:rPr>
        <w:t>We are developing therapeutic candidates to address the genetic basis, at the exon-specific level, of DMD. In our neuromuscular disease programs, we link EEV peptides to small strands of nucleic acids called oligonucleotides, including phosphorodiamidate morpholino oligomers (“PMOs”). We are developing EEV-PMOs that promote the skipping of these DMD-associated mutations. Based on preclinical and clinical data observed to date, we believe that our EEV-PMO exon-skipping therapy may enable the production of functional dystrophin to slow, stop or even reverse disease progression. The graphic below summarizes both the epidemiology of disease, by mutation status as well as our program status across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1774825</wp:posOffset>
            </wp:positionH>
            <wp:positionV relativeFrom="paragraph">
              <wp:posOffset>118745</wp:posOffset>
            </wp:positionV>
            <wp:extent cx="3941445" cy="1489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41445" cy="148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ENTR-601-44</w:t>
      </w:r>
    </w:p>
    <w:p>
      <w:pPr>
        <w:spacing w:after="0" w:line="189" w:lineRule="exact"/>
        <w:rPr>
          <w:sz w:val="20"/>
          <w:szCs w:val="20"/>
          <w:color w:val="auto"/>
        </w:rPr>
      </w:pPr>
    </w:p>
    <w:p>
      <w:pPr>
        <w:ind w:right="120" w:firstLine="509"/>
        <w:spacing w:after="0" w:line="241" w:lineRule="auto"/>
        <w:rPr>
          <w:sz w:val="20"/>
          <w:szCs w:val="20"/>
          <w:color w:val="auto"/>
        </w:rPr>
      </w:pPr>
      <w:r>
        <w:rPr>
          <w:rFonts w:ascii="Times New Roman" w:cs="Times New Roman" w:eastAsia="Times New Roman" w:hAnsi="Times New Roman"/>
          <w:sz w:val="14"/>
          <w:szCs w:val="14"/>
          <w:color w:val="auto"/>
        </w:rPr>
        <w:t xml:space="preserve">Preclinical studies suggest the potential for significant patient benefit with our first exon skipping clinical candidate ENTR-601-44. Data in the humanized DMD mouse model and non-human primate (“NHP”) model at levels we believe to be clinically relevant revealed both significant and durable levels of exon skipping extending to at least 12 weeks. Additionally,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data suggest much higher levels of target engagement in patient cells than in healthy cells. In healthy cells, exon skipping mechanism creates an out of frame mutation and the mRNA transcript is broken down very quickly via nonsense mediated decay. In the Duchenne patient, the goal is to bring an out-of-frame mutation in-frame resulting in mRNA transcript that is substantially more stable, enabling durable and robust translation to exon skipping and dystrophin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122555</wp:posOffset>
            </wp:positionV>
            <wp:extent cx="4123055" cy="1388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23055" cy="138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320" w:firstLine="509"/>
        <w:spacing w:after="0" w:line="274" w:lineRule="auto"/>
        <w:rPr>
          <w:sz w:val="20"/>
          <w:szCs w:val="20"/>
          <w:color w:val="auto"/>
        </w:rPr>
      </w:pPr>
      <w:r>
        <w:rPr>
          <w:rFonts w:ascii="Times New Roman" w:cs="Times New Roman" w:eastAsia="Times New Roman" w:hAnsi="Times New Roman"/>
          <w:sz w:val="14"/>
          <w:szCs w:val="14"/>
          <w:color w:val="auto"/>
        </w:rPr>
        <w:t xml:space="preserve">Importantly, not only have we demonstrated functional target engagement in both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and i</w:t>
      </w:r>
      <w:r>
        <w:rPr>
          <w:rFonts w:ascii="Times New Roman" w:cs="Times New Roman" w:eastAsia="Times New Roman" w:hAnsi="Times New Roman"/>
          <w:sz w:val="14"/>
          <w:szCs w:val="14"/>
          <w:i w:val="1"/>
          <w:iCs w:val="1"/>
          <w:color w:val="auto"/>
        </w:rPr>
        <w:t>n vitro</w:t>
      </w:r>
      <w:r>
        <w:rPr>
          <w:rFonts w:ascii="Times New Roman" w:cs="Times New Roman" w:eastAsia="Times New Roman" w:hAnsi="Times New Roman"/>
          <w:sz w:val="14"/>
          <w:szCs w:val="14"/>
          <w:color w:val="auto"/>
        </w:rPr>
        <w:t xml:space="preserve"> models but we have also shown uptake in satellite cells. We believe we are the first company to demonstrate evidence of delivery to satellite cells in preclinical models. Muscle satellite cells are a pool of quiescent muscle stem cells which are activated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upon injury to help repair or regenerate myofibers. We believe this is a highly compelling finding, as generating dystrophin in and protecting these skeletal muscle progenitor cells may enhance their ability to regenerate damaged muscle fibers and thereby contribute to a rapid, deeper and more durable clinical response.</w:t>
      </w:r>
    </w:p>
    <w:p>
      <w:pPr>
        <w:spacing w:after="0" w:line="14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graphic below shows an EEV(used in our clinical candidate)-PMO (tool closely related to ENTR-601-44) and satellite cell co-localize in del44hDMD.</w:t>
      </w:r>
      <w:r>
        <w:rPr>
          <w:rFonts w:ascii="Times New Roman" w:cs="Times New Roman" w:eastAsia="Times New Roman" w:hAnsi="Times New Roman"/>
          <w:sz w:val="14"/>
          <w:szCs w:val="14"/>
          <w:i w:val="1"/>
          <w:iCs w:val="1"/>
          <w:color w:val="auto"/>
        </w:rPr>
        <w:t>mdx</w:t>
      </w:r>
      <w:r>
        <w:rPr>
          <w:rFonts w:ascii="Times New Roman" w:cs="Times New Roman" w:eastAsia="Times New Roman" w:hAnsi="Times New Roman"/>
          <w:sz w:val="14"/>
          <w:szCs w:val="14"/>
          <w:color w:val="auto"/>
        </w:rPr>
        <w:t xml:space="preserve"> mice with the immunofluorescence image taken 7 days post-injection. Pax7 (Paired Box 7) is a transcription factor highly expressed in muscle satellite cells responsible for their activation, proliferation and differentiation. The images below demonstrated 100% co-localization of both the Pax7 and PMO antibody in the nuclei (DAPI - 4'6-diamiddino-2-phenylindole stain) of the satellite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237490</wp:posOffset>
            </wp:positionV>
            <wp:extent cx="4123055" cy="1765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23055" cy="176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4"/>
          <w:szCs w:val="14"/>
          <w:color w:val="auto"/>
        </w:rPr>
        <w:t>On June 24, 2024, we announced positive preliminary data from our Phase 1 clinical trial of ENTR-601-44. The data announced were based upon data collected as of that date, were aggregated based upon the placebo and study drug groups and did not include urinary biomarkers for the 6 mg/kg cohort. The study has since been completed with no adverse findings noted in the urinary biomarkers for the 6 mg/kg cohort.</w:t>
      </w:r>
    </w:p>
    <w:p>
      <w:pPr>
        <w:spacing w:after="0" w:line="157"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primary objective of the Phase 1 clinical trial was to evaluate the safety and tolerability of a single dose of ENTR-601-44. The trial also evaluated pharmacokinetics and target engagement, as measured by exon skipping in the skeletal muscle. These data were featured in a poster presentation at the 29th Annual Congress of the World Muscle Society in October 2024.</w:t>
      </w:r>
    </w:p>
    <w:p>
      <w:pPr>
        <w:spacing w:after="0" w:line="135"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The trial included a total of 32 healthy male volunteers across four cohorts, with each cohort consisting of six participants receiving ENTR-601-44 and two participants receiving a placebo control. The doses administered across the cohorts were 0.75 mg/kg, 1.5 mg/kg, 3 mg/kg and 6 mg/kg. Key findings: Strong clinical safety up to 6 mg/kg, with the potential for best-in-class pharmacokinetics and pharmacodynamics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105410</wp:posOffset>
            </wp:positionV>
            <wp:extent cx="4123055" cy="147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23055" cy="147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507"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6" w:lineRule="exact"/>
        <w:rPr>
          <w:sz w:val="20"/>
          <w:szCs w:val="20"/>
          <w:color w:val="auto"/>
        </w:rPr>
      </w:pPr>
    </w:p>
    <w:p>
      <w:pPr>
        <w:ind w:right="240" w:firstLine="509"/>
        <w:spacing w:after="0" w:line="257" w:lineRule="auto"/>
        <w:rPr>
          <w:sz w:val="20"/>
          <w:szCs w:val="20"/>
          <w:color w:val="auto"/>
        </w:rPr>
      </w:pPr>
      <w:r>
        <w:rPr>
          <w:rFonts w:ascii="Times New Roman" w:cs="Times New Roman" w:eastAsia="Times New Roman" w:hAnsi="Times New Roman"/>
          <w:sz w:val="14"/>
          <w:szCs w:val="14"/>
          <w:color w:val="auto"/>
        </w:rPr>
        <w:t>There were no serious adverse events, no drug-related adverse events and no clinically significant changes or trends noted in vital signs, electrocardiograms, physical exams or laboratory assessments observed in the trial.</w:t>
      </w:r>
    </w:p>
    <w:p>
      <w:pPr>
        <w:ind w:left="520" w:hanging="260"/>
        <w:spacing w:after="0" w:line="237" w:lineRule="auto"/>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AEs related to study drug</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Most common AE was headache (n=7; 5 mild and 2 moderate)</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clinically significant findings with lab values, ECG or vital signs</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adverse findings or clinically relevant changes to biomarkers of renal toxicity at highest dose of 6 mg/kg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119380</wp:posOffset>
            </wp:positionV>
            <wp:extent cx="4446270" cy="1960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4627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The study demonstrated target engagement as measured by exon skipping on a ng/g of tissue adjusted basis supporting the importance of endosomal escape to therapeutic index optimization. Muscle concentrations and exon skipping were assessed using a needle muscle biopsy taken from biceps brachii 72 hours (±4 hours) post-dose of ENTR-601-44. Dose-dependent skeletal muscle concentration was observed: muscle concentration was detected in all six subjects in the 6 mg/kg dose cohort (mean of 53.8 ng/g, range 40 ng/g-73.5 ng/g) and mean target engagement as measured by exon skipping was 0.44% (range 0.3-0.65%). Robust target engagement with statistically significant exon skipping observed versus placebo: exon skipping was statistically significant compared to the placebo control (p&lt;0.005) in the 6 mg/kg dose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119380</wp:posOffset>
            </wp:positionV>
            <wp:extent cx="4446270" cy="1435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46270" cy="143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High levels of target engagement relative to muscle concentration, even at very low doses, underscore the importance of endosomal escape and support the potential of this candidate to deliver rapid, significant and durable benefits at relatively low doses.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311150</wp:posOffset>
            </wp:positionV>
            <wp:extent cx="4123055" cy="1280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23055"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4"/>
          <w:szCs w:val="14"/>
          <w:color w:val="auto"/>
        </w:rPr>
        <w:t>Furthermore we believe that the pharmacokinetic data gathered in this study may imply the potential for a dose range where clinical activity is not accompanied by a proportional risk of increasing toxic liability. We believe this would be a unique finding relative to the other PMO/PPMO constructs.</w:t>
      </w:r>
    </w:p>
    <w:p>
      <w:pPr>
        <w:spacing w:after="0" w:line="157" w:lineRule="exact"/>
        <w:rPr>
          <w:sz w:val="20"/>
          <w:szCs w:val="20"/>
          <w:color w:val="auto"/>
        </w:rPr>
      </w:pPr>
    </w:p>
    <w:p>
      <w:pPr>
        <w:ind w:left="520" w:right="460" w:hanging="260"/>
        <w:spacing w:after="0" w:line="23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Plasma stability of the drug itself means that there is significant, extended, and dose-dependent exposure to the muscle and thus the therapeutic target. As dose goes up there is a great opportunity to see an increase in efficacy</w:t>
      </w:r>
    </w:p>
    <w:p>
      <w:pPr>
        <w:ind w:left="520" w:right="160" w:hanging="260"/>
        <w:spacing w:after="0" w:line="236"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renal excretion of the final metabolite also increases but in a non-linear fashion. For every doubling of the dose we see more than a doubling of the percentage of metabolite excreted. Furthermore, this difference increases as the dose goes up. We believe a potential explanation for this observation may be the saturation of renal re-uptake mechanisms at an extremely low dose</w:t>
      </w:r>
    </w:p>
    <w:p>
      <w:pPr>
        <w:spacing w:after="0" w:line="15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4"/>
          <w:szCs w:val="14"/>
          <w:color w:val="auto"/>
        </w:rPr>
        <w:t>In summary, while drug exposure to target increases in a dose dependent manner, any increase of metabolite exposure in the kidney appears to be limited, at least in the dose range tested. In other words, the therapeutic index grows as the dose increases.</w:t>
      </w:r>
    </w:p>
    <w:p>
      <w:pPr>
        <w:spacing w:after="0" w:line="15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On February 3, 2025 we announced the receipt of authorization from the MHRA and Research Ethics Committee for its Clinical Trial of an Investigational Medicinal Product to initiate ELEVATE-44-201, a Phase 1/2 multiple ascending dose MAD clinical study of ENTR-601-44. ELEVATE-44-201 is a global, two-part, randomized, double-blind placebo-controlled Phase 1/2 study evaluating the safety, tolerability and effectiveness of ENTR-601-44 in ambulatory patients with DMD who are exon 44 skipping amenable. Part A is a multiple ascending dose study designed to evaluate the safety, pharmacokinetics, and pharmacodynamics, including exon skipping and dystrophin production in approximately 24 patients. Dosing will be administered every six weeks, with the planned doses across three cohorts anticipated to range from 6 mg/kg up to 18 mg/kg. Part B of the study is designed to further evaluate the optimal dose established in Part A for safety and efficacy, including patient reported outcomes and quality of life measures. Study participants may be eligible to enter an open label extension study (OLE), in which the safety, efficacy and tolerability of ENTR-601-44 will be evaluated over a longer period of time. We are on track to initiate ELEVATE-44-201 in the United Kingdom in the second quarter of 2025.</w:t>
      </w:r>
    </w:p>
    <w:p>
      <w:pPr>
        <w:spacing w:after="0" w:line="167" w:lineRule="exact"/>
        <w:rPr>
          <w:sz w:val="20"/>
          <w:szCs w:val="20"/>
          <w:color w:val="auto"/>
        </w:rPr>
      </w:pPr>
    </w:p>
    <w:p>
      <w:pPr>
        <w:jc w:val="both"/>
        <w:ind w:right="80" w:firstLine="509"/>
        <w:spacing w:after="0" w:line="244" w:lineRule="auto"/>
        <w:rPr>
          <w:sz w:val="20"/>
          <w:szCs w:val="20"/>
          <w:color w:val="auto"/>
        </w:rPr>
      </w:pPr>
      <w:r>
        <w:rPr>
          <w:rFonts w:ascii="Times New Roman" w:cs="Times New Roman" w:eastAsia="Times New Roman" w:hAnsi="Times New Roman"/>
          <w:sz w:val="14"/>
          <w:szCs w:val="14"/>
          <w:color w:val="auto"/>
        </w:rPr>
        <w:t>On February 24, 2025, we announced that the FDA had lifted the clinical hold on the IND for ENTR-601-44, allowing us to initiate ELEVATE-44-102, a Phase 1b multiple ascending dose MAD clinical study of ENTR-601-44 for the potential treatment of DMD in adult patients. ELEVATE-44-102 is a randomized, double-blind placebo-controlled Phase 1b study evaluating the safety and tolerability of ENTR-601-44 in approximately 32 adult patients with DMD who are exon 44 skipping amenable. The MAD study is also designed to evaluate pharmacodynamics, including exon skipping and dystrophin production, and pharmacokinetics. Dosing will be administered every six weeks, with the planned doses across four cohorts anticipated to range from 0.16 mg/kg up to 1.28 mg/kg. The Company plans to initiate study enrollment in the first half of 2026.Study participants may be eligible to enter an OLE, in which the safety, efficacy and tolerability of ENTR-601-44 will be evaluated over a longer period of time.</w:t>
      </w:r>
    </w:p>
    <w:p>
      <w:pPr>
        <w:spacing w:after="0" w:line="153" w:lineRule="exact"/>
        <w:rPr>
          <w:sz w:val="20"/>
          <w:szCs w:val="20"/>
          <w:color w:val="auto"/>
        </w:rPr>
      </w:pPr>
    </w:p>
    <w:p>
      <w:pPr>
        <w:ind w:right="300" w:firstLine="509"/>
        <w:spacing w:after="0" w:line="238" w:lineRule="auto"/>
        <w:rPr>
          <w:sz w:val="20"/>
          <w:szCs w:val="20"/>
          <w:color w:val="auto"/>
        </w:rPr>
      </w:pPr>
      <w:r>
        <w:rPr>
          <w:rFonts w:ascii="Times New Roman" w:cs="Times New Roman" w:eastAsia="Times New Roman" w:hAnsi="Times New Roman"/>
          <w:sz w:val="14"/>
          <w:szCs w:val="14"/>
          <w:color w:val="auto"/>
        </w:rPr>
        <w:t>ELEVATE-44-102 will serve as an important complement to ELEVATE-44-201. The FDA’s clearance presents an opportunity to evaluate ENTR-601-44 in adult patients with advanced disease. Nearly half of those living with DMD who are amenable to exon 44 skipping are adults, and yet this population is rarely studied due, in part, to the advanced stage of their disease. The combined ELEVATE-44 program, which includes the ELEVATE-44-102 study in the U.S. and ELEVATE-44-201 elsewhere, will cover the widest feasible population and support the potential to make a meaningful impact on patients with both early and advanced disease. We believe the exon 44 skipping amenable population, with a higher background dystrophin production and thus a potentially more therapy responsive phenotype, could potentially benefit from a therapeutic intervention like ENTR-601-44.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Outside of the US specific ELEVATE-44-102 trial we plan to follow a similar clinical and regulatory approach for all of our ENTR-601-series programs, aiming to move directly into multi-ascending dose patient trials, starting with ELEVATE-44, ELEVATE-45 and ELEVATE-50 in 2025 as shown below, subject to feedback from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101600</wp:posOffset>
            </wp:positionV>
            <wp:extent cx="4446270" cy="1906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446270" cy="1906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4"/>
          <w:szCs w:val="14"/>
          <w:color w:val="auto"/>
        </w:rPr>
        <w:t>The multiple ascending dose programs are expected to recruit several patient cohorts, dosing each patient at six week intervals and dose escalating on a cohort by cohort basis. Patients will be given the option to then enroll in an open label extension trial.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ENTR-601-45</w:t>
      </w:r>
    </w:p>
    <w:p>
      <w:pPr>
        <w:spacing w:after="0" w:line="179" w:lineRule="exact"/>
        <w:rPr>
          <w:sz w:val="20"/>
          <w:szCs w:val="20"/>
          <w:color w:val="auto"/>
        </w:rPr>
      </w:pPr>
    </w:p>
    <w:p>
      <w:pPr>
        <w:ind w:right="120" w:firstLine="509"/>
        <w:spacing w:after="0" w:line="238" w:lineRule="auto"/>
        <w:rPr>
          <w:sz w:val="20"/>
          <w:szCs w:val="20"/>
          <w:color w:val="auto"/>
        </w:rPr>
      </w:pPr>
      <w:r>
        <w:rPr>
          <w:rFonts w:ascii="Times New Roman" w:cs="Times New Roman" w:eastAsia="Times New Roman" w:hAnsi="Times New Roman"/>
          <w:sz w:val="14"/>
          <w:szCs w:val="14"/>
          <w:color w:val="auto"/>
        </w:rPr>
        <w:t>The decision to initiate the ELEVATE-45 multiple-ascending dose trial is based in part on the clinical trial ENTR-601-44-101 described above, and in part on the strength of preclinical pharmacodynamic data indicating robust exon skipping, dystrophin production and functional correction in the del44hDMD.</w:t>
      </w:r>
      <w:r>
        <w:rPr>
          <w:rFonts w:ascii="Times New Roman" w:cs="Times New Roman" w:eastAsia="Times New Roman" w:hAnsi="Times New Roman"/>
          <w:sz w:val="14"/>
          <w:szCs w:val="14"/>
          <w:i w:val="1"/>
          <w:iCs w:val="1"/>
          <w:color w:val="auto"/>
        </w:rPr>
        <w:t>mdx</w:t>
      </w:r>
      <w:r>
        <w:rPr>
          <w:rFonts w:ascii="Times New Roman" w:cs="Times New Roman" w:eastAsia="Times New Roman" w:hAnsi="Times New Roman"/>
          <w:sz w:val="14"/>
          <w:szCs w:val="14"/>
          <w:color w:val="auto"/>
        </w:rPr>
        <w:t xml:space="preserve"> mouse model. As shown below, active and vehicle treated del44hDMD.</w:t>
      </w:r>
      <w:r>
        <w:rPr>
          <w:rFonts w:ascii="Times New Roman" w:cs="Times New Roman" w:eastAsia="Times New Roman" w:hAnsi="Times New Roman"/>
          <w:sz w:val="14"/>
          <w:szCs w:val="14"/>
          <w:i w:val="1"/>
          <w:iCs w:val="1"/>
          <w:color w:val="auto"/>
        </w:rPr>
        <w:t>mdx</w:t>
      </w:r>
      <w:r>
        <w:rPr>
          <w:rFonts w:ascii="Times New Roman" w:cs="Times New Roman" w:eastAsia="Times New Roman" w:hAnsi="Times New Roman"/>
          <w:sz w:val="14"/>
          <w:szCs w:val="14"/>
          <w:color w:val="auto"/>
        </w:rPr>
        <w:t xml:space="preserve"> mice, n=5 per cohort, were dosed with ENTR-60-45 every 6 weeks for a total of three doses (Q6W x 3 doses); saline treated mice (n=10, Q6W x 3 doses) were used as a control. Exon skipping (as measured via double drop polymerase chain reaction - ddPCR) and dystrophin production significantly increased 6 weeks after the third dose of ENTR-601-45 (gastrocnemius muscle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236855</wp:posOffset>
            </wp:positionV>
            <wp:extent cx="4446270" cy="1226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46270"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8"/>
          <w:szCs w:val="8"/>
          <w:color w:val="auto"/>
        </w:rPr>
        <w:t>Data are shown as mean ± SD; *p ≤ 0.05, **p ≤ 0.01, ***p ≤ 0.001, ****p ≤ 0.0001; Data presented at the 2024 World Muscle Society conference.</w:t>
      </w:r>
    </w:p>
    <w:p>
      <w:pPr>
        <w:spacing w:after="0" w:line="18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4"/>
          <w:szCs w:val="14"/>
          <w:color w:val="auto"/>
        </w:rPr>
        <w:t>Furthermore, in the eccentric force contractions (“ECC”) challenge to the gastronemius muscle, a dose dependent increase in resistance to membrane damage was observed following the tenth contraction, which was maintained until at least 8 weeks after the third Q6W dose of ENTR-601-45.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507"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1363980</wp:posOffset>
            </wp:positionH>
            <wp:positionV relativeFrom="paragraph">
              <wp:posOffset>311150</wp:posOffset>
            </wp:positionV>
            <wp:extent cx="4446270" cy="1731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446270"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8"/>
          <w:szCs w:val="8"/>
          <w:color w:val="auto"/>
        </w:rPr>
        <w:t>Data shown across 10 ECC contractions normalized into a percentage of the initial force before any ECC and as the percentage of force retained after the 10th contraction.</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Taken together, we believe that these preclinical data suggest the potential for therapeutic benefit at clinically relevant doses.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ENTR-601-50 and ENTR-601-51</w:t>
      </w:r>
    </w:p>
    <w:p>
      <w:pPr>
        <w:spacing w:after="0" w:line="179"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4"/>
          <w:szCs w:val="14"/>
          <w:color w:val="auto"/>
        </w:rPr>
        <w:t>Robust dose-dependent response and saturation of exon 50 skipping in the humanized (hDMD) mouse model after 3 doses of ENTR-601-50, 6 weeks apart, as shown below, supports the potential for high and persistent dystrophin restoration in patients. We are on track to submit regulatory applications to initiate a clinical trial of ENTR-601-50, in patients who are exon 50 skipping amenable, in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112395</wp:posOffset>
            </wp:positionV>
            <wp:extent cx="4123055" cy="1360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23055" cy="136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Similarly, robust dose-dependent exon 51 pharmacodynamics in both del52hDMD.</w:t>
      </w:r>
      <w:r>
        <w:rPr>
          <w:rFonts w:ascii="Times New Roman" w:cs="Times New Roman" w:eastAsia="Times New Roman" w:hAnsi="Times New Roman"/>
          <w:sz w:val="14"/>
          <w:szCs w:val="14"/>
          <w:i w:val="1"/>
          <w:iCs w:val="1"/>
          <w:color w:val="auto"/>
        </w:rPr>
        <w:t>mdx</w:t>
      </w:r>
      <w:r>
        <w:rPr>
          <w:rFonts w:ascii="Times New Roman" w:cs="Times New Roman" w:eastAsia="Times New Roman" w:hAnsi="Times New Roman"/>
          <w:sz w:val="14"/>
          <w:szCs w:val="14"/>
          <w:color w:val="auto"/>
        </w:rPr>
        <w:t xml:space="preserve"> and hDMD mouse models support potential for high and persistent dystrophin restoration in patients.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submit global regulatory filings for ENTR-601-51 in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VX-670 (Partnered)</w:t>
      </w:r>
    </w:p>
    <w:p>
      <w:pPr>
        <w:spacing w:after="0" w:line="157"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 xml:space="preserve">We are supporting the development of VX-670, in partnership with Vertex for patients with DM1. DM1 is a rare disease caused by a mutation driven alteration of normal RNA structure manifesting as an increase in the number of CTG triplet repeats found in the 3’ non-coding region of the DM1 protein kinase (“DMPK”) gene. The resulting transcripts, which contain an expanded CUG tract, aggregate in discrete foci in the nuclei of DM patient cells. The excessive number of CUG repeats impart toxic activity, referred to as a toxic gain-of-function. Multiple key proteins are misprocessed, and this contributes to the multi-systemic nature of the disease, which includes generalized limb weakness, respiratory muscle impairment, cardiac abnormalities, fatigue, gastrointestinal </w:t>
      </w:r>
      <w:r>
        <w:rPr>
          <w:rFonts w:ascii="Times New Roman" w:cs="Times New Roman" w:eastAsia="Times New Roman" w:hAnsi="Times New Roman"/>
          <w:sz w:val="14"/>
          <w:szCs w:val="14"/>
          <w:color w:val="231F20"/>
        </w:rPr>
        <w:t>complications</w:t>
      </w:r>
      <w:r>
        <w:rPr>
          <w:rFonts w:ascii="Times New Roman" w:cs="Times New Roman" w:eastAsia="Times New Roman" w:hAnsi="Times New Roman"/>
          <w:sz w:val="14"/>
          <w:szCs w:val="14"/>
          <w:color w:val="auto"/>
        </w:rPr>
        <w:t>, cataracts, incontinence and excessive daytime sleepiness.</w:t>
      </w:r>
    </w:p>
    <w:p>
      <w:pPr>
        <w:spacing w:after="0" w:line="144"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DM1 is commonly estimated to affect approximately 110,000 people in the United States and Europe. The disease is typically categorized based on age of onset and severity of symptoms into various phenotypes: 75% classical (adult-onset in the second to fourth decade of life); 10% childhood; and 15% congenital. All forms of DM1, except the late-onset form,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507"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are associated with high levels of disease burden and in the most severe cases can be associated with premature mortality. Life expectancy ranges from 45 years to 60 years. Seventy percent of early mortality is caused by cardiorespiratory complications. Respiratory failure due to muscle weakness (especially diaphragmatic weakness) causes at least 40% of early mortality, and cardiac abnormalities account for approximately 30%. The clinical course of DM1 is usually slowly progressive, but may become extremely disabling, especially when more generalized limb weakness and respiratory muscle impairment develops. Systemic manifestations such as fatigue, gastrointestinal (“GI”) complications, cataracts, incontinence and excessive daytime sleepiness greatly impact a patient’s quality of life. As a result, DM1 leads to physical impairment, activity limitations and decreased participation in social activities and work.</w:t>
      </w:r>
    </w:p>
    <w:p>
      <w:pPr>
        <w:spacing w:after="0" w:line="154"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There are currently no approved therapies to treat DM1 and treatment is focused largely on symptom management, which is tailored to the system affected and can therefore range from diet modification and physical therapy to surgery and ventilatory support. Therefore, there remains a high unmet medical need for new disease modifying therapies.</w:t>
      </w:r>
    </w:p>
    <w:p>
      <w:pPr>
        <w:spacing w:after="0" w:line="114" w:lineRule="exact"/>
        <w:rPr>
          <w:sz w:val="20"/>
          <w:szCs w:val="20"/>
          <w:color w:val="auto"/>
        </w:rPr>
      </w:pPr>
    </w:p>
    <w:p>
      <w:pPr>
        <w:ind w:right="180" w:firstLine="509"/>
        <w:spacing w:after="0" w:line="244" w:lineRule="auto"/>
        <w:rPr>
          <w:sz w:val="20"/>
          <w:szCs w:val="20"/>
          <w:color w:val="auto"/>
        </w:rPr>
      </w:pPr>
      <w:r>
        <w:rPr>
          <w:rFonts w:ascii="Times New Roman" w:cs="Times New Roman" w:eastAsia="Times New Roman" w:hAnsi="Times New Roman"/>
          <w:sz w:val="14"/>
          <w:szCs w:val="14"/>
          <w:color w:val="auto"/>
        </w:rPr>
        <w:t xml:space="preserve">VX-670 is intended to address the underlying cause of the </w:t>
      </w:r>
      <w:r>
        <w:rPr>
          <w:rFonts w:ascii="Times New Roman" w:cs="Times New Roman" w:eastAsia="Times New Roman" w:hAnsi="Times New Roman"/>
          <w:sz w:val="14"/>
          <w:szCs w:val="14"/>
          <w:color w:val="231F20"/>
        </w:rPr>
        <w:t>disease</w:t>
      </w:r>
      <w:r>
        <w:rPr>
          <w:rFonts w:ascii="Times New Roman" w:cs="Times New Roman" w:eastAsia="Times New Roman" w:hAnsi="Times New Roman"/>
          <w:sz w:val="14"/>
          <w:szCs w:val="14"/>
          <w:color w:val="auto"/>
        </w:rPr>
        <w:t xml:space="preserve"> by targeting the extra CUG triplet repeats responsible for the downstream misprocessing of proteins important to cell growth, metabolism and function. VX-670 </w:t>
      </w:r>
      <w:r>
        <w:rPr>
          <w:rFonts w:ascii="Times New Roman" w:cs="Times New Roman" w:eastAsia="Times New Roman" w:hAnsi="Times New Roman"/>
          <w:sz w:val="14"/>
          <w:szCs w:val="14"/>
          <w:color w:val="231F20"/>
        </w:rPr>
        <w:t>is designed to block the triplet repeats and correct the mis-splicing and aberrant expression of downstream transcripts in order to restore tissue function.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Our preclinical studies have resulted in </w:t>
      </w:r>
      <w:r>
        <w:rPr>
          <w:rFonts w:ascii="Times New Roman" w:cs="Times New Roman" w:eastAsia="Times New Roman" w:hAnsi="Times New Roman"/>
          <w:sz w:val="14"/>
          <w:szCs w:val="14"/>
          <w:i w:val="1"/>
          <w:iCs w:val="1"/>
          <w:color w:val="231F20"/>
        </w:rPr>
        <w:t>in vitro</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i w:val="1"/>
          <w:iCs w:val="1"/>
          <w:color w:val="231F20"/>
        </w:rPr>
        <w:t>in vivo</w:t>
      </w:r>
      <w:r>
        <w:rPr>
          <w:rFonts w:ascii="Times New Roman" w:cs="Times New Roman" w:eastAsia="Times New Roman" w:hAnsi="Times New Roman"/>
          <w:sz w:val="14"/>
          <w:szCs w:val="14"/>
          <w:color w:val="231F20"/>
        </w:rPr>
        <w:t xml:space="preserve"> data where we have observed splicing correction a</w:t>
      </w:r>
      <w:r>
        <w:rPr>
          <w:rFonts w:ascii="Times New Roman" w:cs="Times New Roman" w:eastAsia="Times New Roman" w:hAnsi="Times New Roman"/>
          <w:sz w:val="14"/>
          <w:szCs w:val="14"/>
          <w:color w:val="000000"/>
        </w:rPr>
        <w:t>cross multiple transcripts, durable DMPK mRNA knockdown, reduction of foci, rapid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phenotypic correction, and tolerability in murine models of DM1 which exhibit expanded CTG and CUG repeats. VX-670 is comprised of a PMO conjugated to an EEV (the same EEV used in Entrada's DMD programs), which we would expect to sterically block CUG repeats and relieve or prevent the sequestration MBNL1 while leaving DMPK mRNA unaffected and leaving healthy levels of DMPK intact.</w:t>
      </w:r>
    </w:p>
    <w:p>
      <w:pPr>
        <w:spacing w:after="0" w:line="143"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4"/>
          <w:szCs w:val="14"/>
          <w:color w:val="auto"/>
        </w:rPr>
        <w:t>We entered into a Strategic Collaboration and License Agreement, which was amended in October 2023 (the “Vertex Agreement”), with Vertex pursuant to which we granted Vertex an exclusive worldwide license to research, develop, manufacture and commercialize VX-670, as well as any additional EEV-based therapeutic candidates that may be identified by the Company for the potential treatment of DM1 in the course of the parties’ global research collaboration. The Vertex Agreement provides for a four-year global research collaboration under which Vertex will fund our continued preclinical development of VX-670, as well as the option to fund additional DM1-related research activities with a goal of identifying other EEV-based therapeutic product candidates for the potential treatment of DM1. Other than our efforts under this research collaboration, Vertex will be responsible for global development, manufacturing and commercialization of the licensed products.</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Under the terms of the Vertex Agreement, we initially received $250.0 million from the Vertex Agreement comprised of an upfront payment of $223.7 million and an equity investment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$26.3 million in our common stock at $16.26 per share. In the fourth quarter of 2023, we achieved a milestone pursuant to the Vertex Agreement related to preclinical IND-enabling Good Laboratory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Practices (“GLP”) toxicology studies of VX-670 that triggered a $17.5 million milestone payment, which we received in the fourth quarter of 2023. In the first quarter of 2024, we achieved a</w:t>
      </w:r>
    </w:p>
    <w:p>
      <w:pPr>
        <w:spacing w:after="0"/>
        <w:rPr>
          <w:sz w:val="20"/>
          <w:szCs w:val="20"/>
          <w:color w:val="auto"/>
        </w:rPr>
      </w:pPr>
      <w:r>
        <w:rPr>
          <w:rFonts w:ascii="Times New Roman" w:cs="Times New Roman" w:eastAsia="Times New Roman" w:hAnsi="Times New Roman"/>
          <w:sz w:val="14"/>
          <w:szCs w:val="14"/>
          <w:color w:val="auto"/>
        </w:rPr>
        <w:t>milestone related to the clinical advancement of VX-670, which triggered a $75.0 million payment. We received this payment in the second quarter of 2024.</w:t>
      </w:r>
    </w:p>
    <w:p>
      <w:pPr>
        <w:spacing w:after="0" w:line="15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On May 6, 2024, Vertex announced that its IND for the Phase 1/2 clinical trial of VX-670 in people with DM1 has been cleared, as have the CTAs in Canada, the United Kingdom and the European Union, and the Clinical Trials Notification (“CTN”) in Australia. On November 4, 2024, Vertex announced completion of the single ascending dose (“SAD”) portion of the global Phase 1/2 clinical trial for VX-670 in people with DM1. In addition, Vertex announced that they have initiated the MAD portion of the Phase 1/2 study, in which both the safety and efficacy of VX-670 will be evaluated.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Beyond Neuromuscular Disease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Ocular Disease</w:t>
      </w:r>
    </w:p>
    <w:p>
      <w:pPr>
        <w:spacing w:after="0" w:line="1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High unmet need continues to exist across a wide range of ocular diseases including macular dystrophies, photoreceptor diseases, optic neuropathies, among others. Many of these are of genetic origin and potentially addressable via RNA based therapeutics including exon skipping approaches. Despite the benefits of both local delivery and immune privilege many of these diseases have proven to be difficult to treat, as evidenced by a number of clinical failures. The retina is a complex structure consisting of multiple layers of tissue and a range of different cell types. A consistent challenge for developers has been the distribution and uptake of therapeutic candidates broadly, throughout the various layers and cell types across the retina. Our lead ocular program targets an indication which results in blindness and affects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several thousand exon skipping amenable patients in the United States alone. There are no approved therapies that address the underlying cause of disease. Lead optimization work is ongoing and, based in part on promising preclinical data demonstrating high levels of exon skipping in NHPs at well tolerated doses, we expect to select a candidate for our first ocular target before the end of 2025. This is expected to be followed by a second candidate addressing a different target, and a different disease, in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Additional Preclinical Development and Discovery Programs</w:t>
      </w:r>
    </w:p>
    <w:p>
      <w:pPr>
        <w:spacing w:after="0" w:line="179"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231F20"/>
        </w:rPr>
        <w:t>We have leveraged the modularity of our EEV Platform to develop opportunities as diverse as EEV-lipid nanoparticle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EEV-LNP</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enabled CRISPR-Cas delivery for gene editing, EEV-LNP based delivery of mRNA, antibody and peptide drug conjugates, therapeutic opportunities for central nervous system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CNS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and peripheral nervous system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PNS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disorders, conjugates for enhanced therapeutic effect in immunology, metabolic disease and oncology. We regularly explore strategic opportunities to develop potential therapies for patients with devastating diseases</w:t>
      </w:r>
      <w:r>
        <w:rPr>
          <w:rFonts w:ascii="Times New Roman" w:cs="Times New Roman" w:eastAsia="Times New Roman" w:hAnsi="Times New Roman"/>
          <w:sz w:val="14"/>
          <w:szCs w:val="14"/>
          <w:color w:val="000000"/>
        </w:rPr>
        <w:t>.</w:t>
      </w:r>
    </w:p>
    <w:p>
      <w:pPr>
        <w:spacing w:after="0" w:line="134"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Enzyme/protein related programs: </w:t>
      </w:r>
      <w:r>
        <w:rPr>
          <w:rFonts w:ascii="Times New Roman" w:cs="Times New Roman" w:eastAsia="Times New Roman" w:hAnsi="Times New Roman"/>
          <w:sz w:val="14"/>
          <w:szCs w:val="14"/>
          <w:color w:val="auto"/>
        </w:rPr>
        <w:t>EEV peptides can be linked to an enzyme critical to maintaining specific steps in a cell’s metabolic processes. Patients lacking a given enzyme will fail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produce proteins needed to maintain the viability of cells in the body or will suffer a buildup of toxic byproducts, either of which can result in disease and potentially death. We have generated a number of EEV-enzyme conjugates, including PTI-501 for MNGIE, a fatal mitochondrial disease, for which we have completed IND-enabling studies and licensed to Pierrepont Therapeutics, Inc. in 2023. NHP pharmacokinetic and acute and chronic toxicology studies indicated both a long circulating half-life and a favorable tolerability profile, which may serve as a foundation upon which our ERT programs can later build.</w:t>
      </w:r>
    </w:p>
    <w:p>
      <w:pPr>
        <w:spacing w:after="0" w:line="142"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Ultimately, we believe that achieving a significant increase in intracellular target exposure has the potential to translate into substantial improvements to the efficacy, safety, tolerability, manufacturability and cost of future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1687195</wp:posOffset>
            </wp:positionH>
            <wp:positionV relativeFrom="paragraph">
              <wp:posOffset>88265</wp:posOffset>
            </wp:positionV>
            <wp:extent cx="4123055" cy="1597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23055" cy="159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aim to transform the lives of patients and become the world’s foremost intracellular therapeutics company. To achieve this, the key pillars of our strategy include:</w:t>
      </w:r>
    </w:p>
    <w:p>
      <w:pPr>
        <w:spacing w:after="0" w:line="177" w:lineRule="exact"/>
        <w:rPr>
          <w:sz w:val="20"/>
          <w:szCs w:val="20"/>
          <w:color w:val="auto"/>
        </w:rPr>
      </w:pPr>
    </w:p>
    <w:p>
      <w:pPr>
        <w:jc w:val="both"/>
        <w:ind w:left="520" w:right="400" w:hanging="260"/>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Rapidly advance EEV-PMO therapeutic candidates into and through clinical development in patients with neuromuscular disease. </w:t>
      </w:r>
      <w:r>
        <w:rPr>
          <w:rFonts w:ascii="Times New Roman" w:cs="Times New Roman" w:eastAsia="Times New Roman" w:hAnsi="Times New Roman"/>
          <w:sz w:val="14"/>
          <w:szCs w:val="14"/>
          <w:color w:val="231F20"/>
        </w:rPr>
        <w:t>Our DMD franchise is comprised of exon-skipping EEV-PMO candidates, ENTR-601-44, 45, 50 and 51, that aim to restore functional dystrophin production. Our four-year research and development collaboration with Vertex includes both the ongoing clinical development of VX-670 for patients with myotonic dystrophy type 1 and research into new EEV-based candidates.</w:t>
      </w:r>
    </w:p>
    <w:p>
      <w:pPr>
        <w:spacing w:after="0" w:line="133"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Leverage our growing capabilities in genetic medicine and protein design to advance a broad development portfolio of therapeutic candidates across multiple devastating diseases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31F20"/>
        </w:rPr>
        <w:t>We believe our expanded capabilities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line="270" w:lineRule="auto"/>
        <w:rPr>
          <w:sz w:val="20"/>
          <w:szCs w:val="20"/>
          <w:color w:val="auto"/>
        </w:rPr>
      </w:pPr>
      <w:r>
        <w:rPr>
          <w:rFonts w:ascii="Times New Roman" w:cs="Times New Roman" w:eastAsia="Times New Roman" w:hAnsi="Times New Roman"/>
          <w:sz w:val="14"/>
          <w:szCs w:val="14"/>
          <w:color w:val="231F20"/>
        </w:rPr>
        <w:t xml:space="preserve">can enable us to advance therapeutic candidates for the treatment of additional neuromuscular and non-neuromuscular diseases for which the biophysical properties, therapeutic approaches, and development strategies involve regulating gene and protein expression. </w:t>
      </w:r>
      <w:r>
        <w:rPr>
          <w:rFonts w:ascii="Times New Roman" w:cs="Times New Roman" w:eastAsia="Times New Roman" w:hAnsi="Times New Roman"/>
          <w:sz w:val="14"/>
          <w:szCs w:val="14"/>
          <w:color w:val="000000"/>
        </w:rPr>
        <w:t>We</w:t>
      </w:r>
      <w:r>
        <w:rPr>
          <w:rFonts w:ascii="Times New Roman" w:cs="Times New Roman" w:eastAsia="Times New Roman" w:hAnsi="Times New Roman"/>
          <w:sz w:val="14"/>
          <w:szCs w:val="14"/>
          <w:color w:val="231F20"/>
        </w:rPr>
        <w:t xml:space="preserve"> are experimenting with combinations of different platform elements to enhance the therapeutic index and half-life of potential candidates and to enable new mechanisms of action.</w:t>
      </w:r>
    </w:p>
    <w:p>
      <w:pPr>
        <w:spacing w:after="0" w:line="134" w:lineRule="exact"/>
        <w:rPr>
          <w:sz w:val="20"/>
          <w:szCs w:val="20"/>
          <w:color w:val="auto"/>
        </w:rPr>
      </w:pPr>
    </w:p>
    <w:p>
      <w:pPr>
        <w:ind w:left="520" w:right="520" w:hanging="260"/>
        <w:spacing w:after="0" w:line="29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Selectively evaluate strategic partnerships to maximize the therapeutic potential of our platform and programs</w:t>
      </w:r>
      <w:r>
        <w:rPr>
          <w:rFonts w:ascii="Times New Roman" w:cs="Times New Roman" w:eastAsia="Times New Roman" w:hAnsi="Times New Roman"/>
          <w:sz w:val="14"/>
          <w:szCs w:val="14"/>
          <w:color w:val="auto"/>
        </w:rPr>
        <w:t>. We aim to improve patients’ lives and plan to enable strategic</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partnerships with the goal of expanding our therapeutic footprint, and to accelerate the development of certain programs.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Team and Culture</w:t>
      </w:r>
    </w:p>
    <w:p>
      <w:pPr>
        <w:spacing w:after="0" w:line="181"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231F20"/>
        </w:rPr>
        <w:t>Entrada was founded based on exciting science that has the potential to transform the treatment of serious diseases. We are a dedicated team of experts and leaders in both disease biology and therapeutic development, working with urgency to make positive differences in the lives of patients and their families. We have a shared passion for involving patients and caregivers so that we may better understand the patient experience in order to develop therapies that more effectively reflect their perspectives and priorities.</w:t>
      </w:r>
    </w:p>
    <w:p>
      <w:pPr>
        <w:spacing w:after="0" w:line="12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 xml:space="preserve">Our management team brings a depth of experience and knowledge base in research, drug discovery and development and commercialization. The team is led by Dipal Doshi, our Chief Executive Officer, who brings over 20 years of leadership experience within life sciences companies; Nathan Dowden, our President and Chief Operating Officer, who has three decades of experience leading corporate strategy, portfolio management, business planning and operations; Natarajan Sethuraman, Ph.D., our President of Research and Development, who is an expert in large molecule therapeutic development and delivery platforms with over 30 years of experience across pharmaceutical and biotechnology companies; Kory Wentworth, our Chief Financial Officer, who has over 20 years of public accounting and global biopharmaceutical experience, and </w:t>
      </w:r>
      <w:r>
        <w:rPr>
          <w:rFonts w:ascii="Times New Roman" w:cs="Times New Roman" w:eastAsia="Times New Roman" w:hAnsi="Times New Roman"/>
          <w:sz w:val="14"/>
          <w:szCs w:val="14"/>
          <w:color w:val="231F20"/>
        </w:rPr>
        <w:t>our General Counsel, Jared Cohen Ph.D., J.D., who has 20 years of both external and in-house experience at a range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mature and early stage biopharmaceutical companies. Our leadership team also includes Karla MacDonald, our Chief Corporate Affairs Officer, Kerry Robert, M.S., our Senior Vice President, People, who has 15 years of experience building leading talent organizations in biotechnology and technology companies, and Kevin Healy, Ph.D., our Senior Vice President of Regulatory Affairs, who has extensive expertise in the development and commercialization of therapies for serious and rare diseases and has led or participated in more than 30 formal meetings with the FDA, EMA, and other global health authorities.</w:t>
      </w:r>
    </w:p>
    <w:p>
      <w:pPr>
        <w:spacing w:after="0" w:line="16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February 20, 2025</w:t>
      </w:r>
      <w:r>
        <w:rPr>
          <w:rFonts w:ascii="Times New Roman" w:cs="Times New Roman" w:eastAsia="Times New Roman" w:hAnsi="Times New Roman"/>
          <w:sz w:val="14"/>
          <w:szCs w:val="14"/>
          <w:color w:val="231F20"/>
        </w:rPr>
        <w:t xml:space="preserve">, our organization was comprised of </w:t>
      </w:r>
      <w:r>
        <w:rPr>
          <w:rFonts w:ascii="Times New Roman" w:cs="Times New Roman" w:eastAsia="Times New Roman" w:hAnsi="Times New Roman"/>
          <w:sz w:val="14"/>
          <w:szCs w:val="14"/>
          <w:color w:val="000000"/>
        </w:rPr>
        <w:t>183</w:t>
      </w:r>
      <w:r>
        <w:rPr>
          <w:rFonts w:ascii="Times New Roman" w:cs="Times New Roman" w:eastAsia="Times New Roman" w:hAnsi="Times New Roman"/>
          <w:sz w:val="14"/>
          <w:szCs w:val="14"/>
          <w:color w:val="231F20"/>
        </w:rPr>
        <w:t xml:space="preserve"> talented individuals with significant experience across discovery, preclinical research, manufacturing, clinical development and operations. </w:t>
      </w:r>
      <w:r>
        <w:rPr>
          <w:rFonts w:ascii="Times New Roman" w:cs="Times New Roman" w:eastAsia="Times New Roman" w:hAnsi="Times New Roman"/>
          <w:sz w:val="14"/>
          <w:szCs w:val="14"/>
          <w:color w:val="000000"/>
        </w:rPr>
        <w:t>We are supported by leading scientific and clinical experts in the fields of peptide chemistry, oligonucleotide and protein optimization, disease specific pathophysiology and clinical</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development.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The biotechnology and biopharmaceutical industries generally, and the neuromuscular disease field specifically, are characterized by rapidly advancing technologies, intense competition and a strong emphasis on proprietary products. While we believe that our technology, the expertise of our team, and our development experience and scientific knowledge in the field of muscle diseases, oligonucleotide therapeutics and manufacturing provide us with competitive advantages, we face potential competition from many different sources, including major pharmaceutical, specialty pharmaceutical and biotechnology companies, academic institutions, governmental agencies and public and private research institutions. Any therapeutic candidates that we successfully develop and commercialize may compete with existing therapies and new therapies that may become available in the future.</w:t>
      </w:r>
    </w:p>
    <w:p>
      <w:pPr>
        <w:spacing w:after="0" w:line="14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Currently, patients with DMD are treated with corticosteroids to manage the inflammatory component of the disease. EMFLAZA (deflazacort) is an FDA-approved corticosteroid marketed by PTC Therapeutics, Inc. (“PTC”) and AGAMREE (vamorolone) is a novel alternative steroid marketed by Catalyst Pharmaceuticals. Duvyzat (givinostat) is an oral medication marketed by ITF Therapeutics for patients six years of age and older. Duvyzat is a histone deacetylase (HDAC) inhibitor that works by targeting pathogenic processes to reduce inflammation and loss of muscle. There are four FDA-approved exon skipping drugs: EXONDYS 51 (eteplirsen), VYONDYS 53 (golodirsen), and AMONDYS 45 (casimersen), which are PMOs approved for the treatment of patients with DMD who are amenable to exon 51, exon 53 and exon 45 skipping, respectively, and are marketed by Sarepta Therapeutics, Inc. (“Sarepta”), and VILTEPSO (vitolarsen), a PMO approved for the treatment of patients with DMD who are amenable to exon 53 skipping, which is marketed by Nippon Shinyaku Co. Ltd (“Nippon”). Sarepta also markets Elevidys (delandistrogene moxeparvovec-rokl), a gene therapy for the treatment of DMD for ambulatory and non-ambulatory individuals 4 years of age and older.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4"/>
          <w:szCs w:val="14"/>
          <w:color w:val="auto"/>
        </w:rPr>
        <w:t xml:space="preserve">Companies focused on developing treatments for DMD that target dystrophin mechanisms, as does our DMD program, include </w:t>
      </w:r>
      <w:r>
        <w:rPr>
          <w:rFonts w:ascii="Times New Roman" w:cs="Times New Roman" w:eastAsia="Times New Roman" w:hAnsi="Times New Roman"/>
          <w:sz w:val="14"/>
          <w:szCs w:val="14"/>
          <w:color w:val="333333"/>
        </w:rPr>
        <w:t>Nippon, which is in a Phase 2 clinical trial for patients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33333"/>
        </w:rPr>
        <w:t xml:space="preserve">amenable to exon 44 skipping in Japan, </w:t>
      </w:r>
      <w:r>
        <w:rPr>
          <w:rFonts w:ascii="Times New Roman" w:cs="Times New Roman" w:eastAsia="Times New Roman" w:hAnsi="Times New Roman"/>
          <w:sz w:val="14"/>
          <w:szCs w:val="14"/>
          <w:color w:val="000000"/>
        </w:rPr>
        <w:t>PTC with ataluren, a small molecule targeting nonsense mutations in a Phase 3 clinical trial, Avidity Biosciences, Inc. (“Avidity”), which is in a Phase 2/3</w:t>
      </w:r>
      <w:r>
        <w:rPr>
          <w:rFonts w:ascii="Times New Roman" w:cs="Times New Roman" w:eastAsia="Times New Roman" w:hAnsi="Times New Roman"/>
          <w:sz w:val="14"/>
          <w:szCs w:val="14"/>
          <w:color w:val="333333"/>
        </w:rPr>
        <w:t xml:space="preserve"> </w:t>
      </w:r>
      <w:r>
        <w:rPr>
          <w:rFonts w:ascii="Times New Roman" w:cs="Times New Roman" w:eastAsia="Times New Roman" w:hAnsi="Times New Roman"/>
          <w:sz w:val="14"/>
          <w:szCs w:val="14"/>
          <w:color w:val="000000"/>
        </w:rPr>
        <w:t>clinical trial with antibody oligonucleotide conjugates for exon 44 (AOC-1044), and has similar programs for patients amenable to exon 45, and exon 51 skipping in preclinical development, Wave Life Sciences Ltd., which is clinically evaluating WVE-N531, a splicing clinical candidate that is designed to target exon 53 within the dystrophin gene, Dyne Therapeutics, Inc. (“Dyne”), which is pursuing antibody fragment-oligonucleotide conjugates for exons 44, 45, 51 (clinical candidate DYNE-251), and 53, PepGen, Inc. with PGN-EDO51, a clinical candidate designed to address exon 51, along with discovery programs targeting exons 53, 44, and 45, and BioMarin Pharmaceutical Inc., which is in clinical development with BMN 351, an antisense oligonucleotide therapy for exon</w:t>
      </w:r>
    </w:p>
    <w:p>
      <w:pPr>
        <w:spacing w:after="0" w:line="2" w:lineRule="exact"/>
        <w:rPr>
          <w:sz w:val="20"/>
          <w:szCs w:val="20"/>
          <w:color w:val="auto"/>
        </w:rPr>
      </w:pPr>
    </w:p>
    <w:p>
      <w:pPr>
        <w:ind w:right="140" w:firstLine="5"/>
        <w:spacing w:after="0" w:line="266" w:lineRule="auto"/>
        <w:tabs>
          <w:tab w:leader="none" w:pos="21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several companies are developing gene therapies to treat DMD, including Solid Biosciences Inc. (SGT-003), and REGENXBIO (RGX-202). We are also aware of several companies targeting gene editing and non-dystrophin mechanisms for the treatment of DMD.</w:t>
      </w:r>
    </w:p>
    <w:p>
      <w:pPr>
        <w:spacing w:after="0" w:line="159" w:lineRule="exact"/>
        <w:rPr>
          <w:sz w:val="20"/>
          <w:szCs w:val="20"/>
          <w:color w:val="auto"/>
        </w:rPr>
      </w:pPr>
    </w:p>
    <w:p>
      <w:pPr>
        <w:ind w:right="60" w:firstLine="458"/>
        <w:spacing w:after="0" w:line="261" w:lineRule="auto"/>
        <w:rPr>
          <w:sz w:val="20"/>
          <w:szCs w:val="20"/>
          <w:color w:val="auto"/>
        </w:rPr>
      </w:pPr>
      <w:r>
        <w:rPr>
          <w:rFonts w:ascii="Times New Roman" w:cs="Times New Roman" w:eastAsia="Times New Roman" w:hAnsi="Times New Roman"/>
          <w:sz w:val="14"/>
          <w:szCs w:val="14"/>
          <w:color w:val="auto"/>
        </w:rPr>
        <w:t>We expect to face competition alongside our partner from existing products and products in development for each of our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AOC-1001, an antibody linked siRNA in clinical development by Avidity; DYNE-101, an antibody fragment conjugated to an ASO targeting DM1 protein kinase knockdown in clinical development by Dyne; EDODM1, a linear peptide conjugated to a PMO targeting CUG repeats in clinical development by PepGen, Inc.; a small molecule targeting GTG repeats in preclinical development by Design Therapeutics, Inc.; and small molecules interacting with RNA in preclinical development by Expansion Therapeutics, Inc.</w:t>
      </w:r>
    </w:p>
    <w:p>
      <w:pPr>
        <w:spacing w:after="0" w:line="14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Many of our competitors, either independently or with strategic partners, have substantially greater financial, technical and human resources than we do. Accordingly, our competitors may be more successful than we are in research and development, manufacturing, preclinical testing, conducting clinical trials, obtaining regulatory approval for treatments and achieving widespread market acceptance.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w:t>
      </w:r>
    </w:p>
    <w:p>
      <w:pPr>
        <w:spacing w:after="0" w:line="143"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Our commercial potential could be substantially limited if our competitors develop and commercialize products that are more effective, safer, less toxic, more convenient or less expensive than any products we may develop.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payers seeking to encourage the use of other drugs. The key competitive factors affecting the success of any products we may develop are likely to be their efficacy, safety, convenience, price and availability of reimbursement.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1"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We strive to protect our proprietary technology, inventions, improvements, platforms, program candidates, therapeutic candidates and components thereof, their methods of use and processes for their manufacture that we believe are important to our business, including by obtaining, maintaining, defending and enforcing patent and other intellectual property rights for the foregoing in the United States and in foreign jurisdictions. We also rely on trade secrets and confidentiality agreements to protect our confidential information and know-how and other aspects of our business that are not amenable to, or that we do not consider appropriate for, patent protection.</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future commercial success depends in part on our ability to:</w:t>
      </w:r>
    </w:p>
    <w:p>
      <w:pPr>
        <w:spacing w:after="0" w:line="179" w:lineRule="exact"/>
        <w:rPr>
          <w:sz w:val="20"/>
          <w:szCs w:val="20"/>
          <w:color w:val="auto"/>
        </w:rPr>
      </w:pPr>
    </w:p>
    <w:p>
      <w:pPr>
        <w:ind w:left="520" w:right="4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maintain, enforce and defend patent and other intellectual property rights for our important technology, inventions and know-how; preserve the confidentiality of our trade secrets and other confidential information;</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licenses to use and exploit intellectual property owned or controlled by third parties;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operate without infringing, misappropriating or otherwise violating any valid and enforceable patents and other intellectual property rights of third parties;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right="60" w:hanging="260"/>
        <w:spacing w:after="0" w:line="287"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defend against challenges and assertions by third parties challenging the validity or enforceability of our intellectual property rights, or our rights in our intellectual property, or asserting that the operation of our business infringes, misappropriates or otherwise violates their intellectual property rights.</w:t>
      </w:r>
    </w:p>
    <w:p>
      <w:pPr>
        <w:spacing w:after="0" w:line="124"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4"/>
          <w:szCs w:val="14"/>
          <w:color w:val="auto"/>
        </w:rPr>
        <w:t>Our portfolio consists of owned and exclusively licensed patents and applications. As of February 20, 2025, there are 80 distinct patent families (42 families with non-provisional applications and 38 families with pending provisional applications) covering compositions of matter, manufacturing and uses related to our business. Among these patent families, we have 281 pending applications (including PCT, provisional and non-provisional applications) in the U.S. and Europe, as well as other countries of strategic value; and 83 granted patents in the U.S., Europe, China, India, Japan, and Hong Kong (including a total of 45 member state validations of three European patents). Of these pending applications and granted patents, the licensed patent applications are pending in U.S., Europe, China, Canada, Hong Kong, Japan, and Taiwan; and licensed patents are granted in the U.S., Europe, China, Japan, Taiwan, and Hong Kong.</w:t>
      </w:r>
    </w:p>
    <w:p>
      <w:pPr>
        <w:spacing w:after="0" w:line="143"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4"/>
          <w:szCs w:val="14"/>
          <w:color w:val="auto"/>
        </w:rPr>
        <w:t>Our owned and licensed patent estate covers various aspects of our programs and technology, including various embodiments of our EEV Platform; proprietary enzyme, peptide, oligonucleotide and CRISPR conjugates; methods of treatment; and aspects of manufacturing. The portfolio includes patents covering certain embodiments of the EEV Platform that don’t relate to our lead therapeutic candidates with granted patents in the U.S. (3), India, Japan, China, Hong Kong and Europe (including 37 European validation states). The extent to which any patents, if and when granted, will cover our therapeutic candidates is uncertain. Any U.S. or foreign patents issued from national stage filings of our PCT patent applications and any U.S. patents issued from non-provisional applications we have filed or may file in connection with our provisional patent applications would be scheduled to expire on various dates from 2036 through 2045, without taking into account any possible patent term adjustments or extensions and assuming payment of all appropriate maintenance, renewal, annuity and other governmental fees.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Prosecution</w:t>
      </w:r>
    </w:p>
    <w:p>
      <w:pPr>
        <w:spacing w:after="0" w:line="181"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A PCT patent application is not eligible to become an issued patent until, among other things, we file one or more national stage patent applications in the jurisdictions in which we seek patent protection and do so within prescribed timelines of the PCT patent application’s priority date. These prescribed timelines are generally 30 months, 31 months or 32 months, depending on the jurisdiction. If we do not timely file any national stage patent applications, we may lose our priority date and any potential patent protection on the inventions disclosed in such PCT patent application.</w:t>
      </w:r>
    </w:p>
    <w:p>
      <w:pPr>
        <w:spacing w:after="0" w:line="140" w:lineRule="exact"/>
        <w:rPr>
          <w:sz w:val="20"/>
          <w:szCs w:val="20"/>
          <w:color w:val="auto"/>
        </w:rPr>
      </w:pPr>
    </w:p>
    <w:p>
      <w:pPr>
        <w:ind w:right="180" w:firstLine="509"/>
        <w:spacing w:after="0" w:line="270" w:lineRule="auto"/>
        <w:rPr>
          <w:sz w:val="20"/>
          <w:szCs w:val="20"/>
          <w:color w:val="auto"/>
        </w:rPr>
      </w:pPr>
      <w:r>
        <w:rPr>
          <w:rFonts w:ascii="Times New Roman" w:cs="Times New Roman" w:eastAsia="Times New Roman" w:hAnsi="Times New Roman"/>
          <w:sz w:val="14"/>
          <w:szCs w:val="14"/>
          <w:color w:val="auto"/>
        </w:rPr>
        <w:t>Moreover, a provisional patent application is not eligible to become an issued patent. A provisional patent application may serve as a priority filing for a non-provisional patent application we file within 12 months of such provisional patent application. If we do not timely file non-provisional patent applications, we may lose our priority date with respect to our existing provisional patent applications and any potential patent protection on the inventions disclosed in our provisional patent applications.</w:t>
      </w:r>
    </w:p>
    <w:p>
      <w:pPr>
        <w:spacing w:after="0" w:line="136"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While we intend to timely file additional provisional patent applications, as well as national stage and non-provisional patent applications relating to our provisional applications or PCT patent applications, we cannot predict whether any of our patent applications will result in the issuance of patents. If we do not successfully obtain patent protection, or if the scope of the patent protection we or our licensors obtain with respect to our therapeutic candidates or technology is insufficient, we will be unable to use patent protection to prevent others from using our technology or from developing or commercializing technology and products similar or identical to ours or other similar competing products and technologies. Our ability to stop third parties from making, using, selling, offering to sell, importing or otherwise commercializing any of our technology, inventions and improvements, either directly or indirectly, will depend in part on our success in obtaining, maintaining, defending and enforcing patent claims that cover our technology, inventions and improvements.</w:t>
      </w:r>
    </w:p>
    <w:p>
      <w:pPr>
        <w:spacing w:after="0" w:line="14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patent positions of companies like ours are generally uncertain and involve complex legal and factual questions. The protection afforded by a patent varies on a product-by-product basis, from jurisdiction-to-jurisdiction, and depends upon many factors, including the type of patent, the scope of its coverage, the availability of patent term adjustments and regulatory-related patent term extensions, the availability of legal remedies in a particular jurisdiction, and the validity and enforceability of the patent. Patent laws and related enforcement in various jurisdictions outside of the United States are uncertain and may not protect our rights to the same extent as the laws of the United States. Changes in the patent laws and rules, whether by legislation, judicial decisions or regulatory interpretation, in the United States and other jurisdictions may have uncertain affects that could improve or diminish our ability to protect our inventions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obtain, maintain, defend and enforce our patent rights, and could therefore affect the value of our business in uncertain ways.</w:t>
      </w:r>
    </w:p>
    <w:p>
      <w:pPr>
        <w:spacing w:after="0" w:line="17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The area of patent and other intellectual property rights in biotechnology is evolving and has many risks and uncertainties, and third parties may have blocking patents and other intellectual property that could be used to prevent us from commercializing our platform and therapeutic candidates and practicing our proprietary technology. Our patent rights may be challenged, narrowed, circumvented, invalidated or ruled unenforceable, which could limit our ability to stop third parties from marketing and commercializing related platforms or therapeutic candidates or limit the term of patents that cover our platform and any therapeutic candidates. In addition, the rights granted under any issued patents may not provide us with protection or competitive advantages against third parties with similar technology, and third parties may independently develop similar technologies.</w:t>
      </w:r>
    </w:p>
    <w:p>
      <w:pPr>
        <w:spacing w:after="0" w:line="143"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4"/>
          <w:szCs w:val="14"/>
          <w:color w:val="auto"/>
        </w:rPr>
        <w:t>Moreover, because of the extensive time required for development, testing and regulatory review of a potential product, it is possible that before any of our therapeutic candidates can be commercialized, any related patent may expire or remain in force for only a short period following commercialization, thereby reducing any competitive advantage provided by the patent. For this and other risks related to our proprietary technology, inventions, improvements, platforms and therapeutic candidates and intellectual property rights related to the foregoing, please see the section entitled “Risk Factors—Risks Related to Our Intellectual Property.”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Term</w:t>
      </w:r>
    </w:p>
    <w:p>
      <w:pPr>
        <w:spacing w:after="0" w:line="1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The term of individual patents depends upon the laws of the jurisdictions in which they are obtained. In most jurisdictions in which we file, the patent term is 20 years from the filing date of a PCT patent application or, if a PCT application is not filed, the earliest date of filing of the first non-provisional patent application to which the patent claims priority. However, the term of U.S. patents may be extended or adjusted for delays incurred due to compliance with FDA requirements or by delays encountered during prosecution that are caused by the United States Patent and Trademark Office (“USPTO”). For example, in the United States, a patent claiming a new chemical entity or biologic product, its method of use or its method of manufacture may be eligible for a limited patent term extension under the Drug Price Competition and Patent Term Restoration Act of 1984 (the “Hatch-Waxman Act”) for up to five years beyond the normal expiration date of the patent. Patent term extension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and within 60 days of FDA approval of the product. A patent that covers multiple products for which approval is sought can only be extended in connection with one of the approvals.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 For more information on patent term extensions, see “Business—Government Regulation —Patent Term Restoration and Extension and Marketing Exclusivity.” In the future, if and when any therapeutic candidates we may develop receive FDA approval, we expect to apply for patent term extensions on issued patents covering those therapeutic candidates. Moreover, we intend to seek patent term adjustments and extensions for any of our issued patents in any jurisdiction where such adjustments and extensions are available. However, there is no guarantee that the applicable authorities, including the USPTO and the FDA, will agree with our assessment of whether such adjustments and extensions should be granted, and even if granted, the length of such adjustments and extensions.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Trade Secrets</w:t>
      </w:r>
    </w:p>
    <w:p>
      <w:pPr>
        <w:spacing w:after="0" w:line="1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In addition to patent protection, we also rely on trade secrets, know-how, unpatented technology and other proprietary information to strengthen our competitive position. We currently, and may continue in the future continue to, rely on third parties to assist us in developing and manufacturing our products. Accordingly, we must, at times, share trade secrets, know-how, unpatented technology and other proprietary information, including those related to our platform, with them. We may in the future also enter into research and development collaborations with third parties that may require us to share trade secrets, know-how, unpatented technology and other proprietary information under the terms of research and development partnerships or similar agreements. Nonetheless, we take steps to protect and preserve our trade secrets and other confidential and proprietary information and prevent the unauthorized disclosure of the foregoing, including by entering into non-disclosure and invention assignment agreements with parties who have access to our trade secrets or other confidential and proprietary information, such as employees, consultants, outside scientific collaborators, contract research and manufacturing organizations, sponsored researchers and other advisors, at the commencement of their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employment, consulting or other relationships with us. In addition, we take other appropriate precautions, such as maintaining physical security of our premises and physical and electronic security of our information technology systems, to guard against any misappropriation or unauthorized disclosure of our trade secrets and other confidential and proprietary information by third parties.</w:t>
      </w:r>
    </w:p>
    <w:p>
      <w:pPr>
        <w:spacing w:after="0" w:line="12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Despite these efforts, third parties may independently develop substantially equivalent proprietary information and techniques or otherwise gain access to our trade secrets or other confidential or proprietary information. In addition, we cannot provide any assurances that all of the foregoing non-disclosure and invention assignment agreements have been duly executed, and any of the counterparties to such agreements may breach them and disclose our trade secrets and other confidential and proprietary information. Although we have confidence in the measures we take to protect and preserve our trade secrets and other confidential and proprietary information, they may be inadequate, our agreements or security measures may be breached, and we may not have adequate remedies for such breaches. Moreover, to the extent that our employees, contractors, consultants, collaborators and advisors use intellectual property owned by others in their work for us, disputes may arise as to our rights in any know-how or inventions arising out of such work. For more information, please see the section entitled “Risk Factors—Risks Related to Our Intellectual Property.”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License Agreement with The Ohio State University</w:t>
      </w:r>
    </w:p>
    <w:p>
      <w:pPr>
        <w:spacing w:after="0" w:line="18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On May 12, 2017, we entered into an option agreement with Ohio State Innovation Foundation (“OSIF”), an affiliate of The Ohio State University (“OSU”) responsible for the commercialization of technology developed at or created by or for OSU, in which the Company obtained an option (“OSIF Option Agreement”) to license all patents and patent applications involving technologies using cell-penetrating peptides arising out of or related to specified invention disclosures or through a sponsored research agreement executed with OSU on the same date (“OSU SRA”). On September 26, 2018, we exercised our option pursuant to the terms of the OSIF Option Agreement, and on December 14, 2018, we entered into a license agreement (“OSIF License Agreement”) for an exclusive, worldwide, sublicensable license under these patents and patent rights, and a non-exclusive, worldwide, sublicensable license under certain related know-how, to develop, commercialize or otherwise exploit products based on these cell-penetrating technologies for the treatment, prevention and diagnosis of any and all diseases or conditions. In addition, the OSIF License Agreement grants a worldwide, perpetual, irrevocable, fully-paid, royalty-free, sublicensable, exclusive license to any rights held by OSIF, OSU or its affiliates covering specifically identified cell-penetrating platform technology.</w:t>
      </w:r>
    </w:p>
    <w:p>
      <w:pPr>
        <w:spacing w:after="0" w:line="149"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4"/>
          <w:szCs w:val="14"/>
          <w:color w:val="auto"/>
        </w:rPr>
        <w:t>The term of the OSIF License Agreement will continue until the later of (a) the expiration of the last to expire of the exclusively licensed patent rights, or (b) the end of our obligation to pay royalties under the OSIF License Agreement. Such obligation ends, on a licensed product-by-licensed product and country-by-country basis, on the later of (1) expiration of the last to expire of the valid claims of the exclusively licensed patent rights covering such licensed product in such country, or (2) ten (10) years after the first commercial sale of such licensed product in such country. The last to expire exclusively licensed patent rights and valid claim of such exclusively licensed patent rights are estimated to expire by 2042, excluding any patent term adjustments or extensions. Upon expiration of the OSIF License Agreement at the end of the royalty term, the Company will maintain all license rights as a perpetual and fully paid-up license. Both parties have the right to terminate under certain enumerated circumstances. At our option, we may terminate the OSIF License Agreement for any reason with ninety (90) days’ written notice, or if OSIF is in material breach, after providing thirty (30) days’ notice of termination. OSIF may terminate the agreement at its option immediately upon delivery of written notice if any specified events occur, including failure by the Company to make payments due under the agreement and if the Company is in material breach, in each case pursuant to specified cure periods.</w:t>
      </w:r>
    </w:p>
    <w:p>
      <w:pPr>
        <w:spacing w:after="0" w:line="149"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We have typical diligence obligations under the OSIF License Agreement, including the obligation to use commercially reasonable efforts to develop and commercialize at least one licensed product. We may also be obligated to pay aggregate milestone payments of up to $7,950,000, tiered royalties on sales at low single digit percentages, a license maintenance fee of $25,000 per year beginning in 2021 and continuing until the first year in which commercial sales of a licensed product pursuant to the agreement commence. After such commercialization, we are required to make minimum annual payments of $125,000. In addition, in the event of a sublicense, under certain circumstances we may be required to pay up to 15% of non-royalty sublicensing consideration.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Commercialization</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Excluding PTI-501 and VX-670, we intend to retain significant development and commercial rights to our potential therapeutic candidates and, if marketing approval is obtained, to commercialize our therapeutic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therapeutic candidates. We believe that such a focused sales and marketing organization will be able to address the key specialists in treating the patient populations for which our therapeutic candidates are being developed. Clinical data, the size of the addressable patient population, and the size of the commercial infrastructure and manufacturing needs may all influence or alter our commercialization plans. The responsibilities of the marketing organization would include developing educational initiatives with respect to approved products and establishing relationships with researchers and practitioners in relevant fields of medicine.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and Supply</w:t>
      </w:r>
    </w:p>
    <w:p>
      <w:pPr>
        <w:spacing w:after="0" w:line="18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We do not own or operate manufacturing facilities. We currently rely on third-party contract manufacturing organizations (“CMOs”), and suppliers for EEV peptides, including linkers, and nucleotides that comprise ENTR-601-44, ENTR 601-45, ENTR-601-50, ENTR-601-51, VX-670, our other potential therapeutic candidates, and the conjugation of these components, and we expect to continue to do so to support our IND-enabling studies and our clinical trials and commercial activities. However, we may seek to establish our own manufacturing facility for IND-enabling studies, clinical studies and long-term commercial supply. As we scale manufacturing, we intend to continue to expand and strengthen our network of CMOs. We believe there are multiple sources for all of the materials required for the manufacture of our therapeutic candidates, as well as multiple CMOs who could assemble the aforementioned components that comprise our potential therapeutic candidates.</w:t>
      </w:r>
    </w:p>
    <w:p>
      <w:pPr>
        <w:spacing w:after="0" w:line="146"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Manufacturing is subject to extensive regulations that impose procedural and documentation requirements. These regulations govern record keeping, manufacturing processes and controls, personnel, quality control and quality assurance. Our CMOs are required to comply with these regulations and are assessed through regular monitoring and formal audits. Our third-party manufacturers are required to manufacture any therapeutic candidates we develop under current Good Manufacturing Practice (“CGMP”), requirements and other applicable laws and regulations.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have personnel with extensive technical, manufacturing, analytical and quality experience to oversee all contracted manufacturing and testing activities.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4"/>
          <w:szCs w:val="14"/>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drugs and biological products such as those we are developing. The processes for obtaining marketing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Licensure and Regulation of Drugs and Biologics in the United States</w:t>
      </w:r>
    </w:p>
    <w:p>
      <w:pPr>
        <w:spacing w:after="0" w:line="1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In the United States, where we are initially focusing our product development, the FDA regulates drugs under the Federal Food, Drug, and Cosmetic Act (“FDCA”), and biologics under the FDCA and the Public Health Service Act (“PHSA”), and their implementing regulations. Both drugs and biologics are also subject to other federal, state and local statutes and regulations. Our therapeutic candidates are early-stage and have not been approved by the FDA for marketing in the United States. Based on our novel therapeutic approach and the broad potential applicability of our EEV Platform to deliver a variety of therapeutic modalities into cells, we are developing therapeutic candidates that would be regulated under the FDCA, and/or the PHSA, and their implementing regulations, as drugs or biologics, depending on the modality of each product candidate.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 These sanctions may include, but are not limited to, the FDA’s refusal to allow an applicant to proceed with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the Department of Justice (“DOJ”), and other governmental entities, including state agencies.</w:t>
      </w:r>
    </w:p>
    <w:p>
      <w:pPr>
        <w:spacing w:after="0" w:line="13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An applicant seeking approval to market and distribute a new drug or biologic in the United States generally must satisfactorily complete each of the following steps: preclinical laboratory tests, animal studies and formulation studies all performed in accordance with the FDA’s Good Laboratory Practices (“GLP”) regulations, as applicable; completion of the manufacture, under CGMP conditions, of the drug substance and drug product that the sponsor intends to use in human clinical trials along with required analytical and stability testing; submission to the FDA of an IND, for human clinical testing, which must become effective before human clinical trials may begin; approval by an independent institutional review board (“IRB”), representing each clinical trial site before each clinical trial site may be initiated; performance of adequate and well-controlled human clinical trials, in accordance with current Good Clinical Practices (“GCP”), and any additional nonclinical studies required to establish the safety, efficacy, potency and purity of the product candidate for each proposed indication; preparation and submission to the FDA of a new drug application (“NDA”), or a Biologics License Application (“BLA”), for a biologic product, requesting marketing for one or more proposed indications, including submission of detailed information on the manufacture and composition of the product in clinical development and proposed labelling; review of the product by an FDA advisory committee, where appropriate or if applicable; satisfactory completion of one or more FDA inspections of the manufacturing facility or facilities, including those of third parties, at which the product, or components thereof, are produced to assess compliance with CGMP and to assure that the facilities, methods and controls are adequate to preserve the product’s identity, strength, quality and purity; satisfactory completion of any FDA audits of the preclinical studies and clinical trial sites to assure compliance with GLP, as applicable, and GCP, and the integrity of clinical data in support of the NDA or BLA; payment of user fees under the Prescription Drug User Fee Act (“PDUFA”); securing FDA approval of the NDA or BLA; and compliance with any post-approval requirements, including the potential requirement to implement a Risk Evaluation and Mitigation Strategy (“REMS”), and any post-approval studies or other post-marketing commitments required by the FDA.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Preclinical Studies and IND Application</w:t>
      </w:r>
    </w:p>
    <w:p>
      <w:pPr>
        <w:spacing w:after="0" w:line="181"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Before testing any therapeutic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40"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An IND is an exemption from the FDCA that allows an unapproved product candidate to be shipped in interstate commerce for use in a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trials can begin or recommence.</w:t>
      </w:r>
    </w:p>
    <w:p>
      <w:pPr>
        <w:spacing w:after="0" w:line="140"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As a result, submission of the IND may result in the FDA not allowing the trials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may be imposed by the FDA when there is concern for patient safety, and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conducted during drug development, and the FDA must grant permission, either explicitly or implicitly by not objecting, before each clinical trial can begin.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Human Clinical Trials in Support of an NDA or BLA</w:t>
      </w:r>
    </w:p>
    <w:p>
      <w:pPr>
        <w:spacing w:after="0" w:line="18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product candidate to healthy volunteers or patients with the disease or condition to be treated under the supervision of qualified investigators in accordance with GCP requirements. Clinical trials are conducted under protocols detailing, among other things, the objectives of the trial,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700"/>
        <w:spacing w:after="0" w:line="287" w:lineRule="auto"/>
        <w:rPr>
          <w:sz w:val="20"/>
          <w:szCs w:val="20"/>
          <w:color w:val="auto"/>
        </w:rPr>
      </w:pPr>
      <w:r>
        <w:rPr>
          <w:rFonts w:ascii="Times New Roman" w:cs="Times New Roman" w:eastAsia="Times New Roman" w:hAnsi="Times New Roman"/>
          <w:sz w:val="14"/>
          <w:szCs w:val="14"/>
          <w:color w:val="auto"/>
        </w:rPr>
        <w:t>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24"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4"/>
          <w:szCs w:val="14"/>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The FDA will accept a well-designed and well-conducted foreign clinical study not conducted under an IND if the study was conducted in accordance with GCP requirements, and the FDA is able to validate the data through an onsite inspection if deemed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4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Further, each clinical trial must be reviewed and approved by an IRB (or foreign equivalent, such as an independent ethics committee)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 sponsor may suspend or discontinue a clinical trial at any time for various reasons, including a finding that the clinical trial is not being conducted in accordance with GCP requirements or that the participants are being exposed to an unacceptable health risk. Clinical testing also must satisfy extensive GCP rules and the requirements for informed consent.</w:t>
      </w:r>
    </w:p>
    <w:p>
      <w:pPr>
        <w:spacing w:after="0" w:line="143"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Additionally, some clinical trials are overseen by an independent group of qualified experts organized by the clinical trial sponsor, known as a data safety monitoring board (“DSMB”), or data monitoring committee (“DMC”). This group may recommend continuation of the trial as planned, changes in trial conduct, or cessation of the trial at designated check points based on certain available data from the trial to which only the DSMB/DMC has access. Finally, certain clinical trials involving recombinant or synthetic nucleic acid molecules may be subject to review and approval of an Institutional Biosafety Committee (“IBC”), in accordance with NIH Guidelines for Research Involving Recombinant or Synthetic Nucleic Acid Molecules (“NIH Guidelines”). An IBC is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for recombinant or synthetic nucleic acid molecule research, many companies and other institutions not otherwise subject to the NIH Guidelines voluntarily follow them.</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Clinical trials typically are conducted in three sequential phases, but the phases may overlap or be combined. Additional studies may be required after approval.</w:t>
      </w:r>
    </w:p>
    <w:p>
      <w:pPr>
        <w:spacing w:after="0" w:line="179" w:lineRule="exact"/>
        <w:rPr>
          <w:sz w:val="20"/>
          <w:szCs w:val="20"/>
          <w:color w:val="auto"/>
        </w:rPr>
      </w:pPr>
    </w:p>
    <w:p>
      <w:pPr>
        <w:ind w:left="520" w:right="2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clinical trials are initially conducted in a limited population to test the product candidate for safety, including adverse effects, dose tolerance, absorption, metabolism, distribution, excretion and pharmacodynamics in healthy subjects or patients.</w:t>
      </w:r>
    </w:p>
    <w:p>
      <w:pPr>
        <w:spacing w:after="0" w:line="124" w:lineRule="exact"/>
        <w:rPr>
          <w:rFonts w:ascii="Times New Roman" w:cs="Times New Roman" w:eastAsia="Times New Roman" w:hAnsi="Times New Roman"/>
          <w:sz w:val="14"/>
          <w:szCs w:val="14"/>
          <w:color w:val="auto"/>
        </w:rPr>
      </w:pPr>
    </w:p>
    <w:p>
      <w:pPr>
        <w:jc w:val="both"/>
        <w:ind w:left="520" w:right="20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35" w:lineRule="exact"/>
        <w:rPr>
          <w:rFonts w:ascii="Times New Roman" w:cs="Times New Roman" w:eastAsia="Times New Roman" w:hAnsi="Times New Roman"/>
          <w:sz w:val="14"/>
          <w:szCs w:val="14"/>
          <w:color w:val="auto"/>
        </w:rPr>
      </w:pPr>
    </w:p>
    <w:p>
      <w:pPr>
        <w:ind w:left="5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 clinical trials typically proceed if the Phase 2 clinical trials demonstrate that a dose range of the product candidate is potentially effective and has an acceptable safety profile. Phase 3 clinical trials are generally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therapeutic.</w:t>
      </w:r>
    </w:p>
    <w:p>
      <w:pPr>
        <w:spacing w:after="0" w:line="140"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In some cases, the FDA may approve an NDA or BLA for a product but require the sponsor to conduct additional clinical trials to further assess the product’s safety and effectiveness after approval. Such post-approval trials are typically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referred to as Phase 4 clinical trials. These studies are used to gain additional experience from the treatment of patients in the intended therapeutic indication and to document a clinical benefit for products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Information about applicable clinical trials must be submitted within specific timeframes to the NIH for public dissemination on its ClinicalTrials.gov website.</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Under the Pediatric Research Equity Act of 2003 (“PREA”), an NDA,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sixty days of an end-of-Phase 2 meeting or as may be agreed between the sponsor and FDA. Those plans must contain an outline of the proposed pediatric study or studies the applicant plans to conduct, including study objectives and design, any deferral or waiver requests, and other information required by regulation. The sponsor and the FDA must reach agreement on the PSP. The FDA or the applicant may request an amendment to the plan at any time.</w:t>
      </w:r>
    </w:p>
    <w:p>
      <w:pPr>
        <w:spacing w:after="0" w:line="14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Unless otherwise required by regulation, the pediatric data requirements do not apply to products with orphan designation.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Expanded Access to an Investigational Drug for Treatment Use</w:t>
      </w:r>
    </w:p>
    <w:p>
      <w:pPr>
        <w:spacing w:after="0" w:line="1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Expanded access, sometimes called “compassionate use,” is the use of investigational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products for patients who may benefit from investigational therapies. FDA regulations allow access to investigational products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investigational product under a treatment protocol or treatment IND application.</w:t>
      </w:r>
    </w:p>
    <w:p>
      <w:pPr>
        <w:spacing w:after="0" w:line="143"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Expanded access may be appropriate when all of the following criteria apply: patient(s) have a serious or immediately life-threatening disease or condition, and there is no comparable or satisfactory alternative therapy to diagnose, monitor, or treat the disease or condition; patient enrollment in a clinical trial is not possible;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investigations that could support marketing approval of the product or otherwise compromise the potential development of the product. There is no obligation for a sponsor to make its drug products available for expanded access; however, as required by the 21</w:t>
      </w:r>
      <w:r>
        <w:rPr>
          <w:rFonts w:ascii="Times New Roman" w:cs="Times New Roman" w:eastAsia="Times New Roman" w:hAnsi="Times New Roman"/>
          <w:sz w:val="6"/>
          <w:szCs w:val="6"/>
          <w:color w:val="auto"/>
        </w:rPr>
        <w:t>st</w:t>
      </w:r>
      <w:r>
        <w:rPr>
          <w:rFonts w:ascii="Times New Roman" w:cs="Times New Roman" w:eastAsia="Times New Roman" w:hAnsi="Times New Roman"/>
          <w:sz w:val="14"/>
          <w:szCs w:val="14"/>
          <w:color w:val="auto"/>
        </w:rPr>
        <w:t xml:space="preserve"> Century Cures Act (“Cures Act”), a sponsor must make its policy regarding evaluating and responding to expanded access requests publicly available.</w:t>
      </w:r>
    </w:p>
    <w:p>
      <w:pPr>
        <w:spacing w:after="0" w:line="146" w:lineRule="exact"/>
        <w:rPr>
          <w:sz w:val="20"/>
          <w:szCs w:val="20"/>
          <w:color w:val="auto"/>
        </w:rPr>
      </w:pPr>
    </w:p>
    <w:p>
      <w:pPr>
        <w:ind w:right="200" w:firstLine="509"/>
        <w:spacing w:after="0" w:line="264" w:lineRule="auto"/>
        <w:rPr>
          <w:sz w:val="20"/>
          <w:szCs w:val="20"/>
          <w:color w:val="auto"/>
        </w:rPr>
      </w:pPr>
      <w:r>
        <w:rPr>
          <w:rFonts w:ascii="Times New Roman" w:cs="Times New Roman" w:eastAsia="Times New Roman" w:hAnsi="Times New Roman"/>
          <w:sz w:val="14"/>
          <w:szCs w:val="14"/>
          <w:color w:val="auto"/>
        </w:rPr>
        <w:t>In addition, on May 30, 2018, the Right to Try Act was signed into law. The law, among other things, provides a federal framework for certain patients to access certain investigational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manufacturer to make its investigational products available to eligible patients as a result of the Right to Try Act.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Compliance with CGMP Requirements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controls for products like biologics whose attributes cannot be precisely defined.</w:t>
      </w:r>
    </w:p>
    <w:p>
      <w:pPr>
        <w:spacing w:after="0" w:line="13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Manufacturers and others involved in the manufacture and distribution of approved drugs and biologics, and those supplying products, ingredients, and components of them,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Noncompliance with such requirements can lead to adverse findings by the FDA during these inspections; in instances of significant or continued noncompliance, such adverse findings can serve as the basis for additional regulatory action by the FDA, including but not limited to warning and “untitled” letters.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Review and Approval of an NDA or BLA</w:t>
      </w:r>
    </w:p>
    <w:p>
      <w:pPr>
        <w:spacing w:after="0" w:line="1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results of product candidate development, preclinical testing and clinical trials, including negative or ambiguous results as well as positive findings, are submitted to the FDA as part of an NDA or BLA requesting approval to market the product. The NDA or BLA must contain extensive manufacturing information and detailed information on the composition of the product and proposed labeling as well as payment of a user fee. Under federal law, the submission of most NDAs and BLAs are subject to an application user fee. The sponsor of an approved NDA or BLA is also subject to an annual program fee. Certain exceptions and waivers are available for some of these fees, such as an exception from the application fee for products with orphan designation and a waiver for certain small businesses.</w:t>
      </w:r>
    </w:p>
    <w:p>
      <w:pPr>
        <w:spacing w:after="0" w:line="143"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The FDA has 60 days after submission of the application to conduct an initial review to determine whether to accept it for filing based on the agency’s threshold determination that it is sufficiently complete to permit substantive review. Once the submission has been accepted for filing, the FDA begins an in-depth review of the application. Under the goals and policies agreed to by the FDA under PDUFA, the FDA has ten months in which to complete its initial review of a standard application and respond to the applicant, and six months for a priority review of the application. The FDA does not always meet its PDUFA goal dates for standard and priority NDAs and BLAs. The review process may be significantly extended by FDA requests for additional information or clarification. The review process and the PDUFA goal date may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46"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The FDA reviews an NDA or BLA to determine, among other things, whether the product is safe and effective and whether the facility in which it is manufactured, processed, packaged or held meets standards designed to assure the product’s continued safety, quality and purity.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have one year to submit to the FDA information that represents a complete response to the issues identified by the FDA. The FDA will then re-review the application, taking into consideration the response. Failure to respond to a complete response letter will serve as a withdrawal of an application. The FDA will not approve an application until issues identified in any complete response letters have been addressed.</w:t>
      </w:r>
    </w:p>
    <w:p>
      <w:pPr>
        <w:spacing w:after="0" w:line="149"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FDA may also refer the application to an advisory committee for review, evaluation and recommendation as to whether the application should be approved. In particular, the FDA may refer applications for novel products or products that present difficult questions of safety or efficacy to an advisory committee.</w:t>
      </w:r>
    </w:p>
    <w:p>
      <w:pPr>
        <w:spacing w:after="0" w:line="124"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a REMS program, to help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Fast Track, Breakthrough Therapy and Priority Review</w:t>
      </w:r>
    </w:p>
    <w:p>
      <w:pPr>
        <w:spacing w:after="0" w:line="181" w:lineRule="exact"/>
        <w:rPr>
          <w:sz w:val="20"/>
          <w:szCs w:val="20"/>
          <w:color w:val="auto"/>
        </w:rPr>
      </w:pPr>
    </w:p>
    <w:p>
      <w:pPr>
        <w:jc w:val="both"/>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FDA provides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14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products with fast track designation, sponsors may have greater interactions with the FDA, the product is potentially eligible for accelerated approval and priority review, if relevant criteria are met, and the FDA may initiate review of sections of a product with fast track designation application before the application is complete.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4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senior managers in the review process; assigning a cross-disciplinary lead for the review team; and taking other steps to design the clinical trials in an efficient manner. Breakthrough designation may be rescinded if a product no longer meets the qualifying criteria.</w:t>
      </w:r>
    </w:p>
    <w:p>
      <w:pPr>
        <w:spacing w:after="0" w:line="143"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Accelerated Approval Pathway</w:t>
      </w:r>
    </w:p>
    <w:p>
      <w:pPr>
        <w:spacing w:after="0" w:line="181"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For the purposes of accelerated approval,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Products granted accelerated approval must meet the same statutory standards for safety and effectiveness as those granted traditional approval.</w:t>
      </w:r>
    </w:p>
    <w:p>
      <w:pPr>
        <w:spacing w:after="0" w:line="147"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3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Under the Food and Drug Omnibus Reform Act of 2022 (“FDORA”) the FDA is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Orphan Drug Designation</w:t>
      </w:r>
    </w:p>
    <w:p>
      <w:pPr>
        <w:spacing w:after="0" w:line="181"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biologic for the disease or condition will be recovered from sales of the product in the United States.</w:t>
      </w:r>
    </w:p>
    <w:p>
      <w:pPr>
        <w:spacing w:after="0" w:line="136"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After the FDA grants orphan designation, the product must then go through the review and approval process like any other product.</w:t>
      </w:r>
    </w:p>
    <w:p>
      <w:pPr>
        <w:spacing w:after="0" w:line="136" w:lineRule="exact"/>
        <w:rPr>
          <w:sz w:val="20"/>
          <w:szCs w:val="20"/>
          <w:color w:val="auto"/>
        </w:rPr>
      </w:pPr>
    </w:p>
    <w:p>
      <w:pPr>
        <w:ind w:right="300" w:firstLine="509"/>
        <w:spacing w:after="0" w:line="264" w:lineRule="auto"/>
        <w:rPr>
          <w:sz w:val="20"/>
          <w:szCs w:val="20"/>
          <w:color w:val="auto"/>
        </w:rPr>
      </w:pPr>
      <w:r>
        <w:rPr>
          <w:rFonts w:ascii="Times New Roman" w:cs="Times New Roman" w:eastAsia="Times New Roman" w:hAnsi="Times New Roman"/>
          <w:sz w:val="14"/>
          <w:szCs w:val="14"/>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40" w:lineRule="exact"/>
        <w:rPr>
          <w:sz w:val="20"/>
          <w:szCs w:val="20"/>
          <w:color w:val="auto"/>
        </w:rPr>
      </w:pPr>
    </w:p>
    <w:p>
      <w:pPr>
        <w:ind w:right="160" w:firstLine="509"/>
        <w:spacing w:after="0" w:line="270" w:lineRule="auto"/>
        <w:rPr>
          <w:sz w:val="20"/>
          <w:szCs w:val="20"/>
          <w:color w:val="auto"/>
        </w:rPr>
      </w:pPr>
      <w:r>
        <w:rPr>
          <w:rFonts w:ascii="Times New Roman" w:cs="Times New Roman" w:eastAsia="Times New Roman" w:hAnsi="Times New Roman"/>
          <w:sz w:val="14"/>
          <w:szCs w:val="14"/>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limited circumstances. If a product designated as an orphan drug ultimately receives marketing approval for an indication broader than what was designated in its orphan drug application, it may not be entitled to exclusivity.</w:t>
      </w:r>
    </w:p>
    <w:p>
      <w:pPr>
        <w:spacing w:after="0" w:line="124"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Pediatric Exclusivity</w:t>
      </w:r>
    </w:p>
    <w:p>
      <w:pPr>
        <w:spacing w:after="0" w:line="181"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Pediatric exclusivity is another type of non-patent marketing exclusivity in the United States and, if granted, provides for the attachment of an additional six months of marketing protection to the term of any existing regulatory exclusivity, including orphan exclusivity, for all formulations, dosage forms, and indications of the active moiety and, for drugs, patent terms. This six-month exclusivity may be granted if an NDA or BLA sponsor submits pediatric data that in accordance with an FDA-issued written request from the FDA for such data, provided that at the time pediatric exclusivity is granted there is not less than nine months of term remaining.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that cover the product are extended by six months.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Patent Term Restoration and Extension and Marketing Exclusivity</w:t>
      </w:r>
    </w:p>
    <w:p>
      <w:pPr>
        <w:spacing w:after="0" w:line="18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NDA or BLA, plus the time between the submission date of the NDA or BLA and the ultimate approval date, except that the review period is reduced by any time during which the applicant failed to exercise due diligence.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14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Marketing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Biosimilars and Exclusivity</w:t>
      </w:r>
    </w:p>
    <w:p>
      <w:pPr>
        <w:spacing w:after="0" w:line="181"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Patient Protection and Affordable Care Act, as amended by the Health Care and Education Reconciliation Act of 2010 (collectively, the “ACA”), which was signed into law in March 2010, included a subtitle called the Biologics Price Competition and Innovation Act of 2009 (“BPCIA”). The BPCIA established a regulatory scheme authorizing the FDA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approve biosimilars and interchangeable biosimilars. A biosimilar is a biological product that is highly similar to an existing FDA-licensed “reference product.” The FDA has issued multiple guidance documents outlining an approach to review and approval of biosimilars. 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47"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 regulated, to regulate the use of biosimilars.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Post-Approval Regulation</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If regulatory approval for marketing of a product or new indication for an existing product is obtained, the sponsor will be required to comply with all regular post-approval regulatory requirements as well as any post-approval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and applicable product tracking and tracing requirements. Accordingly, the sponsor and its third-party manufacturers must continue to expend time, money and effort in the areas of production and quality control to maintain compliance with CGMP regulations and other regulatory requirements.</w:t>
      </w:r>
    </w:p>
    <w:p>
      <w:pPr>
        <w:spacing w:after="0" w:line="147"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A biological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40"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40"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complete withdrawal of the product from the market or product recalls;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holds on post-approval clinical trials;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applications or supplements to approved applications, or suspension or revocation of product license approvals;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 seizure or detention, or refusal to permit the import or export of products; or</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or patient populations that are not approved by the FDA, as reflected in the product’s prescribing information (known as “off-label” use). In the United States, healthcare professionals are generally permitted to prescribe drugs for such off-label uses because the FDA does not regulate the practice of medicine. However, FDA regulations impose rigorous restrictions on manufacturers’ communications, prohibiting the promotion of off-label uses.</w:t>
      </w:r>
    </w:p>
    <w:p>
      <w:pPr>
        <w:spacing w:after="0" w:line="14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If a company, including any agent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43"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Federal and State Data Privacy and Security Laws</w:t>
      </w:r>
    </w:p>
    <w:p>
      <w:pPr>
        <w:spacing w:after="0" w:line="18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Under the federal Health Insurance Portability and Accountability Act of 1996 (“HIPAA”), the U.S. Department of Health and Human Services (“HHS”), has issued regulations to protect the privacy and security of protected health information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or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146"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Additionally, California and numerous other states have recently enacted, or have proposed enacting, comprehensive consumer privacy laws that grant rights to data subjects and place increased privacy and security obligations on entities handling personal data of consumers or households. These laws mark the beginning of a trend toward more stringent privacy legislation in the U.S. and may increase our potential liability as well as adversely affect our business.</w:t>
      </w:r>
    </w:p>
    <w:p>
      <w:pPr>
        <w:spacing w:after="0" w:line="136" w:lineRule="exact"/>
        <w:rPr>
          <w:sz w:val="20"/>
          <w:szCs w:val="20"/>
          <w:color w:val="auto"/>
        </w:rPr>
      </w:pPr>
    </w:p>
    <w:p>
      <w:pPr>
        <w:jc w:val="both"/>
        <w:ind w:right="300" w:firstLine="509"/>
        <w:spacing w:after="0" w:line="270"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we collect or otherwise process personal information, we may be subject to privacy or data protection laws that are in effect in such third countries foreign laws.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Regulation and Procedures Governing Approval of Medicinal Products Outside the United States</w:t>
      </w:r>
    </w:p>
    <w:p>
      <w:pPr>
        <w:spacing w:after="0" w:line="1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For example,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Clinical Trial Approval</w:t>
      </w:r>
    </w:p>
    <w:p>
      <w:pPr>
        <w:spacing w:after="0" w:line="181"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April 2014, the European Union (“EU”) adopted the Clinical Trials Regulation (EU) No 536/2014, which came into effect on January 31, 2022 and repealed the Clinical Trials Directive 2001/20/EC. The Clinical Trials Regulation overhauled the previous system of approvals for clinical trials in the EU. The main characteristics of the Clinical Trials Regulation include: a streamlined application procedure via a single-entry point through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Strict deadlines have been established for the assessment of clinical trial applications. The role of the relevant ethics committees in the assessment procedure continues to be governed by the national law of the applicable EU Member State, however, overall related timelines are defined by the Clinical Trials Regulation. Parties conducting certain clinical trials must, as in the United States, post clinical trial information in the EU through the CTIS.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PRIME Designation in the EU</w:t>
      </w:r>
    </w:p>
    <w:p>
      <w:pPr>
        <w:spacing w:after="0" w:line="18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4"/>
          <w:szCs w:val="14"/>
          <w:color w:val="auto"/>
        </w:rPr>
        <w:t>In March 2016, the EMA launched an initiative to facilitate development of therapeutic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Eligible products must target conditions for which there is an unmet medical need (there is no satisfactory method of diagnosis, prevention or treatment in the EU or, if there is, the new medicine will bring a major therapeutic advantage) and they must demonstrate the potential to address the unmet medical need by introducing new methods of therapy or improving existing ones. Products from small- and medium-sized enterprises may qualify for earlier entry into the PRIME scheme than larger companies. Many benefits accrue to sponsors of therapeutic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EMA contact and rapporteur from the Committee for Medicinal Products for Human Use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Marketing Authorization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4"/>
          <w:szCs w:val="14"/>
          <w:color w:val="auto"/>
        </w:rPr>
        <w:t>To obtain a marketing authorization for a product under the EU regulatory system,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This requirement also applies when a company wants to add a new indication, pharmaceutical form or route of administration for a medicine that is already authorized. Products that are granted a marketing authorization with the results of the pediatric clinical trials conducted in accordance with the PIP (even where such results are negative)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309"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The centralized procedure provides for the grant of a single marketing authorization by the European Commission that is valid for all EU Member States and in the additional countries of the European Economic Area (“EEA”) (i.e. Iceland, Liechtenstein and Norway). Pursuant to Regulation (EC) No. 726/2004, the centralized procedure is compulsory for specific products, including for medicines produced by certain biotechnological processes, products designated as orphan medicinal products, advanced therapy medical products (gene therapy, somatic cell therapy and tissue-engineered medicines) and products with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5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Under the centralized procedure in the EU, the CHMP established at the EMA is responsible for conducting an initial assessment of a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 MAA considerably beyond 210 days. Where the CHMP gives a positive opinion, the EMA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of major interest from the viewpoint of public health and, in particular,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47"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marketing authorization can be recognized in other Member States through the mutual recognition procedure. If the product has not received a national marketing authorization in any Member State at the time of application, it can be approved simultaneously in various Member States through the decentralized procedure.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Regulatory Data Protection in the EU</w:t>
      </w:r>
    </w:p>
    <w:p>
      <w:pPr>
        <w:spacing w:after="0" w:line="170"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4"/>
          <w:szCs w:val="14"/>
          <w:color w:val="auto"/>
        </w:rPr>
        <w:t>In the EU, innovative medicinal products approved on the basis of a complete and independent data package qualify for eight years of data exclusivity upon marketing authorization and an additional two years of market exclusivity pursuant to Regulation (EC) No 726/2004 and Directive 2001/83/EC. Data exclusivity, prevents applicants for authorization of generics or biosimilars of these innovative products from referencing the innovator’s preclinical and clinical trial data contained in the dossier of the reference product when applying for a generic (abbreviated) or biosimilar authorization for a period of eight years from the date on which the reference product was first authorized in the EU. During the additional two-year period of market exclusivity, a generic or biosimilar MAA can be submitted and authorized, and the innovator’s data may be referenced, but no generic or biosimilar medicinal product can be marketed until the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Even if a compound is considered to be an innovative medicinal product so that the innovator gains the prescribed period of data exclusivity, another company may market another version of the product if such company obtained marketing authorization based on an MAA with a complete and independent data package of pharmaceutical tests, preclinical tests and clinical trials.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Orphan Drug Designation and Exclusivity</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Regulation (EC) No 141/2000 and Regulation (EC) No.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in its development. For either of these conditions, the applicant must demonstrate that there exists no satisfactory method of diagnosis, prevention or treatment of the condition in question that has been authorized in the EU or, if such method exists, the drug product would be of significant benefit to those affected by that condition.</w:t>
      </w:r>
    </w:p>
    <w:p>
      <w:pPr>
        <w:spacing w:after="0" w:line="14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4"/>
          <w:szCs w:val="14"/>
          <w:color w:val="auto"/>
        </w:rPr>
        <w:t>An orphan designation provides a number of benefits, including fee reductions, regulatory assistance and the possibility to apply for a marketing authorization under the EU centralized procedure. Marketing authorization for an orphan medical product leads to a ten-year period of market exclusivity being granted following marketing authorization of the orphan medical product. During this market exclusivity period, the EMA, the European Commission or the EU Member States may only grant a marketing authorization to a “similar medicinal product” for the same therapeutic indication if: (i) a second applicant can establish that its product, although similar to the authorized orphan product, is safer, more effective or otherwise clinically superior; (ii) the marketing authorization holder for the authorized orphan product consents to a second medicinal product application; or (iii) the marketing authorization holder for the authorized orphan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designation because, for example,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Term Extensions in the EU and Other Jurisdictions</w:t>
      </w:r>
    </w:p>
    <w:p>
      <w:pPr>
        <w:spacing w:after="0" w:line="181"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Patent term extensions through supplementary protection certificates (“SPCs”) are available in the EU. The rules and requirements for obtaining a SPC are similar to those in the United States. An SPC may extend the term of a patent for up to five years after its originally scheduled expiration date and can provide up to a maximum of fifteen years of marketing exclusivity for a product. In certain circumstances, these periods may be extended for six additional months if pediatric exclusivity is obtained (see “Marketing Authorization” above). Although SPCs are available throughout the EU, sponsors must apply on a country-by-country basis. Similar patent term extension rights exist in certain other foreign jurisdictions outside the EU.</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Periods of Authorization and Renewals</w:t>
      </w:r>
    </w:p>
    <w:p>
      <w:pPr>
        <w:spacing w:after="0" w:line="17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4"/>
          <w:szCs w:val="14"/>
          <w:color w:val="auto"/>
        </w:rPr>
        <w:t>A marketing authorization has an initial validity for five years, in principle, and it may be renewed after five years on the basis of a re-evaluation of the risk-benefit balance by the EMA (for a centrally authorized product) or by the competent authority of the authorizing EU Member State (for a nationally authorized product).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 market (for a centrally authorized product) or on the market of the authorizing EU Member State (for a nationally authorized product) within three years after authorization, or if the product is removed from the market for three consecutive years, ceases to be valid (the so-called sunset clause).</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507"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Regulatory Requirements After Marketing Authorization</w:t>
      </w:r>
    </w:p>
    <w:p>
      <w:pPr>
        <w:spacing w:after="0" w:line="181"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 laws, regulations and guidance, including Directive 2001/83/EC, Directive (EU) 2017/1572, Regulation (EC) No 726/2004.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GMP requirements and comparable requirements of other regulatory bodies in the EU, which mandate the methods, facilities and controls used in manufacturing, processing and packing of medical products to assure their safety and identity.</w:t>
      </w:r>
    </w:p>
    <w:p>
      <w:pPr>
        <w:spacing w:after="0" w:line="14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Much like the Anti-Kickback Statue prohibition in the United States,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usually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46"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All of the aforementioned EU rules are generally applicable in the EEA.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Reform of the Regulatory Framework in the European Union</w:t>
      </w:r>
    </w:p>
    <w:p>
      <w:pPr>
        <w:spacing w:after="0" w:line="191"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color w:val="auto"/>
        </w:rPr>
        <w:t>The European Commission adopted legislative proposals in April 2023 that replaced the current regulatory framework in the European Union for all medicines (including those for rare diseases and for children). The European Commission has provided the legislative proposals to the European Parliament and the European Council for their review and approval, and, in April 2024, the European Parliament proposed amendments to the legislative proposals. Once the European Commission’s legislative proposals are approved (with or without amendment), they will be adopted into EU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Brexit and the Regulatory Framework in the United Kingdom</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United Kingdom (“UK”) formally left the EU on January 31, 2020.</w:t>
      </w:r>
    </w:p>
    <w:p>
      <w:pPr>
        <w:spacing w:after="0" w:line="189"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As a result of the Northern Ireland protocol, following Brexit, the EMA remained responsible for approving novel medicines for supply in Northern Ireland under the EU centralized procedure, and a separate authorization was required to supply the same medicine in Great Britain (England, Wales and Scotland). On February 27, 2023, the UK government and the European Commission announced a political agreement in principle to replace the Northern Ireland Protocol with a new set of arrangements, known as the “Windsor Framework”. The Windsor Framework was approved by the EU-UK Joint Committee on March 24, 2023, and the medicines aspects of the Windsor Framework have applied since January 1, 2025. This new framework fundamentally changes the existing system under the Northern Ireland Protocol, including with respect to the regulation of medicinal products in the UK. In particular, the MHRA is now responsible for approving all medicinal products destined for the UK market (i.e., Great Britain and Northern Ireland), and the EMA no longer has any role in approving medicinal products under the EU centralized framework destined for Northern Ireland.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ind w:right="180" w:firstLine="509"/>
        <w:spacing w:after="0" w:line="248" w:lineRule="auto"/>
        <w:rPr>
          <w:sz w:val="20"/>
          <w:szCs w:val="20"/>
          <w:color w:val="auto"/>
        </w:rPr>
      </w:pPr>
      <w:r>
        <w:rPr>
          <w:rFonts w:ascii="Times New Roman" w:cs="Times New Roman" w:eastAsia="Times New Roman" w:hAnsi="Times New Roman"/>
          <w:sz w:val="14"/>
          <w:szCs w:val="14"/>
          <w:color w:val="auto"/>
        </w:rPr>
        <w:t>The MHRA has introduced changes to national licensing procedures, including procedures to prioritize access to new medicines that will benefit patients, an accelerated assessment procedure and new routes of evaluation for novel products and biotechnological products. On January 1, 2024, the MHRA put in place a new international recognition framework which means that the MHRA may have regard to decisions on the approval of marketing authorizations made by the EMA and certain other regulators when determining an application for a new UK marketing authorization.</w:t>
      </w:r>
    </w:p>
    <w:p>
      <w:pPr>
        <w:spacing w:after="0" w:line="152"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In addition, once we begin to conduct business in the United Kingdom, we will be subject to stringent data protection laws that are in effect in the United Kingdom. As of January 1, 2021, the United Kingdom’s European Union (Withdrawal) Act 2018 incorporated the GDPR (as it existed on December 31, 2020 but subject to certain UK specific amendments) into UK law, referred to as the UK GDPR. The UK GDPR and the UK Data Protection Act 2018 set out the United Kingdom’s data protection regime, which is independent from but aligned to the European Union’s data protection regime. Non-compliance with the UK GDPR may result in monetary penalties of up to £17.5 million or 4% of worldwide revenue, whichever is higher.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Data Protection Regulation</w:t>
      </w:r>
    </w:p>
    <w:p>
      <w:pPr>
        <w:spacing w:after="0" w:line="18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Once we begin processing of personal data regarding individuals in the European Union, including personal health data, our activities will be subject to the GDPR. The GDPR is wide-ranging in scope and imposes numerous requirements on companies that process personal data, including requirements relating to ensuring an appropriate legal basis and/or condition applies to the processing of personal data, the processing of sensitive date (such as health data), where required by law obtaining consent of the individuals to whom the personal data relates, providing information to individuals regarding data processing activities, implementing safeguards to protect the security and confidentiality of personal data, providing notification of data breaches, conducting data protection impact assessments for high risk processing and taking certain measures when engaging third-party processors. The GDPR also imposes strict rules on the transfer of personal data to countries outside the European Union, including the United States. Compliance with the GDPR will be a rigorous and time-intensive process that may increase the cost of doing business or require us to change our business practices to ensure full compliance.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Coverage, Pricing and Reimbursement</w:t>
      </w:r>
    </w:p>
    <w:p>
      <w:pPr>
        <w:spacing w:after="0" w:line="1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therapeutic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payers to reimburse all or part of the associated healthcare costs. Patients are unlikely to use any therapeutic candidates we may develop unless coverage is provided and reimbursement is adequate to cover a significant portion of the cost of such therapeutic candidates. Even if any therapeutic candidates we may develop are approved, sales of such therapeutic candidates will depend, in part, on the extent to which third-party payers, including government health programs in the United States such as Medicare and Medicaid, commercial health insurers and managed care organizations, provide coverage and establish adequate reimbursement levels for, such therapeutic candidates. The process for determining whether a payer will provide coverage for a product may be separate from the process for setting the price or reimbursement rate that the payer will pay for the product once coverage is approved. Third-party payers are increasingly challenging the prices charged, examining the medical necessity, and reviewing the cost-effectiveness of medical products and services and imposing controls to manage costs. Third-party payers may limit coverage to specific products on an approved list, also known as a formulary, which might not include all of the approved products for a particular indication. For more information, see “Risks Related to Commercialization of Our Therapeutic Candidates”.</w:t>
      </w:r>
    </w:p>
    <w:p>
      <w:pPr>
        <w:spacing w:after="0" w:line="150"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therapeutic candidates may not be considered medically necessary or cost effective. A decision by a third-party payer not to cover any therapeutic candidates we may develop could reduce physician utilization of such therapeutic candidates once approved and have a material adverse effect on our sales, results of operations and financial condition. Additionally, a payer’s decision to provide coverage for a product does not imply that an adequate reimbursement rate will be approved. Further, one payer’s determination to provide coverage for a product does not assure that other payers will also provide coverage and reimbursement for the product, and the level of coverage and reimbursement can differ significantly from payer to payer. Third-party reimbursement and coverage may not be available to enable us to maintain price levels sufficient to realize an appropriate return on our investment in product development. In addition, any companion diagnostic tests require coverage and reimbursement separate and apart from the coverage and reimbursement for their companion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pharmaceutical or biological products. Similar challenges to obtaining coverage and reimbursement, applicable to pharmaceutical or biological products, will apply to any companion diagnostics.</w:t>
      </w:r>
    </w:p>
    <w:p>
      <w:pPr>
        <w:spacing w:after="0" w:line="1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containment of healthcare costs also has become a priority of federal, state and foreign governments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43"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Outside the United States, ensuring adequate coverage and payment for any therapeutic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therapeutic candidates we may develop to other available therapies. The conduct of such a clinical trial could be expensive and result in delays in our commercialization efforts.</w:t>
      </w:r>
    </w:p>
    <w:p>
      <w:pPr>
        <w:spacing w:after="0" w:line="14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Healthcare Law and Regulation</w:t>
      </w:r>
    </w:p>
    <w:p>
      <w:pPr>
        <w:spacing w:after="0" w:line="1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For more information, see “Risks Related to Our Business Operations and Industry”.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Healthcare Reform</w:t>
      </w:r>
    </w:p>
    <w:p>
      <w:pPr>
        <w:spacing w:after="0" w:line="181"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to the healthcare system in the United States. For more information, see “Risks Related to Our Business Operations and Industry”.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continuing efforts of the government, insurance companies, managed care organizations and other payers of healthcare services to contain or reduce costs of healthcare may adversely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affect:</w:t>
      </w:r>
    </w:p>
    <w:p>
      <w:pPr>
        <w:spacing w:after="0" w:line="194"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demand for any of our product candidates, if approved;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ability to set a price that we believe is fair for any of our product candidates, if approved;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our ability to generate revenues and achieve or maintain profitability;</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level of taxes that we are required to pay; and</w:t>
      </w:r>
    </w:p>
    <w:p>
      <w:pPr>
        <w:spacing w:after="0" w:line="12" w:lineRule="exact"/>
        <w:rPr>
          <w:rFonts w:ascii="Arial" w:cs="Arial" w:eastAsia="Arial" w:hAnsi="Arial"/>
          <w:sz w:val="17"/>
          <w:szCs w:val="17"/>
          <w:color w:val="auto"/>
        </w:rPr>
      </w:pPr>
    </w:p>
    <w:p>
      <w:pPr>
        <w:ind w:left="500" w:hanging="240"/>
        <w:spacing w:after="0" w:line="219" w:lineRule="auto"/>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availability of capital.</w:t>
      </w:r>
    </w:p>
    <w:p>
      <w:pPr>
        <w:spacing w:after="0" w:line="16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231F20"/>
        </w:rPr>
        <w:t>We expect that additional United States federal healthcare reform measures will be adopted in the future, any of which could limit the amounts that the United States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181"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As of February 20, 2025, we had 183 full-time employees, including a total of 77 employees with doctoral degrees or above. Of these full-time employees, 144 employees are engaged in research and development. None of our employees are represented by labor unions or covered by collective bargaining agreements. We consider our relationship with our employees to be good.</w:t>
      </w:r>
    </w:p>
    <w:p>
      <w:pPr>
        <w:spacing w:after="0" w:line="124"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Our human capital resources objectives include, as applicable, identifying, recruiting, retaining, incentivizing and integrating our existing and new employees. The principal purposes of our equity and cash incentive plans are to attract, retain and reward personnel, whether existing employees or new hires, through the granting of stock-based and cash-based compensation awards. We believe that this increases value to our stockholders and the success of our company by motivating such individuals to perform to the best of their abilities and achieve our objectives.</w:t>
      </w:r>
    </w:p>
    <w:p>
      <w:pPr>
        <w:spacing w:after="0" w:line="13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We have, since our inception, worked to create a high-performing, inclusive and diverse workforce, which is a core element of our operating culture. We have deliberately sought to secure top talent with a diversity of thought, experiences and backgrounds who are committed to making a difference in the lives of patients, their families and caregivers. We believe that, by embracing differences, we have a unique advantage in challenging the status quo to apply innovative thinking to long-existing medical challenges. As of February 20, 2025, our workforce was self-reportedly approximately 56% women and approximately 50% Asian, Hispanic, Latino, Black or African American, and women or minorities made up 50% of our senior leadership, reflecting the workforce we strive to create throughout the company.</w:t>
      </w:r>
    </w:p>
    <w:p>
      <w:pPr>
        <w:spacing w:after="0" w:line="143" w:lineRule="exact"/>
        <w:rPr>
          <w:sz w:val="20"/>
          <w:szCs w:val="20"/>
          <w:color w:val="auto"/>
        </w:rPr>
      </w:pPr>
    </w:p>
    <w:p>
      <w:pPr>
        <w:jc w:val="both"/>
        <w:ind w:right="260" w:firstLine="509"/>
        <w:spacing w:after="0" w:line="270" w:lineRule="auto"/>
        <w:rPr>
          <w:sz w:val="20"/>
          <w:szCs w:val="20"/>
          <w:color w:val="auto"/>
        </w:rPr>
      </w:pPr>
      <w:r>
        <w:rPr>
          <w:rFonts w:ascii="Times New Roman" w:cs="Times New Roman" w:eastAsia="Times New Roman" w:hAnsi="Times New Roman"/>
          <w:sz w:val="14"/>
          <w:szCs w:val="14"/>
          <w:color w:val="auto"/>
        </w:rPr>
        <w:t>As the success of our business is fundamentally connected to the well-being of our employees, we are committed to their health, safety and wellness. We provide our employees and their families with access to convenient health and wellness programs, including benefits that provide protection and security giving them peace of mind concerning events that may require time away from work or that impact their financial well-being; and that offer choices where possible so they can customize their benefits to meet their needs and the needs of their families.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70" w:lineRule="exact"/>
        <w:rPr>
          <w:sz w:val="20"/>
          <w:szCs w:val="20"/>
          <w:color w:val="auto"/>
        </w:rPr>
      </w:pPr>
    </w:p>
    <w:p>
      <w:pPr>
        <w:jc w:val="both"/>
        <w:ind w:right="40" w:firstLine="509"/>
        <w:spacing w:after="0" w:line="248" w:lineRule="auto"/>
        <w:rPr>
          <w:sz w:val="20"/>
          <w:szCs w:val="20"/>
          <w:color w:val="auto"/>
        </w:rPr>
      </w:pPr>
      <w:r>
        <w:rPr>
          <w:rFonts w:ascii="Times New Roman" w:cs="Times New Roman" w:eastAsia="Times New Roman" w:hAnsi="Times New Roman"/>
          <w:sz w:val="14"/>
          <w:szCs w:val="14"/>
          <w:color w:val="auto"/>
        </w:rPr>
        <w:t>We maintain an internet website at www.entradatx.com and make available free of charge through our website our Annual Reports on Form 10-K, Quarterly Reports on Form 10-Q, Current Reports on Form 8-K, including exhibits and amendments to those reports filed or furnished pursuant to Sections 13(a) and 15(d) of the Exchange Act of 1934, as amended (the “Exchange Act”. We make these reports available through our website as soon as reasonably practicable after we electronically file such reports with, or furnish such reports to, the SEC. You can review our electronically filed reports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and other information that we file with the SEC on the SEC’s web 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 Relations,” as a source of information about us.</w:t>
      </w:r>
    </w:p>
    <w:p>
      <w:pPr>
        <w:spacing w:after="0" w:line="152"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Regarding Trademarks</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We have applied for various trademarks that we use in connection with the operation of our business. This Annual Report may also contain trademarks, service marks and trade names of third parties, which are the property of their respective owners. Our use or display of third parties’ trademarks, service marks, trade names or products in this Annual Report is not intended to, and does not imply a relationship with, or endorsement or sponsorship by us. Solely for convenience, the trademarks, service marks and trade names referred to in this Annual Report may appear without the ®, TM or SM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7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i w:val="1"/>
          <w:iCs w:val="1"/>
          <w:color w:val="auto"/>
        </w:rPr>
        <w:t>In evaluating the Company and our business, careful consideration should be given to the following risk factors, in addition to the other information set forth in this Annual Report on Form 10-K (“Annual Report”) and in other documents that we file with the Securities and Exchange Commission (“SEC”). Investing in our common stock involves a high degree of risk. If any of the following risks are realized, our business, financial condition, results of operations and prospects could be materially and adversely affected. In that event, the trading price of our common stock could decline and you could lose part or all of your investment. Unless otherwise indicated, reference in this section and elsewhere in this Annual Report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Limited Operating History, Financial Position and Capital Requirements</w:t>
      </w:r>
    </w:p>
    <w:p>
      <w:pPr>
        <w:spacing w:after="0" w:line="16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have incurred significant operating losses since our inception and expect to incur significant losses for the foreseeable future. We may never generate any revenue from product sales or become profitable or, if we achieve profitability, we may not be able to sustain it.</w:t>
      </w:r>
    </w:p>
    <w:p>
      <w:pPr>
        <w:spacing w:after="0" w:line="122" w:lineRule="exact"/>
        <w:rPr>
          <w:sz w:val="20"/>
          <w:szCs w:val="20"/>
          <w:color w:val="auto"/>
        </w:rPr>
      </w:pPr>
    </w:p>
    <w:p>
      <w:pPr>
        <w:ind w:right="140" w:firstLine="509"/>
        <w:spacing w:after="0" w:line="239" w:lineRule="auto"/>
        <w:rPr>
          <w:sz w:val="20"/>
          <w:szCs w:val="20"/>
          <w:color w:val="auto"/>
        </w:rPr>
      </w:pPr>
      <w:r>
        <w:rPr>
          <w:rFonts w:ascii="Times New Roman" w:cs="Times New Roman" w:eastAsia="Times New Roman" w:hAnsi="Times New Roman"/>
          <w:sz w:val="14"/>
          <w:szCs w:val="14"/>
          <w:color w:val="auto"/>
        </w:rPr>
        <w:t>Biopharmaceutical product development is a highly speculative undertaking and involves a substantial degree of risk. We are a biopharmaceutical company with a limited operating history upon which our stockholders can evaluate our business and prospects. Most of our development programs, with the exception of ENTR-601-44 and our partnered candidate VX-670, but including ENTR-601-45, ENTR-601-50 and ENTR-601-51, are in preclinical development or in the drug discovery stage. We commenced operations in 2016, and to date, we have focused primarily on organizing and staffing our company, business planning, raising capital, developing our proprietary, highly versatile and modular Endosomal Escape Vehicle (“EEV”) platform (“EEV Platform”), identifying therapeutic candidates, establishing our intellectual property portfolio and conducting research and preclinical studies. Our approach to the discovery and development of therapeutic candidates based on our EEV Platform is unproven, and we do not know whether we will be able to conduct clinical studies on any of our therapeutic candidates beyond ENTR-601-44 and our partnered candidate VX-670, develop any therapeutic candidates that succeed in clinical development or produce products of commercial value. As an organization, the only clinical trial we have completed is our Phase 1 clinical trial of ENTR-601-44 in healthy volunteers in the UK, and we have not completed the clinical development of any therapeutic candidate nor have we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obtained any regulatory approvals, manufactured a commercial-scale product,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3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We have incurred significant operating losses since our inception. We do not have any products approved for sale and have not generated any product revenue since our inception. If our therapeutic candidates are not successfully developed and approved, we may never generate any significant revenue from product sales. We have incurred significant net losses since inception. As of December 31, 2024, we had an accumulated deficit of $129.3 million. Substantially all of our losses have resulted from expenses incurred in connection with our research and development programs and from general and administrative costs associated with our operations. All of our therapeutic candidates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therapeutic candidates.</w:t>
      </w:r>
    </w:p>
    <w:p>
      <w:pPr>
        <w:spacing w:after="0" w:line="143"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therapeutic candidates, identifying lead therapeutic candidates, discovering additional therapeutic candidates, conducting preclinical studies prior to submitting an Investigational New Drug application (“IND”) and/or Clinical Trial Application (“CTA”), obtaining clearance for INDs/CTAs, obtaining regulatory approval for these therapeutic candidates and manufacturing, marketing and selling any products for which we may obtain regulatory approval. We are only in the preliminary stages of most of these activities. We may not succeed in completing necessary activities and regulatory approvals necessary to bring a product to market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therapeutic candidates or even continue our operations. A decline in the value of our company could also cause our stockholders to lose all or part of their investment.</w:t>
      </w:r>
    </w:p>
    <w:p>
      <w:pPr>
        <w:spacing w:after="0" w:line="146"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4"/>
          <w:szCs w:val="14"/>
          <w:color w:val="auto"/>
        </w:rPr>
        <w:t>Our limited operating history may make it difficult to evaluate our technology and industry and predict our future performance. Though several groups have conducted or are conducting studies involving the intracellular delivery of therapeutic molecules, the relevance of those studies to the evaluation of therapeutic candidates developed using our EEV Platform may be difficult to ascertain. Our short history as an operating company and novel therapeutic approach make any assessment of our future success or viability subject to significant uncertainty. We will encounter risks and difficulties frequently experienced by earlier stage companies in rapidly evolving fields. Failure to address these risks successfully will cause our business to suffer. Similarly, we expect that our financial condition and operating results will fluctuate significantly from quarter to quarter and year to year due to a variety of factors, many of which are beyond our control. As a result, our stockholders should not rely upon the results of any quarterly or annual period as an indicator of future operating performance.</w:t>
      </w:r>
    </w:p>
    <w:p>
      <w:pPr>
        <w:spacing w:after="0" w:line="13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4"/>
          <w:szCs w:val="14"/>
          <w:color w:val="auto"/>
        </w:rPr>
        <w:t>In addition, as an early clinical-stage company, we have encountered unforeseen expenses, difficulties, complications, delays and other known and unknown circumstances. As we advance our therapeutic candidates, we will need to continue our transition from a company with a research focus to a company supporting clinical development and if successful, capable of supporting commercial activities. We may not continue to be successful in our transition.</w:t>
      </w:r>
    </w:p>
    <w:p>
      <w:pPr>
        <w:spacing w:after="0" w:line="134"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will require additional financing to achieve our goals, and a failure to obtain this necessary capital when needed on acceptable terms, or at all, could force us to delay, limit, reduce or terminate our development programs, commercialization efforts or other operations.</w:t>
      </w:r>
    </w:p>
    <w:p>
      <w:pPr>
        <w:spacing w:after="0" w:line="122"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4"/>
          <w:szCs w:val="14"/>
          <w:color w:val="auto"/>
        </w:rPr>
        <w:t>The development of biopharmaceutical therapeutic candidates is capital-intensive. We expect our expenses to increase in connection with our ongoing activities, particularly as we conduct our ongoing and planned preclinical studies of our development programs, continue to initiate clinical trials for our therapeutic candidates and seek regulatory approval for our current therapeutic candidates and any future therapeutic candidates we may develop. If we obtain regulatory approval for any of our therapeutic candidates, we also expect to incur significant commercialization expenses related to product manufacturing, marketing, sales and distribution. Because the outcome of any preclinical study or clinical trial is highly uncertain, we cannot reasonably estimate the actual amounts necessary to successfully complete the development and commercialization of our therapeutic candidates. Furthermore, we expect to incur additional costs associated with</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as a public company. Accordingly, we will need to obtain substantial additional funding in connection with our continuing operations. Failing to raise capital when needed or on attractive terms could force us to delay, reduce or eliminate our research and development programs or any future commercialization efforts. Based on our current operating plans, we believe that our cash, cash equivalents and marketable securities as of December 31, 2024 will be sufficient to fund our operations into the second quarter of 2027.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additional collaborations, licenses and other similar arrangements. In addition, we may seek additional capital due to favorable market conditions or strategic considerations even if we believe we have sufficient funds for our current or future operating plans. For example, in September 2023, we entered into a sales agreement (the “Sales Agreement”) with Cowen and Company, LLC acting as our agent and/or principal (the “Sales Agent”), with respect to an "at the market offering" program under which we may offer and sell, from time to time, at our sole discretion, shares of common stock having an aggregate offering price of up to $150.0 million through the Sales Agent. However, there can be no assurance that the Sales Agent will be successful in consummating future sales based on prevailing market conditions or in the quantities or at the prices that we deem appropriate. Attempting to secure additional financing may divert our management from our day-to-day activities, which may adversely affect our ability to develop our therapeutic candidates. Our future capital requirements will depend on many factors, including, but not limited to:</w:t>
      </w:r>
    </w:p>
    <w:p>
      <w:pPr>
        <w:spacing w:after="0" w:line="65" w:lineRule="exact"/>
        <w:rPr>
          <w:sz w:val="20"/>
          <w:szCs w:val="20"/>
          <w:color w:val="auto"/>
        </w:rPr>
      </w:pPr>
    </w:p>
    <w:p>
      <w:pPr>
        <w:ind w:left="520" w:right="200" w:hanging="260"/>
        <w:spacing w:after="0" w:line="271"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number, scope, progress, expansions, results, costs and timing of our preclinical studies and any clinical trials of the therapeutic candidates that we are pursuing or may choose to pursue in the future;</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clinical development plans we establish for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manufacturing for our therapeutic candidates and commercial manufacturing if any therapeutic candidate is approved;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establishing and maintaining clinical and commercial supply for the development and manufacture of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establishing and maintaining collaborations, licenses and other similar arrangements;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obtaining, maintaining and enforcing our patents and other intellectual property rights;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enhance operational systems and hire additional personnel to satisfy our obligations as a public company, including enhanced internal controls over financial reporting;</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hiring additional personnel and consultants as our preclinical and clinical activities increase;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achievement of milestones or occurrence of other developments that trigger payments under any collaboration agreements, if any;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establishing or securing sales and marketing capabilities if any therapeutic candidate is approved;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receipt of regulatory approval, revenue, if any, received from commercial sales of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sufficient market acceptance, coverage and adequate reimbursement from third-party payors and adequate market share and revenue for any approved products;</w:t>
      </w:r>
    </w:p>
    <w:p>
      <w:pPr>
        <w:spacing w:after="0" w:line="83" w:lineRule="exact"/>
        <w:rPr>
          <w:rFonts w:ascii="Times New Roman" w:cs="Times New Roman" w:eastAsia="Times New Roman" w:hAnsi="Times New Roman"/>
          <w:sz w:val="14"/>
          <w:szCs w:val="14"/>
          <w:color w:val="auto"/>
        </w:rPr>
      </w:pPr>
    </w:p>
    <w:p>
      <w:pPr>
        <w:ind w:left="520" w:right="160" w:hanging="260"/>
        <w:spacing w:after="0" w:line="255"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preparing, filing and prosecuting patent applications, maintaining and protecting our intellectual property rights, including enforcing and defending intellectual property related claims; and</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costs of operating as a public company.</w:t>
      </w:r>
    </w:p>
    <w:p>
      <w:pPr>
        <w:spacing w:after="0" w:line="168" w:lineRule="exact"/>
        <w:rPr>
          <w:sz w:val="20"/>
          <w:szCs w:val="20"/>
          <w:color w:val="auto"/>
        </w:rPr>
      </w:pPr>
    </w:p>
    <w:p>
      <w:pPr>
        <w:jc w:val="both"/>
        <w:ind w:right="180" w:firstLine="509"/>
        <w:spacing w:after="0" w:line="254" w:lineRule="auto"/>
        <w:rPr>
          <w:sz w:val="20"/>
          <w:szCs w:val="20"/>
          <w:color w:val="auto"/>
        </w:rPr>
      </w:pPr>
      <w:r>
        <w:rPr>
          <w:rFonts w:ascii="Times New Roman" w:cs="Times New Roman" w:eastAsia="Times New Roman" w:hAnsi="Times New Roman"/>
          <w:sz w:val="14"/>
          <w:szCs w:val="14"/>
          <w:color w:val="auto"/>
        </w:rPr>
        <w:t>Identifying potential therapeutic candidates and conducting preclinical studies and clinical trials is a time-consuming, expensive and uncertain process that takes years to complete, and we may never generate the necessary data or results required to obtain regulatory approval and commercialize our therapeutic candidates. In addition, our therapeutic candidates, if approved, may not achieve commercial success. Our commercial revenues, if any, will be derived from sales of products that we do not expect to be commercially available for many years, if at all.</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Accordingly, we will need to continue to rely on additional financing to achieve our business objectives. Adequate additional financing may not be available to us on acceptable terms, or 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70"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41"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4"/>
          <w:szCs w:val="14"/>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Furthermore, our operating results may fluctuate due to a variety of other factors, many of which are outside of our control and may be difficult to predict, including the following:</w:t>
      </w:r>
    </w:p>
    <w:p>
      <w:pPr>
        <w:spacing w:after="0" w:line="83"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and development activities relating to our programs, which will change from time to time;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enroll patients in clinical trials and the timing of enrollment;</w:t>
      </w:r>
    </w:p>
    <w:p>
      <w:pPr>
        <w:spacing w:after="0" w:line="29" w:lineRule="exact"/>
        <w:rPr>
          <w:rFonts w:ascii="Times New Roman" w:cs="Times New Roman" w:eastAsia="Times New Roman" w:hAnsi="Times New Roman"/>
          <w:sz w:val="14"/>
          <w:szCs w:val="14"/>
          <w:color w:val="auto"/>
        </w:rPr>
      </w:pPr>
    </w:p>
    <w:p>
      <w:pPr>
        <w:ind w:left="520" w:right="320" w:hanging="260"/>
        <w:spacing w:after="0" w:line="237" w:lineRule="auto"/>
        <w:tabs>
          <w:tab w:leader="none" w:pos="49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cost of manufacturing our current therapeutic candidates and any future therapeutic candidates, which may vary depending on the U.S. Food and Drug Administration (“FDA”), the European Medicines Agency (“EMA”) or other comparable foreign regulatory authority guidelines and requirements, the quantity of production and the terms of our agreements with manufacturers;</w:t>
      </w:r>
    </w:p>
    <w:p>
      <w:pPr>
        <w:spacing w:after="0" w:line="61"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will or may incur to acquire or develop additional therapeutic candidates and technologies or other assets;</w:t>
      </w:r>
    </w:p>
    <w:p>
      <w:pPr>
        <w:spacing w:after="0" w:line="83" w:lineRule="exact"/>
        <w:rPr>
          <w:rFonts w:ascii="Times New Roman" w:cs="Times New Roman" w:eastAsia="Times New Roman" w:hAnsi="Times New Roman"/>
          <w:sz w:val="14"/>
          <w:szCs w:val="14"/>
          <w:color w:val="auto"/>
        </w:rPr>
      </w:pPr>
    </w:p>
    <w:p>
      <w:pPr>
        <w:ind w:left="520" w:right="320" w:hanging="260"/>
        <w:spacing w:after="0" w:line="255"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outcomes of preclinical studies and clinical trials for ENTR-601-44, ENTR-601-45, ENTR-601-50, ENTR-601-51, our partnered candidate VX-670 and any therapeutic candidates from our discovery programs, or competing therapeutic candidates;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conduct unanticipated clinical trials or trials that are larger or more complex than anticipated;</w:t>
      </w:r>
    </w:p>
    <w:p>
      <w:pPr>
        <w:spacing w:after="0" w:line="83" w:lineRule="exact"/>
        <w:rPr>
          <w:rFonts w:ascii="Times New Roman" w:cs="Times New Roman" w:eastAsia="Times New Roman" w:hAnsi="Times New Roman"/>
          <w:sz w:val="14"/>
          <w:szCs w:val="14"/>
          <w:color w:val="auto"/>
        </w:rPr>
      </w:pPr>
    </w:p>
    <w:p>
      <w:pPr>
        <w:ind w:left="520" w:right="320" w:hanging="260"/>
        <w:spacing w:after="0" w:line="27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existing and potential future products that compete with ENTR-601-44, ENTR-601-45, ENTR-601-50, ENTR-601-51, our partnered candidate VX-670 or any of our discovery programs, and changes in the competitive landscape of our industry, including consolidation among our competitors or partners;</w:t>
      </w:r>
    </w:p>
    <w:p>
      <w:pPr>
        <w:spacing w:after="0" w:line="39" w:lineRule="exact"/>
        <w:rPr>
          <w:rFonts w:ascii="Times New Roman" w:cs="Times New Roman" w:eastAsia="Times New Roman" w:hAnsi="Times New Roman"/>
          <w:sz w:val="14"/>
          <w:szCs w:val="14"/>
          <w:color w:val="auto"/>
        </w:rPr>
      </w:pPr>
    </w:p>
    <w:p>
      <w:pPr>
        <w:ind w:left="520" w:right="280" w:hanging="260"/>
        <w:spacing w:after="0" w:line="27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delays in regulatory review or approval of ENTR-601-44, ENTR-601-45, ENTR-601-50, ENTR-601-51, our partnered candidate VX-670 or therapeutic candidates from any of our discovery programs;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for any of our therapeutic candidates, if approved, which may fluctuate significantly and be difficult to predict;</w:t>
      </w:r>
    </w:p>
    <w:p>
      <w:pPr>
        <w:spacing w:after="0" w:line="83" w:lineRule="exact"/>
        <w:rPr>
          <w:rFonts w:ascii="Times New Roman" w:cs="Times New Roman" w:eastAsia="Times New Roman" w:hAnsi="Times New Roman"/>
          <w:sz w:val="14"/>
          <w:szCs w:val="14"/>
          <w:color w:val="auto"/>
        </w:rPr>
      </w:pPr>
    </w:p>
    <w:p>
      <w:pPr>
        <w:ind w:left="520" w:right="60" w:hanging="260"/>
        <w:spacing w:after="0" w:line="27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risk/benefit profile, cost and reimbursement policies with respect to our therapeutic candidates, if approved, and existing and potential future products that compete with ENTR-601-44, ENTR-601-45, ENTR-601-50, ENTR-601-51, our partnered candidate VX-670 or any of our discovery programs;</w:t>
      </w:r>
    </w:p>
    <w:p>
      <w:pPr>
        <w:spacing w:after="0" w:line="39" w:lineRule="exact"/>
        <w:rPr>
          <w:rFonts w:ascii="Times New Roman" w:cs="Times New Roman" w:eastAsia="Times New Roman" w:hAnsi="Times New Roman"/>
          <w:sz w:val="14"/>
          <w:szCs w:val="14"/>
          <w:color w:val="auto"/>
        </w:rPr>
      </w:pPr>
    </w:p>
    <w:p>
      <w:pPr>
        <w:ind w:left="520" w:right="400" w:hanging="260"/>
        <w:spacing w:after="0" w:line="27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 our partners' ability to commercialize ENTR-601-44, ENTR-601-45, ENTR-601-50, ENTR-601-51, our partnered candidate VX-670 or therapeutic candidates from any of our discovery programs, if approved, inside and outside of the U.S., either independently or working with third parties;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collaborations, licensing or other arrangements;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support future growth;</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unforeseen business disruptions that increase our costs or expenses;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changing and volatile United States and global economic and political environment.</w:t>
      </w:r>
    </w:p>
    <w:p>
      <w:pPr>
        <w:spacing w:after="0" w:line="168"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w:t>
      </w:r>
    </w:p>
    <w:p>
      <w:pPr>
        <w:spacing w:after="0" w:line="200" w:lineRule="exact"/>
        <w:rPr>
          <w:sz w:val="20"/>
          <w:szCs w:val="20"/>
          <w:color w:val="auto"/>
        </w:rPr>
      </w:pP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507"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Discovery, Development and Regulatory Approval of Our Therapeutic Candidates</w:t>
      </w:r>
    </w:p>
    <w:p>
      <w:pPr>
        <w:spacing w:after="0" w:line="1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are early in our development efforts and as a result it will be years before we commercialize a therapeutic candidate, if ever. If we are unable to identify and advance therapeutic candidates through preclinical studies and/or clinical trials, obtain marketing approval and ultimately commercialize them, or experience significant delays in doing so, our business will be materially harmed.</w:t>
      </w:r>
    </w:p>
    <w:p>
      <w:pPr>
        <w:spacing w:after="0" w:line="51"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We are early in our development efforts and all our development programs, including our lead therapeutic candidate ENTR-601-44 and our partnered candidate VX-670, which are in the early clinical stage, and ENTR-601-45, ENTR-601-50 and ENTR-601-51, which are in the preclinical or drug discovery stage. We have invested substantially all of our research efforts to date in developing our EEV Platform, identifying potential therapeutic candidates, conducting preclinical studies, and initiating early clinical studies. As an organization, the only clinical trial we have completed is our Phase 1 clinical trial of ENTR-601-44 in healthy volunteers in the UK, and we have not completed the clinical development of any therapeutic candidate nor have we submitted an application for regulatory approval, and we may be unable to do so for our therapeutic candidates. We have not completed IND-enabling studies for candidates other than ENTR-601-44, ENTR-60-45 and VX-670. We will need to complete these steps to support the progression of ENTR-601-44, ENTR-601-45, ENTR-601-50 and ENTR-601-51 into and/or through clinical studies in the United States. In addition, we have a development portfolio of programs that are in earlier stages of development and have not yet initiated or completed IND-enabling studies. We may never advance any additional therapeutic candidates through IND-enabling studies and receive authorization from the FDA, to proceed under an IND prior to initiating their clinical-stage development. Our ability to generate product revenue, which we do not expect will occur for many years, if ever, will depend heavily on the successful development and eventual commercialization of our therapeutic candidates, which may never occur. We currently generate no revenue from sales of any product, and we may never be able to develop or commercialize a marketable product.</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Commencing clinical trials in the United States is subject to acceptance by the FDA of an IND and finalizing the trial design based on discussions with the FDA and other regulatory authorities. For the FDA to accept an IND, we must complete Good Laboratory Practices (“GLP”) studies, which may not be successful or may take longer than we expect. The FDA may require us to complete additional preclinical studies or we may be required to satisfy other FDA requests prior to commencing clinical trials in the United States, and such requests may not currently be known or anticipated, which may cause the start of our clinical trials to be delayed in the United States or prevent us from conducting clinical trials in the United States.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impose stricter approval conditions than we currently expect or may prevent us from conducting clinical trials. There are equivalent processes and risks applicable to clinical trial applications in other countries, including countries in the European Union (“EU”) and the United Kingdom (“UK”).</w:t>
      </w:r>
    </w:p>
    <w:p>
      <w:pPr>
        <w:spacing w:after="0" w:line="144"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4"/>
          <w:szCs w:val="14"/>
          <w:color w:val="auto"/>
        </w:rPr>
        <w:t>Commercialization of any therapeutic candidates we may develop will require preclinical and clinical development; regulatory and marketing approval in multiple jurisdictions, including by the FDA, the EMA and the United Kingdom Medicines and Healthcare Products Regulatory Agency (“MHRA”); manufacturing supply, capacity and expertise; a commercial organization; and significant marketing efforts. The success of therapeutic candidates we may identify and develop will depend on many factors, including:</w:t>
      </w:r>
    </w:p>
    <w:p>
      <w:pPr>
        <w:spacing w:after="0" w:line="57"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successful completion of preclinical studies, including toxicology studies, biodistribution studies and minimally efficacious dose studies in animals, where applicable;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our financial and other resources to complete the necessary preclinical studies and clinical trials;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INDs or comparable foreign applications that allow commencement of our planned clinical trials or future clinical trials for any therapeutic candidates we may develop;</w:t>
      </w:r>
    </w:p>
    <w:p>
      <w:pPr>
        <w:spacing w:after="0" w:line="29" w:lineRule="exact"/>
        <w:rPr>
          <w:rFonts w:ascii="Times New Roman" w:cs="Times New Roman" w:eastAsia="Times New Roman" w:hAnsi="Times New Roman"/>
          <w:sz w:val="14"/>
          <w:szCs w:val="14"/>
          <w:color w:val="auto"/>
        </w:rPr>
      </w:pPr>
    </w:p>
    <w:p>
      <w:pPr>
        <w:ind w:left="520" w:right="140" w:hanging="260"/>
        <w:spacing w:after="0" w:line="238" w:lineRule="auto"/>
        <w:tabs>
          <w:tab w:leader="none" w:pos="49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 xml:space="preserve">successful enrollment and completion of clinical trials, including under the FDA’s current Good Clinical Practices (“GCPs”), GLPs and any additional regulatory requirements from foreign regulatory authorities, such as the </w:t>
      </w:r>
      <w:r>
        <w:rPr>
          <w:rFonts w:ascii="Times New Roman" w:cs="Times New Roman" w:eastAsia="Times New Roman" w:hAnsi="Times New Roman"/>
          <w:sz w:val="14"/>
          <w:szCs w:val="14"/>
          <w:color w:val="008080"/>
        </w:rPr>
        <w:t>International Council for Harmonisation of Technical Requirements for Pharmaceuticals for Human Use Guideline for Good Clinical Practice</w:t>
      </w:r>
      <w:r>
        <w:rPr>
          <w:rFonts w:ascii="Times New Roman" w:cs="Times New Roman" w:eastAsia="Times New Roman" w:hAnsi="Times New Roman"/>
          <w:sz w:val="14"/>
          <w:szCs w:val="14"/>
          <w:color w:val="auto"/>
        </w:rPr>
        <w:t>;</w:t>
      </w:r>
    </w:p>
    <w:p>
      <w:pPr>
        <w:spacing w:after="0" w:line="60" w:lineRule="exact"/>
        <w:rPr>
          <w:rFonts w:ascii="Times New Roman" w:cs="Times New Roman" w:eastAsia="Times New Roman" w:hAnsi="Times New Roman"/>
          <w:sz w:val="17"/>
          <w:szCs w:val="17"/>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results from our current and future clinical trials that support a finding of safety and effectiveness and an acceptable risk-benefit profile in the intended populations;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regulatory marketing approvals from applicable regulatory authorities;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arrangements with third-party manufacturers for clinical supply and, where applicable, commercial manufacturing capabilities;</w:t>
      </w:r>
    </w:p>
    <w:p>
      <w:pPr>
        <w:spacing w:after="0" w:line="83" w:lineRule="exact"/>
        <w:rPr>
          <w:rFonts w:ascii="Times New Roman" w:cs="Times New Roman" w:eastAsia="Times New Roman" w:hAnsi="Times New Roman"/>
          <w:sz w:val="14"/>
          <w:szCs w:val="14"/>
          <w:color w:val="auto"/>
        </w:rPr>
      </w:pPr>
    </w:p>
    <w:p>
      <w:pPr>
        <w:ind w:left="520" w:right="80" w:hanging="260"/>
        <w:spacing w:after="0" w:line="27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maintenance, defense and enforcement of patent, trademark, trade secret and other intellectual property protection or regulatory exclusivity for any therapeutic candidates we may develop;</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recruitment and enrollment;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launch of any therapeutic candidates we may develop, if approved, whether alone or in collaboration with others;</w:t>
      </w:r>
    </w:p>
    <w:p>
      <w:pPr>
        <w:spacing w:after="0" w:line="83" w:lineRule="exact"/>
        <w:rPr>
          <w:rFonts w:ascii="Times New Roman" w:cs="Times New Roman" w:eastAsia="Times New Roman" w:hAnsi="Times New Roman"/>
          <w:sz w:val="14"/>
          <w:szCs w:val="14"/>
          <w:color w:val="auto"/>
        </w:rPr>
      </w:pPr>
    </w:p>
    <w:p>
      <w:pPr>
        <w:ind w:left="520" w:right="120" w:hanging="260"/>
        <w:spacing w:after="0" w:line="271"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the benefits and use of our therapeutic candidates we may develop, including method of administration, if and when approved, by patients, the medical community and third-party payors;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with other therapies and treatment options;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 continued acceptable safety, tolerability and efficacy profile of any therapeutic candidates we may develop following approval;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and maintenance of healthcare coverage and adequate reimbursement by payors.</w:t>
      </w:r>
    </w:p>
    <w:p>
      <w:pPr>
        <w:spacing w:after="0" w:line="168"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4"/>
          <w:szCs w:val="14"/>
          <w:color w:val="auto"/>
        </w:rPr>
        <w:t>If we do not succeed in one or more of these factors in a timely manner or at all, we could experience significant delays or an inability to successfully commercialize any therapeutic candidates we may develop, which would materially harm our business. If we are unable to advance our therapeutic candidates to clinical development, obtain regulatory approval and ultimately commercialize our therapeutic candidates, or experience significant delays in doing so, our business will be materially harmed.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highly dependent on the clinical advancement of our programs and modalities and is especially dependent on the success of our lead therapeutic candidates, ENTR-601-44,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ENTR-601-45, ENTR-601-50, ENTR-601-51 and our partnered candidate VX-670. Delay or failure to advance programs or modalities, including ENTR-601-44, ENTR-601-45, ENTR-601-50,</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ENTR-601-51 and VX-670 could adversely impact our business.</w:t>
      </w:r>
    </w:p>
    <w:p>
      <w:pPr>
        <w:spacing w:after="0" w:line="152"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Using our platform, we are developing product features for medicines based on EEV peptides. Over time, our platform work led to commonalities, where a specific combination of EEV technologies, delivery technologies, and manufacturing processes generated a set of product features shared by multiple programs, for example, oligonucleotide-, enzyme-, and antibody-conjugated EEV peptides. This is what we call a “modality.” We are utilizing early programs in a modality, such as ENTR-601-44 for oligonucleotide-conjugated EEV peptides, to understand the technology risks within the modality, including manufacturing and pharmaceutical properties. Our lead therapeutic candidate, ENTR-601-44, is being developed to address DMD and we are highly dependent on the success of the future clinical trials of ENTR-601-44, the outcomes of which are uncertain, to further develop ENTR-601-45, our lead therapeutic candidate for patients with DMD with exon 45 skipping amenable mutations, ENTR-601-50, our therapeutic candidate for patients with DMD who are exon 50 skipping amenable and ENTR-601-51, our therapeutic candidate for patients with DMD who are exon 51 skipping amenable. Because ENTR-601-44 is our first EEV therapeutic candidate, if ENTR-601-44 encounters safety, efficacy, supply or manufacturing problems, developmental delays, regulatory or commercialization issues or other problems, the value of our EEV Platform, including our other therapeutic candidates such as ENTR-601-45, ENTR-601-50, ENTR-601-51, and our partnered candidate VX-670, could be greatly diminished and our development plans and business would be significantly harmed.</w:t>
      </w:r>
    </w:p>
    <w:p>
      <w:pPr>
        <w:spacing w:after="0" w:line="137"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color w:val="auto"/>
        </w:rPr>
        <w:t>Even if our earlier programs in a modality are successful in any phase of development any of such earlier programs may fail at a later phase of development, and other programs within the same modality may still fail at any phase of development including at phases where earlier programs in that modality were successful. This may be a result of technical challenges unique to that program or due to biology risk, which is unique to every program. As we progress our programs through clinical development, there may be new technical challenges that arise that cause an entire modality to fail.</w:t>
      </w:r>
    </w:p>
    <w:p>
      <w:pPr>
        <w:spacing w:after="0" w:line="139"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EEV therapeutic candidates are based on a novel therapeutic approach, which makes it difficult to predict the time and cost of development and of subsequently obtaining regulatory approval, if at all.</w:t>
      </w:r>
    </w:p>
    <w:p>
      <w:pPr>
        <w:spacing w:after="0" w:line="12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Using EEV technology to develop therapeutic candidates is a new therapeutic approach and no products based on EEV peptides have been approved to date in the United States or the rest of the world. As such, it is difficult to accurately predict the developmental challenges we may face for our EEV therapeutic candidates as they proceed through development. In addition, because we have only completed a Phase 1 clinical trial for ENTR-601-44 and have not yet</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4"/>
          <w:szCs w:val="14"/>
          <w:color w:val="auto"/>
        </w:rPr>
        <w:t>completed any clinical trials with our other therapeutic candidates, we have only limited data assessing safety of our approach in humans, and there may be short-term or long-term effects from treatment with any therapeutic candidates that we develop that we cannot predict at this time. Also, animal models may not exist for some of the diseases we choose to pursue in our programs. As a result of these factors, it is more difficult for us to predict the time and cost of therapeutic candidate development and we cannot predict whether our EEV Platform, or any similar or competitive intracellular delivery technologies, will enable the identification, development and regulatory approval of any products. There can be no assurance that any development problems we experience in the future related to our EEV Platform or any of our research programs will not cause significant delays or unanticipated costs or that such development problems can be solved. Any of these factors may prevent us from completing our preclinical studies or any clinical trials that we have initiated or may initiate or commercializing any therapeutic candidates we may develop on a timely or profitable basis, if at all.</w:t>
      </w:r>
    </w:p>
    <w:p>
      <w:pPr>
        <w:spacing w:after="0" w:line="147"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4"/>
          <w:szCs w:val="14"/>
          <w:color w:val="auto"/>
        </w:rPr>
        <w:t>The clinical trial requirements of the FDA and other regulatory authorities and the criteria these regulators use to determine the safety and efficacy of a therapeutic candidate vary substantially according to the type, complexity, novelty and intended use and market of the therapeutic candidate. No products based on EEV peptides have been approved to date by regulators. As a result, the regulatory approval process for therapeutic candidates such as ours is uncertain and may be more expensive and take longer than the approval process for therapeutic candidates based on other, better known or more extensively studied technologies. For example, the general approach for FDA approval of a new biologic or drug is for sponsors to seek licensure or approval based on dispositive data from well-controlled, Phase 3 clinical trials of the relevant therapeutic candidate in the relevant patient population. Phase 3 clinical trials typically involve hundreds of patients, have significant costs and take years to complete. It is difficult to determine how long it will take or how much it will cost to obtain regulatory approvals for our therapeutic candidates in the U.S., the UK, or other regions of the world or how long it will take to commercialize our therapeutic candidates. Delay or failure to obtain or unexpected costs in obtaining the regulatory approvals necessary to bring a potential therapeutic candidate to market could decrease our ability to generate sufficient product revenue and our business, financial condition, results of operations and prospects may be harmed.</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Preclinical and clinical development involves a lengthy and expensive process with an uncertain outcome, and the results of preclinical studies are not necessarily predictive of the results of later preclinical studies and any clinical trials of our therapeutic candidates. We have not yet completed the testing of any of our therapeutic candidates in clinical trials and our therapeutic candidates may not have favorable results in clinical trials or receive regulatory approval on a timely basis, if at all.</w:t>
      </w:r>
    </w:p>
    <w:p>
      <w:pPr>
        <w:spacing w:after="0" w:line="136"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4"/>
          <w:szCs w:val="14"/>
          <w:color w:val="auto"/>
        </w:rPr>
        <w:t>Preclinical and clinical development is expensive and can take many years to complete, and its outcome is inherently uncertain. We cannot guarantee that any preclinical studies or clinical trials will be conducted as planned or completed on schedule, if at all, and failure can occur at any time during the preclinical study or clinical trial process. Any positive results from our preclinical studies of our therapeutic candidates may not necessarily be predictive of the results in later preclinical studies and clinical trials. Similarly, even if we are able to complete our current or planned preclinical studies or clinical trials of our therapeutic candidates according to our current development timeline, the positive results from such preclinical studies and clinical trials may not be replicated in our subsequent preclinical studies or later-stage clinical trials. Despite promising preclinical or clinical results, any therapeutic candidate can unexpectedly fail at any stage of preclinical or clinical development. The historical failure rate for therapeutic candidates in our industry is high.</w:t>
      </w:r>
    </w:p>
    <w:p>
      <w:pPr>
        <w:spacing w:after="0" w:line="143" w:lineRule="exact"/>
        <w:rPr>
          <w:sz w:val="20"/>
          <w:szCs w:val="20"/>
          <w:color w:val="auto"/>
        </w:rPr>
      </w:pPr>
    </w:p>
    <w:p>
      <w:pPr>
        <w:ind w:right="20" w:firstLine="509"/>
        <w:spacing w:after="0" w:line="238" w:lineRule="auto"/>
        <w:rPr>
          <w:sz w:val="20"/>
          <w:szCs w:val="20"/>
          <w:color w:val="auto"/>
        </w:rPr>
      </w:pPr>
      <w:r>
        <w:rPr>
          <w:rFonts w:ascii="Times New Roman" w:cs="Times New Roman" w:eastAsia="Times New Roman" w:hAnsi="Times New Roman"/>
          <w:sz w:val="14"/>
          <w:szCs w:val="14"/>
          <w:color w:val="auto"/>
        </w:rPr>
        <w:t>The results from preclinical studies or clinical trials of a therapeutic candidate may not predict the results of later clinical trials of the therapeutic candidate, and interim, topline, or preliminary results of a clinical trial are not necessarily indicative of final results. Therapeutic candidates in later stages of clinical trials may fail to show the desired safety and efficacy characteristics despite having progressed through preclinical studies and initial clinical trials. In particular, while we have conducted certain preclinical studies of ENTR-601-44, ENTR-601-45, ENTR-601-50, ENTR-601-51, our partnered candidate VX-670 and other potential therapeutic candidates, we do not know whether ENTR-601-44, ENTR-601-45, ENTR-601-50, ENTR-601-51, VX-670 or the other potential therapeutic candidates will perform in current or future clinical trials as they have performed in these prior studies. The positive results we have observed for our therapeutic candidates in early, non-GLP preclinical studies and animal models may not be predictive of our current or future clinical trials in humans. Furthermore, for some indications that we are pursuing there are no animal models that adequately mirror the human disease to predict any level of positive results. It is not uncommon to observe results in clinical trials that are unexpected based on preclinical studies and early clinical trials, and many therapeutic candidates fail in clinical trials despite very promising early results. Unexpected observations or toxicities observed in our IND-enabling studies for example, could delay clinical trials for ENTR-601-50, ENTR-601-51 or our other development programs. Moreover, preclinical and clinical data may be susceptible to varying interpretations and analyses. A number of companies in the biopharmaceutical and biotechnology industries have suffered significant setbacks in clinical development even after achieving promising results in earlier studies, and companies that have believed their therapeutic candidates performed satisfactorily in preclinical studies and clinical trials have nonetheless failed to obtain FDA approval. Additionally, we may conduct clinical trials that utilize an “open-label” trial design. An “open-label” clinical trial is one where both the patient and investigator know whether the patient is receiving the investigational therapeutic candidate or either an existing approved drug or placebo. Most typically, open-label clinical trials test only the investigational therapeutic candidate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therapeutic candidates for which we include an open-label clinical trial when studied in a controlled environment with a placebo or active control.</w:t>
      </w:r>
    </w:p>
    <w:p>
      <w:pPr>
        <w:spacing w:after="0" w:line="144"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4"/>
          <w:szCs w:val="14"/>
          <w:color w:val="auto"/>
        </w:rPr>
        <w:t>For the foregoing reasons, we cannot be certain that our ongoing and planned preclinical studies and current and planned clinical trials will be successful. Any safety concerns observed in any one of our clinical trials in our targeted indications could limit the prospects for regulatory approval of our therapeutic candidates in those and other indications, which could have a material adverse effect on our business, financial condition and results of operations.</w:t>
      </w:r>
    </w:p>
    <w:p>
      <w:pPr>
        <w:spacing w:after="0" w:line="134"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Substantial delays in the commencement, enrollment or completion of our planned clinical trials, or failure to demonstrate safety and efficacy to the satisfaction of applicable regulatory authorities could prevent us from commercializing any therapeutic candidates we determine to develop on a timely basis, if at all.</w:t>
      </w:r>
    </w:p>
    <w:p>
      <w:pPr>
        <w:spacing w:after="0" w:line="122" w:lineRule="exact"/>
        <w:rPr>
          <w:sz w:val="20"/>
          <w:szCs w:val="20"/>
          <w:color w:val="auto"/>
        </w:rPr>
      </w:pPr>
    </w:p>
    <w:p>
      <w:pPr>
        <w:ind w:right="40" w:firstLine="509"/>
        <w:spacing w:after="0" w:line="238" w:lineRule="auto"/>
        <w:rPr>
          <w:sz w:val="20"/>
          <w:szCs w:val="20"/>
          <w:color w:val="auto"/>
        </w:rPr>
      </w:pPr>
      <w:r>
        <w:rPr>
          <w:rFonts w:ascii="Times New Roman" w:cs="Times New Roman" w:eastAsia="Times New Roman" w:hAnsi="Times New Roman"/>
          <w:sz w:val="14"/>
          <w:szCs w:val="14"/>
          <w:color w:val="auto"/>
        </w:rPr>
        <w:t>The risk of failure in developing therapeutic candidates is high. It is impossible to predict when or if any therapeutic candidate would prove effective or safe in humans or will receive regulatory approval. Before obtaining marketing approval from regulatory authorities for the sale of any therapeutic candidate, we must complete preclinical development, submit an IND or foreign equivalent to permit initiation of clinical studies, and then conduct extensive clinical trials to demonstrate the safety and efficacy of therapeutic candidates in humans. As an organization, we submitted an IND for ENTR-601-44 in the fourth quarter of 2022, which was subsequently placed on clinical hold. We have advanced this program by completing a Phase 1 single ascending dose clinical trial in healthy volunteers in the UK and plan to initiate a Phase 1/2 clinical trial in the UK in the second quarter of 2025. We have also submitted a regulatory application in the EU for ENTR-601-44. In parallel, we have resolved the clinical hold in the United States via clearance of the ELEVATE-44-102 study protocol and plan to initiate the clinical trial in the first half of 2026. In the fourth quarter of 2024, we submitted regulatory applications to UK and EU regulatory agencies to initiate a clinical trial for ENTR-601-45, our EEV therapeutic candidate targeting exon 45, and we plan to advance ENTR-601-50 to regulatory application submission in 2025 and ENTR-601-51 to regulatory application submission in 2026. We have limited experience as a company in preparing, submitting and prosecuting regulatory filings and have not previously submitted a New Drug Application (“NDA”), Biologics License Application (“BLA”) or other comparable foreign regulatory submission for any therapeutic candidate. In addition, we have had limited interactions with the FDA and comparable foreign regulatory authorities and cannot be certain how many clinical trials of ENTR-601-44, ENTR-601-45, ENTR-601-50, ENTR-601-51, our partnered candidate VX-670 or any other therapeutic candidates will be required or how such trials should be designed. Consequently, we and our partner may be unable to successfully and efficiently execute and complete necessary clinical trials in a way that leads to approval of any of our therapeutic candidates. Clinical trials may fail to demonstrate that our therapeutic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52"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Before we can commence clinical trials for a therapeutic candidate, we must complete extensive preclinical testing and studies that support our INDs and other regulatory filings. We cannot be certain of the timely identification of a therapeutic candidate or the completion or outcome of our preclinical testing and studies and cannot predict whether the FDA or other comparable regulatory authorities will accept our proposed clinical programs or whether the outcome of our preclinical testing and studies will ultimately support the further development of any therapeutic candidates. Conducting preclinical testing is a lengthy, time-consuming and expensive process. The length of time may vary substantially according to the type, complexity and novelty of the program, and often can be several years or more per program. As a result, we cannot be sure that we will be able to submit INDs or foreign equivalents for our preclinical programs on the timelines we expect, if at all, and we cannot be sure that submission of such applications will result in the FDA or other regulatory authority allowing clinical trials to begin. In addition, if our efforts in the United States and elsewhere are not successful, we may not be able to complete a clinical development program that enables the approval and marketing of ENTR-601-44 as planned, or at all. Furthermore, therapeutic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w:t>
      </w:r>
    </w:p>
    <w:p>
      <w:pPr>
        <w:spacing w:after="0" w:line="149" w:lineRule="exact"/>
        <w:rPr>
          <w:sz w:val="20"/>
          <w:szCs w:val="20"/>
          <w:color w:val="auto"/>
        </w:rPr>
      </w:pPr>
    </w:p>
    <w:p>
      <w:pPr>
        <w:ind w:right="480" w:firstLine="509"/>
        <w:spacing w:after="0" w:line="271" w:lineRule="auto"/>
        <w:rPr>
          <w:sz w:val="20"/>
          <w:szCs w:val="20"/>
          <w:color w:val="auto"/>
        </w:rPr>
      </w:pPr>
      <w:r>
        <w:rPr>
          <w:rFonts w:ascii="Times New Roman" w:cs="Times New Roman" w:eastAsia="Times New Roman" w:hAnsi="Times New Roman"/>
          <w:sz w:val="14"/>
          <w:szCs w:val="14"/>
          <w:color w:val="auto"/>
        </w:rPr>
        <w:t>Clinical testing is expensive, is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multitude of factors, including, but not limited to, flaws in trial design, dose selection issues, patient enrollment criteria and failure to demonstrate favorable safety or efficacy traits.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events that may prevent successful enrollment, initiation or timely completion of clinical development include:</w:t>
      </w:r>
    </w:p>
    <w:p>
      <w:pPr>
        <w:spacing w:after="0" w:line="81"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may be unable to generate sufficient preclinical, toxicology or other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data to support the initiation of clinical trials;</w:t>
      </w:r>
    </w:p>
    <w:p>
      <w:pPr>
        <w:spacing w:after="0" w:line="8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a consensus with regulatory authorities on trial design;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reaching agreement on acceptable terms with prospective clinical research organizations (“CROs”) and clinical trial sites;</w:t>
      </w:r>
    </w:p>
    <w:p>
      <w:pPr>
        <w:spacing w:after="0" w:line="83" w:lineRule="exact"/>
        <w:rPr>
          <w:rFonts w:ascii="Times New Roman" w:cs="Times New Roman" w:eastAsia="Times New Roman" w:hAnsi="Times New Roman"/>
          <w:sz w:val="14"/>
          <w:szCs w:val="14"/>
          <w:color w:val="auto"/>
        </w:rPr>
      </w:pPr>
    </w:p>
    <w:p>
      <w:pPr>
        <w:ind w:left="520" w:right="160" w:hanging="260"/>
        <w:spacing w:after="0" w:line="271"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opening clinical trial sites or obtaining required institutional review board (“IRB”) or independent ethics committee approval, or the equivalent review groups for sites outside the United States, at each clinical trial site;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need to add new or additional clinical trial sites;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a clinical hold by regulatory authorities as a result of a serious adverse event or after an inspection of our clinical trial operations or trial sites;</w:t>
      </w:r>
    </w:p>
    <w:p>
      <w:pPr>
        <w:spacing w:after="0" w:line="8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inconclusive results observed in clinical trials, including failure to demonstrate statistical significance, safety, purity or potency, which could lead us, or cause regulators to require us, to conduct additional clinical trials or abandon product development programs;</w:t>
      </w:r>
    </w:p>
    <w:p>
      <w:pPr>
        <w:spacing w:after="0" w:line="39" w:lineRule="exact"/>
        <w:rPr>
          <w:rFonts w:ascii="Times New Roman" w:cs="Times New Roman" w:eastAsia="Times New Roman" w:hAnsi="Times New Roman"/>
          <w:sz w:val="14"/>
          <w:szCs w:val="14"/>
          <w:color w:val="auto"/>
        </w:rPr>
      </w:pPr>
    </w:p>
    <w:p>
      <w:pPr>
        <w:ind w:left="520" w:right="60" w:hanging="260"/>
        <w:spacing w:after="0" w:line="271"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results from our preclinical studies of our therapeutic candidates may not necessarily be predictive of the results from required later preclinical studies and clinical trials and positive results from such preclinical studies and clinical trials of our therapeutic candidates may not be replicated in subsequent preclinical studies or clinical trial results;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any CROs we engage or any other third parties to adhere to clinical trial requirements;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in accordance with applicable GCPs;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investigators to adhere to clinical trial protocols leading to variable results;</w:t>
      </w:r>
    </w:p>
    <w:p>
      <w:pPr>
        <w:spacing w:after="0" w:line="83" w:lineRule="exact"/>
        <w:rPr>
          <w:rFonts w:ascii="Times New Roman" w:cs="Times New Roman" w:eastAsia="Times New Roman" w:hAnsi="Times New Roman"/>
          <w:sz w:val="14"/>
          <w:szCs w:val="14"/>
          <w:color w:val="auto"/>
        </w:rPr>
      </w:pPr>
    </w:p>
    <w:p>
      <w:pPr>
        <w:ind w:left="520" w:right="560" w:hanging="260"/>
        <w:spacing w:after="0" w:line="271"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testing, validation, manufacturing and delivery of any therapeutic candidates we may develop to the clinical sites, including delays by third parties with whom we have contracted to perform certain of those functions;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third-party contractors to comply with regulatory requirements or to meet their contractual obligations to us in a timely manner, or at all;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having patients complete participation in a trial or return for post-treatment follow-up;</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sites or patients dropping out of a trial;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of clinical endpoints that require prolonged periods of clinical observation or analysis of the resulting data;</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serious adverse events associated with the therapeutic candidate that are viewed to outweigh its potential benefits;</w:t>
      </w:r>
    </w:p>
    <w:p>
      <w:pPr>
        <w:spacing w:after="0" w:line="83" w:lineRule="exact"/>
        <w:rPr>
          <w:rFonts w:ascii="Times New Roman" w:cs="Times New Roman" w:eastAsia="Times New Roman" w:hAnsi="Times New Roman"/>
          <w:sz w:val="14"/>
          <w:szCs w:val="14"/>
          <w:color w:val="auto"/>
        </w:rPr>
      </w:pPr>
    </w:p>
    <w:p>
      <w:pPr>
        <w:ind w:left="520" w:right="480" w:hanging="260"/>
        <w:spacing w:after="0" w:line="271"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 of serious adverse events associated with a therapeutic candidate in development by another company, which are viewed to outweigh its potential benefits, and which may negatively impact the perception of our product due to a similarity in technology or approach;</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requirements and guidance that require amending or submitting new clinical protocols;</w:t>
      </w:r>
    </w:p>
    <w:p>
      <w:pPr>
        <w:spacing w:after="0" w:line="72" w:lineRule="exact"/>
        <w:rPr>
          <w:rFonts w:ascii="Times New Roman" w:cs="Times New Roman" w:eastAsia="Times New Roman" w:hAnsi="Times New Roman"/>
          <w:sz w:val="14"/>
          <w:szCs w:val="14"/>
          <w:color w:val="auto"/>
        </w:rPr>
      </w:pPr>
    </w:p>
    <w:p>
      <w:pPr>
        <w:ind w:left="520" w:right="120" w:hanging="260"/>
        <w:spacing w:after="0" w:line="271"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other regulatory authorities, or ethics committees may require us to submit additional data such as long-term toxicology studies or impose other requirements before permitting us to initiate a clinical trial;</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legal or regulatory regimes domestically or internationally related to patient rights and privacy; or</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adequate funding to continue the clinical trial.</w:t>
      </w:r>
    </w:p>
    <w:p>
      <w:pPr>
        <w:spacing w:after="0" w:line="168"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After initiating a clinical trial, we could also encounter delays if the clinical trial is suspended, placed on clinical hold or terminated by us, the IRBs of the institutions in which such trials are being conducted, or the FDA or other regulatory authorities or recommended for suspension or termination by the Data Safety Monitoring Board (“DSMB”) for such trial. A suspension or termination may be imposed due to a number of factors, including failure to conduct the clinical trial in accordance with regulatory requirements or our clinical protocols, inspection of the clinical trial operations or trial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4"/>
          <w:szCs w:val="14"/>
          <w:color w:val="auto"/>
        </w:rPr>
        <w:t>site by the FDA or other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therapeutic candidates. Further, the FDA or other regulatory authorities may disagree with our clinical trial design and our interpretation of data from preclinical studies, clinical trials, or may change the requirements for approval even after they have reviewed and commented on the design for our clinical trials. Moreover, preclinical and clinical data are often susceptible to varying interpretations and analyses and many companies that believed their therapeutic candidates performed satisfactorily in preclinical studies and clinical trials nonetheless failed to obtain regulatory approval.</w:t>
      </w:r>
    </w:p>
    <w:p>
      <w:pPr>
        <w:spacing w:after="0" w:line="143"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Any inability to successfully complete preclinical studies and clinical trials could result in additional costs to us or impair our ability to generate revenues from product sales, regulatory and commercialization milestones and royalties. In addition, manufacturing or formulation changes to any therapeutic candidates we may develop may require us to conduct additional studies or trials to bridge our modified therapeutic candidates to earlier versions. Clinical trial delays also could shorten any periods during which we may have the exclusive right to commercialize any therapeutic candidates we may develop or allow our competitors to bring products to market before we do, which could impair our ability to successfully commercialize any therapeutic candidates we may develop and may harm our business, financial condition, results of operations and prospects.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Additionally, if the results of future clinical trials are inconclusive or if there are safety concerns or serious adverse events associated with any therapeutic candidates we may develop, we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w:t>
      </w:r>
    </w:p>
    <w:p>
      <w:pPr>
        <w:spacing w:after="0" w:line="56"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delayed in obtaining marketing approval for therapeutic candidates, if at all;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for indications or patient populations that are not as broad as intended or desired;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with labeling that includes significant use or distribution restrictions or safety warnings;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changes in the way the product is administered;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perform additional clinical trials to support approval or be subject to additional post-marketing testing requirements;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regulatory authorities withdraw, or suspend, their approval of the product or impose restrictions on its distribution in the form of a modified risk evaluation and mitigation strategy;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the addition of labeling statements, such as warnings or contraindications;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sued; or</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damage to our reputation.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Delays or difficulties in the enrollment of patients in clinical trials could delay or prevent our receipt of necessary regulatory approvals.</w:t>
      </w:r>
    </w:p>
    <w:p>
      <w:pPr>
        <w:spacing w:after="0" w:line="170"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4"/>
          <w:szCs w:val="14"/>
          <w:color w:val="auto"/>
        </w:rPr>
        <w:t>Failure to locate and enroll a sufficient number of eligible patients to participate in these trials as required by the FDA or similar regulatory authorities outside the U.S. may delay or prevent us from initiating or continuing clinical trials for our therapeutic candidates. Because the target patient populations for some of our therapeutic candidates are relatively small, it may be difficult to successfully identify patients. Although we may enter into agreements with third parties to develop companion diagnostic tests for use in some of our future clinical trials in order to help identify eligible patients in certain indications,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therapeutic candidates may become unavailable in the future.</w:t>
      </w:r>
    </w:p>
    <w:p>
      <w:pPr>
        <w:spacing w:after="0" w:line="146"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Furthermore, some of our competitors have ongoing clinical trials for therapeutic candidates that treat the same indications as our therapeutic candidates, and patients who would otherwise be eligible for our clinical trials may instead enroll in clinical trials of our competitors’ therapeutic candidates.</w:t>
      </w:r>
    </w:p>
    <w:p>
      <w:pPr>
        <w:spacing w:after="0" w:line="12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In addition, the pediatric population is an important patient population for certain of the indications we are targeting, including DMD, and our addressable patient population estimates include pediatric populations. However, it may be more challenging to conduct studies in this population, and to locate and enroll pediatric patients. Additionally, it may be challenging to ensure that pediatric or adolescent patients adhere to clinical trial protocols. Patient enrollment and trial competition may be affected by other factors including:</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507"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right="100" w:hanging="260"/>
        <w:spacing w:after="0" w:line="27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clinicians’ and patients’ perceived risks and benefits of the therapeutic candidate under trial, particularly therapeutic candidates developed using a novel and unproven therapeutic approach, like our EEV therapeutic candidates in relation to available or investigational drugs;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size of the patient population, in particular for rare diseases such as the diseases on which we are initially focused, and process for identifying patients;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of the trial protocol;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facilitate timely enrollment in clinical trials;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eligibility and exclusion criteria;</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competing therapies and clinical trials;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of the disease or disorder under investigation;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proximity and availability of clinical trial sites for prospective patients;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obtain and maintain patient consent;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that enrolled patients will drop out before completion of the trial;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referral practices of physicians;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monitor patients adequately during and after treatment.</w:t>
      </w:r>
    </w:p>
    <w:p>
      <w:pPr>
        <w:spacing w:after="0" w:line="15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4"/>
          <w:szCs w:val="14"/>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therapeutic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limit our ability to seek participation in the FDA’s expedited development programs, including Breakthrough Therapy Designation and Fast Track Designation, or otherwise to seek to accelerate clinical development and regulatory timelines.</w:t>
      </w:r>
    </w:p>
    <w:p>
      <w:pPr>
        <w:spacing w:after="0" w:line="144"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Even if we are able to enroll a sufficient number of patients for our clinical trials, we may have difficulty maintaining patients in our clinical trials. In our planned clinical trials that will include a placebo group, some of the patients who end up receiving placebo may perceive that they are not receiving the therapeutic candidate being tested, and they may decide to withdraw from our clinical trials to pursue other alternative therapies rather than continue the trial with the perception that they are receiving placebo. Difficulty enrolling or maintaining a sufficient number of patients to conduct our clinical trials, may require us to delay, limit or terminate clinical trials, any of which would harm our business, financial condition, results of operations and prospects.</w:t>
      </w:r>
    </w:p>
    <w:p>
      <w:pPr>
        <w:spacing w:after="0" w:line="13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Use of our therapeutic candidates could be associated with side effects, adverse events or other properties or safety risks, which could delay or preclude approval, cause us to suspend or discontinue clinical trials, abandon a therapeutic candidate, limit the commercial profile of an approved label or result in other significant negative consequences that could severely harm our business, prospects, operating results and financial condition.</w:t>
      </w:r>
    </w:p>
    <w:p>
      <w:pPr>
        <w:spacing w:after="0" w:line="136" w:lineRule="exact"/>
        <w:rPr>
          <w:sz w:val="20"/>
          <w:szCs w:val="20"/>
          <w:color w:val="auto"/>
        </w:rPr>
      </w:pPr>
    </w:p>
    <w:p>
      <w:pPr>
        <w:ind w:right="60" w:firstLine="509"/>
        <w:spacing w:after="0" w:line="239" w:lineRule="auto"/>
        <w:rPr>
          <w:sz w:val="20"/>
          <w:szCs w:val="20"/>
          <w:color w:val="auto"/>
        </w:rPr>
      </w:pPr>
      <w:r>
        <w:rPr>
          <w:rFonts w:ascii="Times New Roman" w:cs="Times New Roman" w:eastAsia="Times New Roman" w:hAnsi="Times New Roman"/>
          <w:sz w:val="14"/>
          <w:szCs w:val="14"/>
          <w:color w:val="auto"/>
        </w:rPr>
        <w:t>Although other oligonucleotide therapeutics, enzyme replacement therapies and gene therapies have received regulatory approval, our EEV-based therapeutics are a novel approach to the delivery of biological therapeutics, which may present enhanced uncertainty associated with the safety profile of ENTR-601-44, ENTR-601-45, ENTR-601-50, ENTR-601-51, our partnered candidate VX-670 and other EEV-based therapeutics compared to more well-established classes of therapies. Moreover, it is impossible to predict when or if any therapeutic candidates we may develop will prove safe in humans. As is the case with biopharmaceuticals generally, it is likely that there may be side effects and adverse events associated with our therapeutic candidates’ use. Results of our clinical trials could reveal a high and unacceptable severity and prevalence of side effects or unexpected characteristics. Undesirable side effects caused by our therapeutic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50"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4"/>
          <w:szCs w:val="14"/>
          <w:color w:val="auto"/>
        </w:rPr>
        <w:t>Further, clinical trials by their nature utilize a sample of the potential patient population. With a limited number of patients and limited duration of exposure, rare and severe side effects of our therapeutic candidates may only be uncovered with a significantly larger number of patients exposed to the therapeutic candidate. Any undesirable side effects or unexpected characteristics associated with our therapeutic candidates in clinical trials may lead us to elect to abandon their</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development or limit their development to more narrow uses or subpopulations in which the undesirable side effects or other characteristics are less prevalent, less severe or more acceptable from a risk-benefit perspective, which may limit the commercial expectations for the therapeutic candidate if approved. We may also be required to modify our study plans based on findings after we commence our clinical trials.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4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4"/>
          <w:szCs w:val="14"/>
          <w:color w:val="auto"/>
        </w:rPr>
        <w:t>It is possible that as we test our therapeutic candidates in larger, longer and more extensive clinical trials, or as the use of these therapeutic candidates becomes more widespread if they receive regulatory approval, illnesses, injuries, discomforts and other adverse events that were observed in earlier trials, as well as conditions that did not occur or went undetected in previous trials, may be reported by subjects. Any findings of such side effects later in development or upon approval, if any, may harm our business, financial condition and prospects significantly.</w:t>
      </w:r>
    </w:p>
    <w:p>
      <w:pPr>
        <w:spacing w:after="0" w:line="13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Patients treated with our therapeutics, if approved, may experience previously unreported adverse reactions, and it is possible that the FDA or other regulatory authorities may ask for additional safety data as a condition of, or in connection with, our efforts to obtain approval of our therapeutic candidates. If safety problems occur or are identified after our therapeutics, if any, reach the market, we may make the decision or be required by regulatory authorities to amend the labeling of our therapeutics, recall our therapeutics or even withdraw approval for our therapeutics.</w:t>
      </w:r>
    </w:p>
    <w:p>
      <w:pPr>
        <w:spacing w:after="0" w:line="13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therapeutic candidates are subject to extensive regulation and compliance, which is costly and time-consuming, and such regulation may cause unanticipated delays or prevent the receipt of the required approvals to commercialize our therapeutic candidates.</w:t>
      </w:r>
    </w:p>
    <w:p>
      <w:pPr>
        <w:spacing w:after="0" w:line="144"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The clinical development, manufacturing, labeling, packaging, storage, record-keeping, advertising, promotion, import, export, marketing, distribution and adverse event reporting, including the submission of safety and other information, of our therapeutic candidates are subject to extensive regulation by the FDA in the United States and by comparable foreign regulatory authorities in foreign markets. In the United States, we are not permitted to market our therapeutic candidates until we receive regulatory approval from the FDA. The process of obtaining regulatory approval is expensive, often takes many years following the commencement of clinical trials and can vary substantially based upon the type, complexity and novelty of the therapeutic candidates involved, as well as the target indications and patient population. Approval policies or regulations may change, and the FDA has substantial discretion in the drug approval process, including the ability to delay, limit or deny approval of a therapeutic candidate for many reasons. For example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Despite the time and expense invested in clinical development of therapeutic candidates, regulatory approval is never guaranteed. Neither we nor any current or future collaborator is permitted to market any of our therapeutic candidates in the United States until we receive approval from the FDA.</w:t>
      </w:r>
    </w:p>
    <w:p>
      <w:pPr>
        <w:spacing w:after="0" w:line="149" w:lineRule="exact"/>
        <w:rPr>
          <w:sz w:val="20"/>
          <w:szCs w:val="20"/>
          <w:color w:val="auto"/>
        </w:rPr>
      </w:pPr>
    </w:p>
    <w:p>
      <w:pPr>
        <w:jc w:val="both"/>
        <w:ind w:right="200" w:firstLine="509"/>
        <w:spacing w:after="0" w:line="245" w:lineRule="auto"/>
        <w:rPr>
          <w:sz w:val="20"/>
          <w:szCs w:val="20"/>
          <w:color w:val="auto"/>
        </w:rPr>
      </w:pPr>
      <w:r>
        <w:rPr>
          <w:rFonts w:ascii="Times New Roman" w:cs="Times New Roman" w:eastAsia="Times New Roman" w:hAnsi="Times New Roman"/>
          <w:sz w:val="14"/>
          <w:szCs w:val="14"/>
          <w:color w:val="auto"/>
        </w:rPr>
        <w:t>Prior to obtaining approval to commercialize a therapeutic candidate in the United States or abroad, we or our collaborators must demonstrate with substantial evidence from adequate and well-controlled clinical trials, and to the satisfaction of the FDA or comparable foreign regulatory authorities, that such therapeutic candidates are safe and effective for their intended uses. Results from preclinical studies and clinical trials can be interpreted in different ways. Even if we believe the preclinical or clinical data for our therapeutic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therapeutic candidates either prior to or post-approval, or may object to elements of our clinical development program.</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FDA or comparable foreign regulatory authorities can delay, limit or deny approval of a therapeutic candidate for many reasons, including:</w:t>
      </w:r>
    </w:p>
    <w:p>
      <w:pPr>
        <w:spacing w:after="0" w:line="83"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authorities may disagree with the design or implementation of our or our current or future collaborators’ clinical trials;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or ambiguous results from our clinical trials or results may not meet the level of statistical significance required by the FDA or comparable foreign regulatory agencies for approval;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and unexpected drug-related side effects may be experienced by participants in our clinical trials or by individuals using drugs similar to our therapeutic candidates;</w:t>
      </w:r>
    </w:p>
    <w:p>
      <w:pPr>
        <w:spacing w:after="0" w:line="83" w:lineRule="exact"/>
        <w:rPr>
          <w:rFonts w:ascii="Times New Roman" w:cs="Times New Roman" w:eastAsia="Times New Roman" w:hAnsi="Times New Roman"/>
          <w:sz w:val="14"/>
          <w:szCs w:val="14"/>
          <w:color w:val="auto"/>
        </w:rPr>
      </w:pPr>
    </w:p>
    <w:p>
      <w:pPr>
        <w:ind w:left="520" w:right="320" w:hanging="260"/>
        <w:spacing w:after="0" w:line="271"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authorities may not accept clinical data from trials which are conducted at clinical facilities or in countries where the standard of care is potentially different from that of the United States;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right="26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any of our current or future collaborators may be unable to demonstrate that a therapeutic candidate is safe and effective, and that therapeutic candidate’s clinical and other benefits outweigh its safety risks;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authorities may disagree with our interpretation of data from preclinical studies or clinical trials;</w:t>
      </w:r>
    </w:p>
    <w:p>
      <w:pPr>
        <w:spacing w:after="0" w:line="83" w:lineRule="exact"/>
        <w:rPr>
          <w:rFonts w:ascii="Times New Roman" w:cs="Times New Roman" w:eastAsia="Times New Roman" w:hAnsi="Times New Roman"/>
          <w:sz w:val="14"/>
          <w:szCs w:val="14"/>
          <w:color w:val="auto"/>
        </w:rPr>
      </w:pPr>
    </w:p>
    <w:p>
      <w:pPr>
        <w:ind w:left="520" w:right="36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authorities may not agree that the data collected from clinical trials of our therapeutic candidates are acceptable or sufficient to support the submission of an NDA or BLA or other submission or to obtain regulatory approval in the United States or elsewhere, and such authorities may impose requirements for additional preclinical studies or clinical trials;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authorities may disagree regarding the formulation, labeling and/or the specifications of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may be granted only for indications that are significantly more limited than what we apply for and/or with other significant restrictions on distribution and use;</w:t>
      </w:r>
    </w:p>
    <w:p>
      <w:pPr>
        <w:spacing w:after="0" w:line="83" w:lineRule="exact"/>
        <w:rPr>
          <w:rFonts w:ascii="Times New Roman" w:cs="Times New Roman" w:eastAsia="Times New Roman" w:hAnsi="Times New Roman"/>
          <w:sz w:val="14"/>
          <w:szCs w:val="14"/>
          <w:color w:val="auto"/>
        </w:rPr>
      </w:pPr>
    </w:p>
    <w:p>
      <w:pPr>
        <w:ind w:left="520" w:right="660" w:hanging="260"/>
        <w:spacing w:after="0" w:line="271"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authorities may find deficiencies in the manufacturing processes, approval policies or facilities of our third-party manufacturers with which we or any of our current or future collaborators contract for clinical and commercial supplies;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regulations of such authorities may significantly change in a manner rendering our or any of our potential future collaborators’ clinical data insufficient for approval; or</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authorities may not accept a submission due to, among other reasons, the content or formatting of the submission.</w:t>
      </w:r>
    </w:p>
    <w:p>
      <w:pPr>
        <w:spacing w:after="0" w:line="168"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4"/>
          <w:szCs w:val="14"/>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biopharmaceuticals may result in increased cautiousness by the FDA and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therapeutic candidates.</w:t>
      </w:r>
    </w:p>
    <w:p>
      <w:pPr>
        <w:spacing w:after="0" w:line="142"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approach to the discovery and development of therapeutic candidates based on our EEV Platform is unproven, and we do not know whether we will be able to develop any products of commercial value, or if competing technological approaches will limit the commercial value of our therapeutic candidates or render our EEV Platform obsolete.</w:t>
      </w:r>
    </w:p>
    <w:p>
      <w:pPr>
        <w:spacing w:after="0" w:line="12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The success of our business depends primarily upon our ability to identify, develop and commercialize products based on our proprietary EEV Platform, which leverages a novel and unproven approach. While we have observed favorable preclinical study results based on our EEV Platform, we have not yet succeeded and may not succeed in demonstrating sufficient efficacy and safety to enable the approval of any therapeutic candidates as a result of our clinical trials or obtain marketing approval thereafter. Our lead therapeutic candidates, with the exception of ENTR-601-44 and our partnered candidate VX-670, but including ENTR-601-45, ENTR-601-50 and ENTR-601-51, are in preclinical development. Our research methodology and novel approach to intracellular therapeutics may be unsuccessful in identifying additional therapeutic candidates, and any therapeutic candidates based on our EEV Platform may be shown to have harmful side effects or may have other characteristics that may necessitate additional clinical testing, or make the therapeutic candidates unmarketable or unlikely to receive marketing approval. Further, because all of our therapeutic candidates and development programs are based on our EEV Platform, adverse developments with respect to one of our programs may have a significant adverse impact on the actual or perceived likelihood of success and value of our other programs.</w:t>
      </w:r>
    </w:p>
    <w:p>
      <w:pPr>
        <w:spacing w:after="0" w:line="144"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In addition, the biotechnology and biopharmaceutical industries are characterized by rapidly advancing technologies. Our future success will depend in part on our ability to maintain a competitive position with our EEV approach. Failure to stay at the forefront of technological change in utilizing our EEV Platform to create and develop therapeutic candidates may prevent us from competing effectively. Our competitors may render our EEV approach obsolete, or limit the commercial value of our therapeutic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EEV Platform and potential of our therapeutic candidates.</w:t>
      </w:r>
    </w:p>
    <w:p>
      <w:pPr>
        <w:spacing w:after="0" w:line="148"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The occurrence of any of these events may force us to abandon our development efforts for a program or programs, which would have a material adverse effect on our business and could potentially cause us to cease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Interim, topline and preliminary data from our preclinical studies and clinical trials that we announce or publish from time to time may change as more patient data become available and are subject to audit and verification procedures that could result in material changes in the final data.</w:t>
      </w:r>
    </w:p>
    <w:p>
      <w:pPr>
        <w:spacing w:after="0" w:line="122"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4"/>
          <w:szCs w:val="14"/>
          <w:color w:val="auto"/>
        </w:rPr>
        <w:t>From time to time, we may publicly disclose interim, preliminary or topline data from our preclinical studies and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preliminary or topline data from our clinical studies. Interim, topline or preliminary data from clinical trials that we may complete are subject to the risk that one or more of the clinical outcomes may materially change as patient enrollment continues and more patient data become available. Adverse differences between preliminary, topline or interim data and final data could significantly harm our business prospects.</w:t>
      </w:r>
    </w:p>
    <w:p>
      <w:pPr>
        <w:spacing w:after="0" w:line="147"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therapeutic candidate or product and the value of our company in general. In addition, the information we choose to publicly disclose regarding a particular study or clinical trial will be based on what is typically extensive information, and our stockholders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therapeutic candidate or our business. If the topline data that we report differ from actual results, or if others, including regulatory authorities, disagree with the conclusions reached, our ability to obtain approval for, and commercialize, our therapeutic candidates may be harmed, which could harm our business, operating results, prospects or financial condition.</w:t>
      </w:r>
    </w:p>
    <w:p>
      <w:pPr>
        <w:spacing w:after="0" w:line="144"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therapeutic candidate or indication, such as our initial focus on developing ENTR-601-44, and fail to capitalize on therapeutic candidates or indications that may be more profitable or for which there is a greater likelihood of success.</w:t>
      </w:r>
    </w:p>
    <w:p>
      <w:pPr>
        <w:spacing w:after="0" w:line="122"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4"/>
          <w:szCs w:val="14"/>
          <w:color w:val="auto"/>
        </w:rPr>
        <w:t>Because we have limited human capital and financial resources, we focus on research programs and therapeutic candidates that we identify for specific indications. As a result, we may forego or delay pursuit of opportunities with other therapeutic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therapeutic candidates for specific indications may not yield any commercially viable therapeutic candidates. If we do not accurately evaluate the commercial potential or target market for a particular therapeutic candidate, we may relinquish valuable rights to that therapeutic candidate through collaboration, licensing or other royalty arrangements in cases in which it would have been more advantageous for us to retain sole development and commercialization rights to such therapeutic candidate.</w:t>
      </w:r>
    </w:p>
    <w:p>
      <w:pPr>
        <w:spacing w:after="0" w:line="143" w:lineRule="exact"/>
        <w:rPr>
          <w:sz w:val="20"/>
          <w:szCs w:val="20"/>
          <w:color w:val="auto"/>
        </w:rPr>
      </w:pPr>
    </w:p>
    <w:p>
      <w:pPr>
        <w:ind w:right="80" w:firstLine="509"/>
        <w:spacing w:after="0" w:line="239" w:lineRule="auto"/>
        <w:rPr>
          <w:sz w:val="20"/>
          <w:szCs w:val="20"/>
          <w:color w:val="auto"/>
        </w:rPr>
      </w:pPr>
      <w:r>
        <w:rPr>
          <w:rFonts w:ascii="Times New Roman" w:cs="Times New Roman" w:eastAsia="Times New Roman" w:hAnsi="Times New Roman"/>
          <w:sz w:val="14"/>
          <w:szCs w:val="14"/>
          <w:color w:val="auto"/>
        </w:rPr>
        <w:t>At any time and for any reason, we may determine that one or more of our discovery programs or preclinical or clinical therapeutic candidates or programs does not have sufficient potential to warrant the allocation of resources toward such program or therapeutic candidate. Accordingly, we may choose not to develop a potential therapeutic candidate or elect to suspend, deprioritize or terminate one or more of our discovery programs or preclinical or clinical therapeutic candidates or programs. Suspending, deprioritizing or terminating a program or therapeutic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therapeutic candidates. For example, in 2020, we made the strategic decision to focus the majority of our immediate efforts on EEV-oligonucleotide opportunities while pausing development on an existing program, PTI-501 (formerly ENTR-501) which is an EEV-conjugated protein designed to treat patients with a rare disease known as mitochondrial neurogastrointestinal encephalomyopathy (“MNGIE”). We have since partnered with an organization that has the resources and expertise to continue the development of ENTR-501. We continue to believe that the program will have an important role to play in the future treatment of patients with MNGIE.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efforts to expand our development portfolio of therapeutic candidates.</w:t>
      </w:r>
    </w:p>
    <w:p>
      <w:pPr>
        <w:spacing w:after="0" w:line="17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A key element of our strategy is to use our novel EEV Platform to address intracellular targets that are drivers of diseases in genomically defined patient populations with high unmet medical need in order to build a development portfolio of therapeutic candidates. Although our research and development efforts to date have resulted in a development portfolio of potential programs and therapeutic candidates, we may not be able to continue to identify intracellular disease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targets and develop therapeutic candidates. We may also pursue opportunities to acquire or in-license additional businesses, technologies or products, form strategic alliances or create joint ventures with third parties to complement or augment our existing business. However, we may not be able to identify any therapeutic candidates for our development portfolio through such acquisition or in-license.</w:t>
      </w:r>
    </w:p>
    <w:p>
      <w:pPr>
        <w:spacing w:after="0" w:line="136"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Even if we are successful in continuing to build and expand our development portfolio, the potential therapeutic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therapeutic candidates, we will not be able to obtain drug revenues in future periods, which likely would result in significant harm to our financial position and adversely affect our stock price.</w:t>
      </w:r>
    </w:p>
    <w:p>
      <w:pPr>
        <w:spacing w:after="0" w:line="139"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Where appropriate, we plan to secure approval from the FDA, EMA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EMA or comparable regulatory authorities, if our confirmatory trials do not verify clinical benefit, or if we do not comply with rigorous post-marketing requirements, the FDA, EMA or such other regulatory authorities may seek to withdraw accelerated approval.</w:t>
      </w:r>
    </w:p>
    <w:p>
      <w:pPr>
        <w:spacing w:after="0" w:line="140"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4"/>
          <w:szCs w:val="14"/>
          <w:color w:val="auto"/>
        </w:rPr>
        <w:t>Where possible, we plan to pursue accelerated development strategies in areas of high unmet need. We may seek an accelerated approval pathway for our one or more of our therapeutic candidates from the FDA, EMA or comparable foreign regulatory authorities. Under the accelerated approval provisions in the Federal Food, Drug, and Cosmetic Act, and the FDA’s implementing regulations, the FDA may grant accelerated approval to a therapeutic candidate designed to treat a serious or life-threatening condition that provides meaningful therapeutic benefit over available therapies upon a determination that the therapeutic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and the FDA is permitted to require, as appropriate, that such studies be underway prior to approval or within a specified period after the date of approval. Sponsors must also update the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w:t>
      </w:r>
    </w:p>
    <w:p>
      <w:pPr>
        <w:spacing w:after="0" w:line="153" w:lineRule="exact"/>
        <w:rPr>
          <w:sz w:val="20"/>
          <w:szCs w:val="20"/>
          <w:color w:val="auto"/>
        </w:rPr>
      </w:pPr>
    </w:p>
    <w:p>
      <w:pPr>
        <w:ind w:right="100" w:firstLine="509"/>
        <w:spacing w:after="0" w:line="239" w:lineRule="auto"/>
        <w:rPr>
          <w:sz w:val="20"/>
          <w:szCs w:val="20"/>
          <w:color w:val="auto"/>
        </w:rPr>
      </w:pPr>
      <w:r>
        <w:rPr>
          <w:rFonts w:ascii="Times New Roman" w:cs="Times New Roman" w:eastAsia="Times New Roman" w:hAnsi="Times New Roman"/>
          <w:sz w:val="14"/>
          <w:szCs w:val="14"/>
          <w:color w:val="auto"/>
        </w:rPr>
        <w:t>Prior to seeking accelerated approval, we will seek feedback from the FDA, EMA or comparable foreign regulatory authorities and will otherwise evaluate our ability to seek and receive such accelerated approval. There can be no assurance that after our evaluation of the feedback and other factors we will decide to pursue or submit an NDA or BLA for accelerated approval or any other form of expedited development, review or approval. Similarly, there can be no assurance that after subsequent feedback from the FDA, EMA or comparable foreign regulatory authorities, we will continue to pursue or apply for accelerated approval or any other form of expedited development, review or approval, even if we initially decide to do so. Furthermore, if we decide to submit an application for accelerated approval, there can be no assurance that such application will be accepted or that any approval will be granted on a timely basis, or at all. The FDA, EMA or other comparable foreign regulatory authorities could also require us to conduct further studies prior to considering our application or granting approval of any type, including, for example, if other products are approved via the accelerated pathway and subsequently converted by FDA to full approval. In addition, the FDA currently requires, unless otherwise informed by the agency, pre-approval of promotional materials for products receiving accelerated approval, which could adversely impact the timing of the commercial launch of any of our products. A failure to obtain accelerated approval or any other form of expedited development, review or approval for our therapeutic candidate would result in a longer time period to commercialization of such therapeutic candidate, could increase the cost of development of such therapeutic candidate and could harm our competitive position in the marketplace.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30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may seek Fast Track designation, Breakthrough Therapy designation and/or orphan drug designation from the FDA or similar designations from other regulatory authorities for one or more of our therapeutic candidates. Even if one or more of our therapeutic candidates receive any of these designations, we may be unable to obtain or maintain the benefits associated with such designation.</w:t>
      </w:r>
    </w:p>
    <w:p>
      <w:pPr>
        <w:spacing w:after="0" w:line="136"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4"/>
          <w:szCs w:val="14"/>
          <w:color w:val="auto"/>
        </w:rPr>
        <w:t>The FDA has established various designations to facilitate more rapid and efficient development and approval of certain types of drugs. Such designations include Fast Track designation, Breakthrough Therapy designation, and orphan drug designation. 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Fast Track designation applies to both the therapeutic candidate and the specific indication for which it is being studied. If any of our therapeutic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Fast Track designation alone does not guarantee qualification for the FDA’s priority review procedures.</w:t>
      </w:r>
    </w:p>
    <w:p>
      <w:pPr>
        <w:spacing w:after="0" w:line="147" w:lineRule="exact"/>
        <w:rPr>
          <w:sz w:val="20"/>
          <w:szCs w:val="20"/>
          <w:color w:val="auto"/>
        </w:rPr>
      </w:pPr>
    </w:p>
    <w:p>
      <w:pPr>
        <w:ind w:right="120" w:firstLine="509"/>
        <w:spacing w:after="0" w:line="239" w:lineRule="auto"/>
        <w:rPr>
          <w:sz w:val="20"/>
          <w:szCs w:val="20"/>
          <w:color w:val="auto"/>
        </w:rPr>
      </w:pPr>
      <w:r>
        <w:rPr>
          <w:rFonts w:ascii="Times New Roman" w:cs="Times New Roman" w:eastAsia="Times New Roman" w:hAnsi="Times New Roman"/>
          <w:sz w:val="14"/>
          <w:szCs w:val="14"/>
          <w:color w:val="auto"/>
        </w:rPr>
        <w:t>A Breakthrough Therapy, on the other hand,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therapeutic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Designation as a Breakthrough Therapy is within the discretion of the FDA, and drugs designated as Breakthrough Therapies by the FDA may also be eligible for other expedited approval programs, including accelerated approval. Even if one or more of our therapeutic candidates qualify as Breakthrough Therapies pursuant to FDA standards, the FDA may later decide that the product no longer meets the conditions for qualification. Thus, even though we may seek Breakthrough Therapy designation for one or more of our current or future therapeutic candidates, there can be no assurance that we will receive Breakthrough Therapy designation.</w:t>
      </w:r>
    </w:p>
    <w:p>
      <w:pPr>
        <w:spacing w:after="0" w:line="171"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Regulatory authorities in some jurisdictions, including the United States and the EU, may also designate drugs for relatively small patient populations as orphan drugs. Under the Orphan Drug Act, the FDA may designate a therapeutic candidate as an orphan drug if it is a drug intended to treat a rare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European Commission may grant orphan designation to a product if its sponsor can establish that: (1) the product is intended for the diagnosis, prevention or treatment of a life-threatening or chronically debilitating condition; (2) either (i) such condition affects no more than five (5) in ten thousand (10,000) persons in the EU when the application is made, or (ii) it is unlikely that the product, without the benefits derived from orphan status, would generate sufficient return in the EU to justify the necessary investment in its development; and (3) there is no satisfactory method of diagnosis, prevention or treatment of such condition authorized for marketing in the EU, or, if such a method exists, the product would be of significant benefit to those affected by that condition. In the United States, orphan drug designation entitles a party to financial incentives such as opportunities for grant funding towards clinical trial costs, tax advantages and user-fee waivers, and it may entitle the therapeutic to exclusivity in the United States. Similar benefits, including a ten year period of market exclusivity, are available to orphan products in the EU. Even if we obtain orphan drug designation for a therapeutic candidate, we may not be able to obtain or maintain orphan drug exclusivity for that therapeutic candidate.</w:t>
      </w:r>
    </w:p>
    <w:p>
      <w:pPr>
        <w:spacing w:after="0" w:line="147"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If any of our programs or therapeutic candidates receive Fast Track, Breakthrough Therapy or orphan drug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Breakthrough Therapy, or orphan drug designation does not ensure that a therapeutic candidate will receive marketing approval or that approval will be granted within any particular timeframe.</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marketing approval or commercialization of our therapeutic candidates in the United States does not mean that we will be successful in obtaining marketing approval of our therapeutic candidates in other jurisdictions. Failure to obtain marketing approval in foreign jurisdictions would prevent any therapeutic candidates we may develop from being marketed in such jurisdictions, which, in turn, would materially impair our ability to generate revenue.</w:t>
      </w:r>
    </w:p>
    <w:p>
      <w:pPr>
        <w:spacing w:after="0" w:line="136" w:lineRule="exact"/>
        <w:rPr>
          <w:sz w:val="20"/>
          <w:szCs w:val="20"/>
          <w:color w:val="auto"/>
        </w:rPr>
      </w:pPr>
    </w:p>
    <w:p>
      <w:pPr>
        <w:ind w:right="460" w:firstLine="509"/>
        <w:spacing w:after="0" w:line="271" w:lineRule="auto"/>
        <w:rPr>
          <w:sz w:val="20"/>
          <w:szCs w:val="20"/>
          <w:color w:val="auto"/>
        </w:rPr>
      </w:pPr>
      <w:r>
        <w:rPr>
          <w:rFonts w:ascii="Times New Roman" w:cs="Times New Roman" w:eastAsia="Times New Roman" w:hAnsi="Times New Roman"/>
          <w:sz w:val="14"/>
          <w:szCs w:val="14"/>
          <w:color w:val="auto"/>
        </w:rPr>
        <w:t>In order to market and sell any therapeutic candidates we may develop in the EU and many other foreign jurisdictions, including the UK, we or our collaborators must obtain separate marketing approvals and comply with</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medicines in any jurisdiction, which would materially impair our ability to generate revenue.</w:t>
      </w:r>
    </w:p>
    <w:p>
      <w:pPr>
        <w:spacing w:after="0" w:line="164"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Additionally, now that the UK is no longer part of the EU, separate applications and procedures will be required to obtain regulatory approval for our products in the UK and EU. In particular, the UK is no longer covered by the centralized procedure for obtaining EU-wide marketing authorizations from the EMA for medicinal products, and a separate process for authorization of drug products will be required in the UK. However, under a new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w:t>
      </w:r>
    </w:p>
    <w:p>
      <w:pPr>
        <w:spacing w:after="0" w:line="141"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4"/>
          <w:szCs w:val="14"/>
          <w:color w:val="auto"/>
        </w:rPr>
        <w:t>In addition, the regulatory regime for medicinal products in the UK at present broadly aligns with EU regulations, however, longer term, the UK is likely to develop its own legislation that diverges from that in the EU now that its regulatory system is independent from the EU and the Trade and Cooperation Agreement entered into by the EU and UK does not provide for mutual recognition of UK and EU pharmaceutical legislation. It is possible therefore, that there will be increased regulatory complexities in the UK and EU, which could disrupt the timing of any regulatory approvals that we may determine to pursue in these jurisdictions.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FDA, EMA and other comparable foreign regulatory authorities may not accept data from trials conducted in locations outside of their jurisdiction.</w:t>
      </w:r>
    </w:p>
    <w:p>
      <w:pPr>
        <w:spacing w:after="0" w:line="17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4"/>
          <w:szCs w:val="14"/>
          <w:color w:val="auto"/>
        </w:rPr>
        <w:t>We anticipate we will conduct clinical trials of our therapeutic candidates in the United States and internationally. The acceptance of study data by the FDA, EMA or other comparable foreign regulatory authority from clinical trials conducted outside of their respective jurisdictions may be subject to certain conditions or may not be accepted at all. In cases where data from United States clinical trials are intended to serve as the basis for marketing approval in the foreign countries outside the United States, the standards for clinical trials and approval may be different. There can be no assurance that any United States or foreign regulatory authority would accept data from trials conducted outside of its applicable jurisdiction. For example, we are currently advancing the ENTR-601-44 program in the UK, and we have not yet conducted any clinical trials for this program in the United States. We also plan to initiate our first clinical trial for the ENTR-601-45 program in the UK. If the FDA does not accept data from such trials, it would result in the need for additional trials, which would be costly and time-consuming and delay aspects of our business plan, and which may result in our therapeutic candidates not receiving approval or clearance for commercialization in the applicable jurisdiction.</w:t>
      </w:r>
    </w:p>
    <w:p>
      <w:pPr>
        <w:spacing w:after="0" w:line="14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Changes in methods of therapeutic candidate manufacturing or formulation may result in additional costs or delay, which could adversely affect our business, results of operations and financial condition.</w:t>
      </w:r>
    </w:p>
    <w:p>
      <w:pPr>
        <w:spacing w:after="0" w:line="122"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4"/>
          <w:szCs w:val="14"/>
          <w:color w:val="auto"/>
        </w:rPr>
        <w:t>As therapeutic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one or more of our therapeutic candidates during the course of our planned clinical trials. Such changes carry the risk that they will not achieve these intended objectives. Any of these changes could cause our therapeutic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therapeutic candidates and jeopardize our ability to commercialize our therapeutic candidates, if approved, and generate revenue.</w:t>
      </w:r>
    </w:p>
    <w:p>
      <w:pPr>
        <w:spacing w:after="0" w:line="14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Even if we, or any collaborators we may have, obtain marketing approvals for any therapeutic candidates we may develop, the terms of approvals and ongoing regulation of our therapeutics could require the substantial expenditure of resources and may limit how we, or they, manufacture and market our therapeutics, which could materially impair our ability to generate revenue.</w:t>
      </w:r>
    </w:p>
    <w:p>
      <w:pPr>
        <w:spacing w:after="0" w:line="122" w:lineRule="exact"/>
        <w:rPr>
          <w:sz w:val="20"/>
          <w:szCs w:val="20"/>
          <w:color w:val="auto"/>
        </w:rPr>
      </w:pPr>
    </w:p>
    <w:p>
      <w:pPr>
        <w:ind w:right="440" w:firstLine="509"/>
        <w:spacing w:after="0" w:line="271" w:lineRule="auto"/>
        <w:rPr>
          <w:sz w:val="20"/>
          <w:szCs w:val="20"/>
          <w:color w:val="auto"/>
        </w:rPr>
      </w:pPr>
      <w:r>
        <w:rPr>
          <w:rFonts w:ascii="Times New Roman" w:cs="Times New Roman" w:eastAsia="Times New Roman" w:hAnsi="Times New Roman"/>
          <w:sz w:val="14"/>
          <w:szCs w:val="14"/>
          <w:color w:val="auto"/>
        </w:rPr>
        <w:t>Any therapeutic candidate for which we obtain marketing approval, if ever, along with the manufacturing processes, post-approval clinical data, labeling, advertising and promotional activities for such medicine, will be subject to</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4"/>
          <w:szCs w:val="14"/>
          <w:color w:val="auto"/>
        </w:rPr>
        <w:t>continual requirements of and review by the FDA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compliance with applicable product tracking and tracing requirements, and requirements regarding the distribution of samples to physicians and recordkeeping. For example, the holder of an approved BLA is obligated to monitor and report adverse events and any failure of a product to meet the specifications in the BLA. The FDA typically advises that patients treated with genetic medicine undergo follow-up observations for potential adverse events for a 15-year period. The holder of an approved BLA must also submit new or supplemental applications and obtain FDA approval for certain changes to the approved product, product labeling or manufacturing process. Even if marketing approval of a therapeutic candidate is granted, the approval may be subject to limitations on the indicated uses for which the medicine may be marketed or to the conditions of approval, or contain requirements for costly post-marketing testing and surveillance to monitor the safety or efficacy of the medicine.</w:t>
      </w:r>
    </w:p>
    <w:p>
      <w:pPr>
        <w:spacing w:after="0" w:line="14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Accordingly, assuming we, or any third parties we may collaborate with, receive marketing approval for one or more therapeutic candidates we may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marketing approvals for our therapeutics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If we fail to comply with applicable regulatory requirements following approval of any therapeutic candidates we may develop, a regulatory agency may:</w:t>
      </w:r>
    </w:p>
    <w:p>
      <w:pPr>
        <w:spacing w:after="0" w:line="83"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 warning letter asserting that we are in violation of the law;</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an injunction or impose civil or criminal penalties or monetary fines;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regulatory approval;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any ongoing clinical trials;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approve a pending NDA, BLA or comparable foreign regulatory filing, or supplements thereto submitted by us;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product; or</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allow us to enter into supply contracts, including government contracts.</w:t>
      </w:r>
    </w:p>
    <w:p>
      <w:pPr>
        <w:spacing w:after="0" w:line="168"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therapeutic candidates we may develop and generate revenues.</w:t>
      </w:r>
    </w:p>
    <w:p>
      <w:pPr>
        <w:spacing w:after="0" w:line="12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Clinical trial and product liability lawsuits against us could divert our resources, could cause us to incur substantial liabilities and could limit commercialization of any therapeutic candidates we may develop.</w:t>
      </w:r>
    </w:p>
    <w:p>
      <w:pPr>
        <w:spacing w:after="0" w:line="122"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4"/>
          <w:szCs w:val="14"/>
          <w:color w:val="auto"/>
        </w:rPr>
        <w:t>We will face an inherent risk of clinical trial and product liability exposure related to the testing of any therapeutic candidates we may develop in clinical trials, and we will face an even greater risk if we commercially sell any products that we may develop. While we currently have no therapeutic candidates in clinical trials or that have been approved for commercial sale, the future use of therapeutic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therapeutic candidates or products caused injuries, we will incur substantial liabilities. Regardless of merit or eventual outcome, liability claims may result in:</w:t>
      </w:r>
    </w:p>
    <w:p>
      <w:pPr>
        <w:spacing w:after="0" w:line="62"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therapeutic candidates we may develop;</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 and inability to continue clinical trials;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by regulators;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any related litigation;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exhaustion of any available insurance and our capital resources;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in our stock price;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therapeutic candidates we may develop.</w:t>
      </w:r>
    </w:p>
    <w:p>
      <w:pPr>
        <w:spacing w:after="0" w:line="168"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We will need to increase our insurance coverage if we continue to commence clinical trials or if we commence commercialization of any therapeutic candidates. Insurance coverage is increasingly expensive. We may not be able to maintain insurance coverage at a reasonable cost or in an amount adequate to satisfy any liability that may arise. If and when coverage is secured, our insurance policies may also have various exclusions and we may be subject to a product liability claim for which we have no coverage. Even if our agreements with any future corporate collaborators entitle us to indemnification against losses, such indemnification may not be available or adequate should any claim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develop our current or future therapeutic candidates in combination with other therapies, which would expose us to additional risks.</w:t>
      </w:r>
    </w:p>
    <w:p>
      <w:pPr>
        <w:spacing w:after="0" w:line="170" w:lineRule="exact"/>
        <w:rPr>
          <w:sz w:val="20"/>
          <w:szCs w:val="20"/>
          <w:color w:val="auto"/>
        </w:rPr>
      </w:pPr>
    </w:p>
    <w:p>
      <w:pPr>
        <w:ind w:right="20" w:firstLine="509"/>
        <w:spacing w:after="0"/>
        <w:rPr>
          <w:sz w:val="20"/>
          <w:szCs w:val="20"/>
          <w:color w:val="auto"/>
        </w:rPr>
      </w:pPr>
      <w:r>
        <w:rPr>
          <w:rFonts w:ascii="Times New Roman" w:cs="Times New Roman" w:eastAsia="Times New Roman" w:hAnsi="Times New Roman"/>
          <w:sz w:val="14"/>
          <w:szCs w:val="14"/>
          <w:color w:val="auto"/>
        </w:rPr>
        <w:t>We may develop our current or potential future therapeutic candidates in combination with one or more currently approved therapies or therapies in development. Even if any of our current or future therapeutic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therapeutic candidates, or safety, efficacy, manufacturing or supply issues could arise with these existing therapies. In addition, it is possible that existing therapies with which our therapeutic candidates are approved for use could themselves fall out of favor or be relegated to later lines of treatment. This could result in the need to identify other combination therapies for our therapeutic candidates or our own products being removed from the market or being less successful commercially.</w:t>
      </w:r>
    </w:p>
    <w:p>
      <w:pPr>
        <w:spacing w:after="0" w:line="14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We may also evaluate our current or future therapeutic candidates in combination with one or more other therapies that have not yet been approved for marketing by the FDA, EMA or comparable foreign regulatory authorities. We will not be able to market and sell any therapeutic candidate in combination with any such unapproved therapies that do not ultimately obtain marketing approval.</w:t>
      </w:r>
    </w:p>
    <w:p>
      <w:pPr>
        <w:spacing w:after="0" w:line="136"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Furthermore, we cannot be certain that we will be able to obtain a steady supply of such therapies for use in developing combinations with our therapeutic candidates on commercially reasonable terms or at all. Any failure to obtain such therapies for use in clinical development and the expense of purchasing therapies in the market may delay our development timelines, increase our costs and jeopardize our ability to develop our therapeutic candidates as commercially viable therapies. If the FDA, EMA or other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therapeutic candidates, we may be unable to obtain approval of or successfully market any one or all of the current or future therapeutic candidates we develop. Additionally, if the third-party providers of therapies or therapies in development used in combination with our current or future therapeutic candidates are unable to produce sufficient quantities for clinical trials or for commercialization of our current or future therapeutic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Reliance on Third Parties</w:t>
      </w:r>
    </w:p>
    <w:p>
      <w:pPr>
        <w:spacing w:after="0" w:line="16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rely, and expect to continue to rely, on third parties to conduct some or all aspects of our product manufacturing, research and preclinical and clinical testing, and these third parties may not perform satisfactorily.</w:t>
      </w:r>
    </w:p>
    <w:p>
      <w:pPr>
        <w:spacing w:after="0" w:line="12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We do not expect to independently conduct all aspects of our product manufacturing, research and preclinical and clinical testing. We currently rely, and expect to continue to rely, on third parties with respect to many of these items, including contract manufacturing organizations (“CMOs”) for the manufacturing of any therapeutic candidates we test in preclinical or clinical development, as well as CROs for the conduct of our animal testing and research and CROs for the conduct of our planned clinical trials. Any of these third parties may terminate their engagements with us at any time. A need to enter into alternative arrangements could delay our product development activities, and we may not be able to enter into alternative arrangements on reasonable terms, if at all.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4"/>
          <w:szCs w:val="14"/>
          <w:color w:val="auto"/>
        </w:rPr>
        <w:t>Our reliance on these third parties for research and development activities will reduce our control over these activities but will not relieve us of our responsibility to ensure compliance with all required regulations and study protocols. For example, for therapeutic candidates that we develop and commercialize on our own, we will remain responsible for ensuring that each of our CTA/IND-enabling studies and clinical trials are conducted in accordance with the study plan and protocols. Moreover, the FDA and similar foreign regulatory bodies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government-sponsored databases, such as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our stockholders that upon inspection by a given regulatory authority, such regulatory authority will determine that any of our clinical trials complies with GCP regulations. In addition, our clinical trials must be conducted with product produced under conditions that comply with CGMPs. Our failure to comply with these regulations may require us to repeat clinical trials, which would delay the regulatory approval process.</w:t>
      </w:r>
    </w:p>
    <w:p>
      <w:pPr>
        <w:spacing w:after="0" w:line="145"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4"/>
          <w:szCs w:val="14"/>
          <w:color w:val="auto"/>
        </w:rPr>
        <w:t>Although we intend to design the clinical trials for any therapeutic candidates we may develop, CROs will conduct some or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59" w:lineRule="exact"/>
        <w:rPr>
          <w:sz w:val="20"/>
          <w:szCs w:val="20"/>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staffing difficulties;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unable to acquire the necessary supplies to perform successfully;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 to comply with contractual obligations;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regulatory compliance issues;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undergo changes in priorities or become financially distressed; or</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relationships with other entities, some of which may be our competitors.</w:t>
      </w:r>
    </w:p>
    <w:p>
      <w:pPr>
        <w:spacing w:after="0" w:line="168"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These factors may materially adversely affect the willingness or ability of third parties to conduct our preclinical studies and clinical trials and may subject us to unexpected cost increases that are beyond our control. We expect to have to negotiate budgets and contracts with CROs and trial sites, which may result in delays to our development timelines and increased costs. 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CROs, and any other third parties we engage do not perform preclinical studies and future clinical trials in a satisfactory manner, if the quality or accuracy of the clinical data they obtain is compromised due to the failure to adhere to our clinical protocols, or if they breach their obligations to us or fail to comply with regulatory requirements, the development, regulatory approval and commercialization of any therapeutic candidates we may develop may be delayed, we may not be able to obtain regulatory approval and commercialize our therapeutic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spacing w:after="0" w:line="149" w:lineRule="exact"/>
        <w:rPr>
          <w:sz w:val="20"/>
          <w:szCs w:val="20"/>
          <w:color w:val="auto"/>
        </w:rPr>
      </w:pPr>
    </w:p>
    <w:p>
      <w:pPr>
        <w:ind w:right="180" w:firstLine="509"/>
        <w:spacing w:after="0" w:line="242" w:lineRule="auto"/>
        <w:rPr>
          <w:sz w:val="20"/>
          <w:szCs w:val="20"/>
          <w:color w:val="auto"/>
        </w:rPr>
      </w:pPr>
      <w:r>
        <w:rPr>
          <w:rFonts w:ascii="Times New Roman" w:cs="Times New Roman" w:eastAsia="Times New Roman" w:hAnsi="Times New Roman"/>
          <w:sz w:val="14"/>
          <w:szCs w:val="14"/>
          <w:color w:val="auto"/>
        </w:rPr>
        <w:t>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other regulatory authorities for therapeutic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other regulatory authorities may require us to suspend, place on clinical hold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 In addition, our clinical trials must be conducted with biologic product produced under CGMP requirements and may require a large number of patients. In the U.S., we also are required to register ongoing clinical trials and post the results of completed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trials on a government-sponsored database, clinicaltrials.gov, within certain timeframes. Failure to do so can result in fines, adverse publicity and civil and criminal sanctions.</w:t>
      </w:r>
    </w:p>
    <w:p>
      <w:pPr>
        <w:spacing w:after="0" w:line="16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therapeutic candidates. As a result, our financial results and the commercial prospects for our therapeutic candidates would be harmed, our costs could increase and our ability to generate revenue could be delayed.</w:t>
      </w:r>
    </w:p>
    <w:p>
      <w:pPr>
        <w:spacing w:after="0" w:line="144"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41"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4"/>
          <w:szCs w:val="14"/>
          <w:color w:val="auto"/>
        </w:rPr>
        <w:t>If any of our relationships with these third-party CROs or others terminate, we may not be able to enter into arrangements with alternative CROs or other third parties or to do so on commercially reasonable terms. Switching or adding additional CROs involves additional cost and requires management time and focus. In addition, there is a natural transition period when a new CRO begins work. As a result, delays may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If third parties do not successfully carry out their contractual duties, meet expected deadlines or conduct our studies in accordance with regulatory requirements or our stated study plans and protocols, we will not be able to complete, or may be delayed in completing, the preclinical studies and clinical trials required to support future IND/CTA submissions and approval of any therapeutic candidates we may develop.</w:t>
      </w:r>
    </w:p>
    <w:p>
      <w:pPr>
        <w:spacing w:after="0" w:line="14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third-party vendors to provide certain licenses, products and services and our business and operations, including clinical trials, could be disrupted by any problems with our significant third-party vendors.</w:t>
      </w:r>
    </w:p>
    <w:p>
      <w:pPr>
        <w:spacing w:after="0" w:line="154"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We engage a number of third-party suppliers and service providers to supply critical goods and services, such as contract research services, contract manufacturing services and information technology services. Disruptions to the business, financial stability or operations of these suppliers and service providers, including due to strikes, labor disputes or other disruptions to the workforce, for instance, if employees are not able to come to work, or to their willingness and ability to produce or deliver such products or provide such services in a manner that satisfies the requirements put forth by the authorities, or in a manner that satisfies our own requirements, could affect our ability to develop and market our future therapeutic candidates on a timely basis. If these suppliers and service providers were unable or unwilling to continue to provide their products or services in the manner expected, or at all, we could encounter difficulty finding alternative suppliers. For example, we currently rely on foreign CROs and CMOs to manufacture our clinical materials, and may rely on foreign CROs and CMOs in the future. Foreign CMOs may be subject to U.S. legislation or investigations, including legislation similar to the previously proposed BIOSECURE Act, sanctions, trade restrictions and other foreign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potential therapies and could adversely affect our financial condition and business prospects. Regional or single-source dependencies may in some cases accentuate these risks. For example,</w:t>
      </w:r>
    </w:p>
    <w:p>
      <w:pPr>
        <w:spacing w:after="0" w:line="3" w:lineRule="exact"/>
        <w:rPr>
          <w:sz w:val="20"/>
          <w:szCs w:val="20"/>
          <w:color w:val="auto"/>
        </w:rPr>
      </w:pPr>
    </w:p>
    <w:p>
      <w:pPr>
        <w:ind w:right="4780"/>
        <w:spacing w:after="0" w:line="242" w:lineRule="auto"/>
        <w:rPr>
          <w:sz w:val="20"/>
          <w:szCs w:val="20"/>
          <w:color w:val="auto"/>
        </w:rPr>
      </w:pPr>
      <w:r>
        <w:rPr>
          <w:rFonts w:ascii="Times New Roman" w:cs="Times New Roman" w:eastAsia="Times New Roman" w:hAnsi="Times New Roman"/>
          <w:sz w:val="14"/>
          <w:szCs w:val="14"/>
          <w:color w:val="auto"/>
        </w:rPr>
        <w:t>the pharmaceutical industry generally, and in some instances our Company,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BIOSECURE Act or a</w:t>
      </w:r>
    </w:p>
    <w:p>
      <w:pPr>
        <w:spacing w:after="0" w:line="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4"/>
          <w:szCs w:val="14"/>
          <w:color w:val="auto"/>
        </w:rPr>
        <w:t>similar law were to be enacted. Even if we are able to secure appropriate alternative suppliers in a timely manner, costs for such products or services could increase significantly. Any of these events could adversely affect our results of operations and our business.</w:t>
      </w:r>
    </w:p>
    <w:p>
      <w:pPr>
        <w:spacing w:after="0" w:line="117"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EEV-based therapeutic candidates are based on novel technologies and any therapeutic candidates we develop may be complex and difficult to manufacture. We may encounter difficulties in manufacturing, product release, shelf life,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testing, storage, supply chain management or shipping. If we or any of our third-party manufacturers encounter such difficulties, our ability to supply material for clinical trials or any approved product could be delayed or stopped.</w:t>
      </w:r>
    </w:p>
    <w:p>
      <w:pPr>
        <w:spacing w:after="0" w:line="12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4"/>
          <w:szCs w:val="14"/>
          <w:color w:val="auto"/>
        </w:rPr>
        <w:t>The manufacturing processes for our therapeutic candidates are novel. There are no medicines incorporating or utilizing our EEV Platform that have been commercialized to date. Due to the novel nature of this technology and limited experience at larger scale production, we may encounter difficulties in manufacturing, product release, shelf life, testing, storage and supply chain management, or shipping. These difficulties could be due to any number of reasons including, but not limited to, complexities of producing batches at larger scale, equipment failure, choice and quality of raw materials and excipients, analytical testing technology, and product instability. In an effort to optimize product features, we have in the past and may in the future make changes to our therapeutic candidates in their manufacturing and stability formulation and conditions. This has in the past resulted in and may in the future result in our having to resupply batches for preclinical or clinical activities when there is insufficient product stability during storage and insufficient supply. Insufficient stability or shelf life of our therapeutic candidates could materially delay our or our strategic collaborators’ ability to continue the clinical trial for that therapeutic candidate or require us to begin a new clinical trial with a newly formulated drug product, due to the need to manufacture additional preclinical or clinical supply.</w:t>
      </w:r>
    </w:p>
    <w:p>
      <w:pPr>
        <w:spacing w:after="0" w:line="14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manufacturing infrastructure or may adversely affect third-party relationships.</w:t>
      </w:r>
    </w:p>
    <w:p>
      <w:pPr>
        <w:spacing w:after="0" w:line="125"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4"/>
          <w:szCs w:val="14"/>
          <w:color w:val="auto"/>
        </w:rPr>
        <w:t>The process to generate our EEV-based therapeutics is complex and, if not developed and manufactured under well-controlled conditions, can adversely impact pharmacological activity. Furthermore, we have not manufactured our EEV-based therapeutics at commercial scale. We may encounter difficulties in scaling up our manufacturing process, thereby potentially impacting clinical and commercial supply.</w:t>
      </w:r>
    </w:p>
    <w:p>
      <w:pPr>
        <w:spacing w:after="0" w:line="136" w:lineRule="exact"/>
        <w:rPr>
          <w:sz w:val="20"/>
          <w:szCs w:val="20"/>
          <w:color w:val="auto"/>
        </w:rPr>
      </w:pPr>
    </w:p>
    <w:p>
      <w:pPr>
        <w:ind w:right="600" w:firstLine="509"/>
        <w:spacing w:after="0" w:line="271" w:lineRule="auto"/>
        <w:rPr>
          <w:sz w:val="20"/>
          <w:szCs w:val="20"/>
          <w:color w:val="auto"/>
        </w:rPr>
      </w:pPr>
      <w:r>
        <w:rPr>
          <w:rFonts w:ascii="Times New Roman" w:cs="Times New Roman" w:eastAsia="Times New Roman" w:hAnsi="Times New Roman"/>
          <w:sz w:val="14"/>
          <w:szCs w:val="14"/>
          <w:color w:val="auto"/>
        </w:rPr>
        <w:t>During clinical development of our EEV-based therapeutics, in many cases, we may have to utilize multiple batches of drug substance and drug product to meet the clinical supply requirement of a single clinical trial. Failure in our ability to scale up batch size or failure in any batch may lead to a substantial delay in our clinical trials.</w:t>
      </w:r>
    </w:p>
    <w:p>
      <w:pPr>
        <w:spacing w:after="0" w:line="124"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As we continue developing new manufacturing processes for our drug substance and drug product, the changes we implement to manufacturing process may in turn impact specification and stability of the drug product. Changes in our manufacturing processes may lead to failure of lots and this could lead to a substantial delay in our clinical trials. Our EEV-based therapeutic candidates may prove to have a stability profile that leads to a lower than desired shelf life of our final approved EEV-based product. This poses risk in supply requirements, wasted stock, and higher cost of goods.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Due to the number of different programs, we may have cross contamination of products inside of our factories, CROs, suppliers, or in the clinic that affect the integrity of our therapeutics.</w:t>
      </w:r>
    </w:p>
    <w:p>
      <w:pPr>
        <w:spacing w:after="0" w:line="168" w:lineRule="exact"/>
        <w:rPr>
          <w:sz w:val="20"/>
          <w:szCs w:val="20"/>
          <w:color w:val="auto"/>
        </w:rPr>
      </w:pPr>
    </w:p>
    <w:p>
      <w:pPr>
        <w:ind w:right="180" w:firstLine="509"/>
        <w:spacing w:after="0" w:line="241" w:lineRule="auto"/>
        <w:rPr>
          <w:sz w:val="20"/>
          <w:szCs w:val="20"/>
          <w:color w:val="auto"/>
        </w:rPr>
      </w:pPr>
      <w:r>
        <w:rPr>
          <w:rFonts w:ascii="Times New Roman" w:cs="Times New Roman" w:eastAsia="Times New Roman" w:hAnsi="Times New Roman"/>
          <w:sz w:val="14"/>
          <w:szCs w:val="14"/>
          <w:color w:val="auto"/>
        </w:rPr>
        <w:t>As we scale the manufacturing output for particular programs, we plan to continuously improve yield, purity, and the pharmaceutical properties of our development candidates from IND-enabling studies through commercial launch, including shelf life stability, and solubility properties of drug product and drug substance. Because of continuous improvement in manufacturing processes, we may switch processes for a particular program during development. However, after the change in process, more time is required for pharmaceutical property testing, such as 6 or 12 month stability testing. That may require resupplying clinical material, or making additional CGMP batches to keep up with clinical trial demand before such pharmaceutical property testing is completed.</w:t>
      </w:r>
    </w:p>
    <w:p>
      <w:pPr>
        <w:spacing w:after="0" w:line="14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We are utilizing a number of raw materials and excipients that are either new to the pharmaceutical industry or are being employed in a novel manner. Some of these raw materials and excipients have not been scaled to a level to support commercial supply and could experience unexpected manufacturing or testing failures, or supply shortages. Such issues with raw materials and excipients could cause delays or interruptions to clinical and commercial supply of our therapeutic candidates. Further, now and in the future one or more of our programs may have a single source of supply for raw materials and excipients.</w:t>
      </w:r>
    </w:p>
    <w:p>
      <w:pPr>
        <w:spacing w:after="0" w:line="141"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14"/>
          <w:szCs w:val="14"/>
          <w:color w:val="auto"/>
        </w:rPr>
        <w:t>We may establish a number of analytical assays to assess the quality of our EEV-based therapeutic candidates. We may identify gaps in our analytical testing strategy that might prevent release of product or could require product withdrawal or recall. For example, we may discover new impurities that have an impact on product safety, efficacy, or stability. This may lead to an inability to release our therapeutic candidates until the manufacturing or testing process is rectified.</w:t>
      </w:r>
    </w:p>
    <w:p>
      <w:pPr>
        <w:spacing w:after="0" w:line="136" w:lineRule="exact"/>
        <w:rPr>
          <w:sz w:val="20"/>
          <w:szCs w:val="20"/>
          <w:color w:val="auto"/>
        </w:rPr>
      </w:pPr>
    </w:p>
    <w:p>
      <w:pPr>
        <w:ind w:right="340" w:firstLine="509"/>
        <w:spacing w:after="0" w:line="271" w:lineRule="auto"/>
        <w:rPr>
          <w:sz w:val="20"/>
          <w:szCs w:val="20"/>
          <w:color w:val="auto"/>
        </w:rPr>
      </w:pPr>
      <w:r>
        <w:rPr>
          <w:rFonts w:ascii="Times New Roman" w:cs="Times New Roman" w:eastAsia="Times New Roman" w:hAnsi="Times New Roman"/>
          <w:sz w:val="14"/>
          <w:szCs w:val="14"/>
          <w:color w:val="auto"/>
        </w:rPr>
        <w:t>We may find that our therapeutic candidates are extremely temperature sensitive, and we may learn that any or all of our therapeutics are less stable than desired. We may also find that transportation conditions negatively impact product</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quality. This may require changes to the formulation or manufacturing process for one or more of our therapeutic candidates and result in delays or interruptions to clinical or commercial supply. In addition, the cost associated with such transportation services and the limited pool of vendors may also add additional risks of supply disruptions.</w:t>
      </w:r>
    </w:p>
    <w:p>
      <w:pPr>
        <w:spacing w:after="0" w:line="122"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reliance on third parties requires us to share our trade secrets, which increases the possibility that a competitor or other third party will discover them or that our trade secrets will be misappropriated or disclosed.</w:t>
      </w:r>
    </w:p>
    <w:p>
      <w:pPr>
        <w:spacing w:after="0" w:line="12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4"/>
          <w:szCs w:val="14"/>
          <w:color w:val="auto"/>
        </w:rPr>
        <w:t>Because we currently rely on third parties to manufacture our therapeutic candidates and to perform quality testing,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from time to time be dependent on single- or limited-source suppliers for some of the components and materials used in the therapeutic candidates we may develop.</w:t>
      </w:r>
    </w:p>
    <w:p>
      <w:pPr>
        <w:spacing w:after="0" w:line="159"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4"/>
          <w:szCs w:val="14"/>
          <w:color w:val="auto"/>
        </w:rPr>
        <w:t>We may from time to time depend on single- or limited-source suppliers for some of the components and materials used in any therapeutic candidates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47"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4"/>
          <w:szCs w:val="14"/>
          <w:color w:val="auto"/>
        </w:rPr>
        <w:t>If we have to switch to a replacement supplier, the manufacture and delivery of any therapeutic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therapeutics,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142"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4"/>
          <w:szCs w:val="14"/>
          <w:b w:val="1"/>
          <w:bCs w:val="1"/>
          <w:i w:val="1"/>
          <w:iCs w:val="1"/>
          <w:color w:val="auto"/>
        </w:rPr>
        <w:t>We have and may in the future enter into collaborations, licenses and other similar arrangements with third parties for the research, development and commercialization of certain of the therapeutic candidates we may develop, including our collaboration with Vertex. If any such arrangements are not successful, we may not be able to capitalize on the market potential of those therapeutic candidates.</w:t>
      </w:r>
    </w:p>
    <w:p>
      <w:pPr>
        <w:spacing w:after="0" w:line="140"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We may seek third-party collaborators for the research, development and commercialization of certain of the therapeutic candidates we may develop. If we enter into any such arrangements with any third parties, we will likely have limited control over the amount and timing of resources that our partners dedicate to the development or commercialization of any therapeutic candidates we may seek to develop with them. Our ability to generate revenues from these arrangements will depend on our abilities to successfully perform the functions assigned to them in these arrangements. We cannot predict the success of any arrangement that we enter into.</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Collaborations involving our research programs or any therapeutic candidates we may develop pose numerous risks to us, including the following:</w:t>
      </w:r>
    </w:p>
    <w:p>
      <w:pPr>
        <w:spacing w:after="0" w:line="83" w:lineRule="exact"/>
        <w:rPr>
          <w:sz w:val="20"/>
          <w:szCs w:val="20"/>
          <w:color w:val="auto"/>
        </w:rPr>
      </w:pPr>
    </w:p>
    <w:p>
      <w:pPr>
        <w:ind w:left="5580" w:right="3360" w:hanging="5320"/>
        <w:spacing w:after="0" w:line="983" w:lineRule="auto"/>
        <w:tabs>
          <w:tab w:leader="none" w:pos="51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would have significant discretion in determining the efforts and resources that they will apply to these collaborations;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-274320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w:t>
      </w:r>
    </w:p>
    <w:p>
      <w:pPr>
        <w:spacing w:after="0" w:line="83" w:lineRule="exact"/>
        <w:rPr>
          <w:rFonts w:ascii="Times New Roman" w:cs="Times New Roman" w:eastAsia="Times New Roman" w:hAnsi="Times New Roman"/>
          <w:sz w:val="14"/>
          <w:szCs w:val="14"/>
          <w:color w:val="auto"/>
        </w:rPr>
      </w:pPr>
    </w:p>
    <w:p>
      <w:pPr>
        <w:ind w:left="520" w:right="60" w:hanging="260"/>
        <w:spacing w:after="0" w:line="25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any therapeutic candidates we may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51" w:lineRule="exact"/>
        <w:rPr>
          <w:rFonts w:ascii="Times New Roman" w:cs="Times New Roman" w:eastAsia="Times New Roman" w:hAnsi="Times New Roman"/>
          <w:sz w:val="14"/>
          <w:szCs w:val="14"/>
          <w:color w:val="auto"/>
        </w:rPr>
      </w:pPr>
    </w:p>
    <w:p>
      <w:pPr>
        <w:ind w:left="520" w:right="14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programs, preclinical studies or clinical trials, provide insufficient funding for programs, preclinical studies or clinical trials, stop a preclinical study or clinical trial or abandon a therapeutic candidate, repeat or conduct new clinical trials or require a new formulation of a therapeutic candidate for clinical testing;</w:t>
      </w:r>
    </w:p>
    <w:p>
      <w:pPr>
        <w:spacing w:after="0" w:line="39" w:lineRule="exact"/>
        <w:rPr>
          <w:rFonts w:ascii="Times New Roman" w:cs="Times New Roman" w:eastAsia="Times New Roman" w:hAnsi="Times New Roman"/>
          <w:sz w:val="14"/>
          <w:szCs w:val="14"/>
          <w:color w:val="auto"/>
        </w:rPr>
      </w:pPr>
    </w:p>
    <w:p>
      <w:pPr>
        <w:ind w:left="520" w:right="28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any therapeutic candidates we may develop if the collaborators believe that competitive products are more likely to be successfully developed or can be commercialized under terms that are more economically attractive than ours;</w:t>
      </w:r>
    </w:p>
    <w:p>
      <w:pPr>
        <w:spacing w:after="0" w:line="39" w:lineRule="exact"/>
        <w:rPr>
          <w:rFonts w:ascii="Times New Roman" w:cs="Times New Roman" w:eastAsia="Times New Roman" w:hAnsi="Times New Roman"/>
          <w:sz w:val="14"/>
          <w:szCs w:val="14"/>
          <w:color w:val="auto"/>
        </w:rPr>
      </w:pPr>
    </w:p>
    <w:p>
      <w:pPr>
        <w:ind w:left="520" w:right="28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be acquired by a third party having competitive products or different priorities, causing the emphasis on our product development or commercialization program under such collaboration to be delayed, diminished or terminated;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with marketing and distribution rights to one or more products may not commit sufficient resources to the marketing and distribution of such product or products;</w:t>
      </w:r>
    </w:p>
    <w:p>
      <w:pPr>
        <w:spacing w:after="0" w:line="83" w:lineRule="exact"/>
        <w:rPr>
          <w:rFonts w:ascii="Times New Roman" w:cs="Times New Roman" w:eastAsia="Times New Roman" w:hAnsi="Times New Roman"/>
          <w:sz w:val="14"/>
          <w:szCs w:val="14"/>
          <w:color w:val="auto"/>
        </w:rPr>
      </w:pPr>
    </w:p>
    <w:p>
      <w:pPr>
        <w:ind w:left="520" w:right="16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obtain, maintain, enforce or defend our intellectual property or proprietary rights or may use our proprietary information in such a way as to invite litigation that could jeopardize or invalidate our proprietary information or expose us to potential litigation;</w:t>
      </w:r>
    </w:p>
    <w:p>
      <w:pPr>
        <w:spacing w:after="0" w:line="29" w:lineRule="exact"/>
        <w:rPr>
          <w:rFonts w:ascii="Times New Roman" w:cs="Times New Roman" w:eastAsia="Times New Roman" w:hAnsi="Times New Roman"/>
          <w:sz w:val="14"/>
          <w:szCs w:val="14"/>
          <w:color w:val="auto"/>
        </w:rPr>
      </w:pPr>
    </w:p>
    <w:p>
      <w:pPr>
        <w:ind w:left="520" w:right="6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collaborator of ours is involved in a business combination, the collaborator might de-emphasize or terminate the development or commercialization of any therapeutic candidate licensed to it by us;</w:t>
      </w:r>
    </w:p>
    <w:p>
      <w:pPr>
        <w:spacing w:after="0" w:line="39" w:lineRule="exact"/>
        <w:rPr>
          <w:rFonts w:ascii="Times New Roman" w:cs="Times New Roman" w:eastAsia="Times New Roman" w:hAnsi="Times New Roman"/>
          <w:sz w:val="14"/>
          <w:szCs w:val="14"/>
          <w:color w:val="auto"/>
        </w:rPr>
      </w:pPr>
    </w:p>
    <w:p>
      <w:pPr>
        <w:ind w:left="520" w:right="10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the collaborators and us that result in the delay or termination of the research, development, or commercialization of any therapeutic candidates we may develop or that result in costly litigation or arbitration that diverts management attention and resources;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lose certain valuable rights under certain circumstances, including if we undergo a change of control;</w:t>
      </w:r>
    </w:p>
    <w:p>
      <w:pPr>
        <w:spacing w:after="0" w:line="83" w:lineRule="exact"/>
        <w:rPr>
          <w:rFonts w:ascii="Times New Roman" w:cs="Times New Roman" w:eastAsia="Times New Roman" w:hAnsi="Times New Roman"/>
          <w:sz w:val="14"/>
          <w:szCs w:val="14"/>
          <w:color w:val="auto"/>
        </w:rPr>
      </w:pPr>
    </w:p>
    <w:p>
      <w:pPr>
        <w:ind w:left="520" w:right="16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therapeutic candidates we may develop;</w:t>
      </w:r>
    </w:p>
    <w:p>
      <w:pPr>
        <w:spacing w:after="0" w:line="39" w:lineRule="exact"/>
        <w:rPr>
          <w:rFonts w:ascii="Times New Roman" w:cs="Times New Roman" w:eastAsia="Times New Roman" w:hAnsi="Times New Roman"/>
          <w:sz w:val="14"/>
          <w:szCs w:val="14"/>
          <w:color w:val="auto"/>
        </w:rPr>
      </w:pPr>
    </w:p>
    <w:p>
      <w:pPr>
        <w:ind w:left="520" w:right="28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collaborators’ business or operations could be disrupted due to reasons outside of our control, such as global health crises, macroeconomic conditions and geopolitical developments, which could have an adverse impact on their development and commercialization efforts or the prospects of our collaboration;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 agreements may not lead to development or commercialization of therapeutic candidates in the most efficient manner or at all.</w:t>
      </w:r>
    </w:p>
    <w:p>
      <w:pPr>
        <w:spacing w:after="0" w:line="168"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4"/>
          <w:szCs w:val="14"/>
          <w:color w:val="auto"/>
        </w:rPr>
        <w:t>If our collaborations do not result in the successful development and commercialization of therapeutic candidates, or if one of our collaborators terminates its agreement with us, we may not receive any future research funding or milestone or royalty payments under the collaboration. If we do not receive the funding we expect under these agreements, our development of therapeutic candidates could be delayed, and we may need additional resources to develop therapeutic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regulatory approval and commercialization described in this Annual Report apply to the activities of our collaborators.</w:t>
      </w:r>
    </w:p>
    <w:p>
      <w:pPr>
        <w:spacing w:after="0" w:line="178"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For example, we will have limited influence and control over the development and commercialization activities of Vertex in the development and commercialization of VX-670 or certain other product candidates. On May 6, 2024, Vertex announced that its IND for the Phase 1/2 clinical trial of VX-670 in people with DM1 had been cleared, as had the CTAs in Canada, the UK and the EU, and the CTN in Australia. In November 2024, Vertex announced completion of the single ascending dose (“SAD”) portion of the global Phase 1/2 clinical trial for VX-670 in people with DM1. In addition, Vertex announced that it has initiated the MAD portion of the Phase 1/2 study, in which both the safety and efficacy of VX-670 will be evaluated. Vertex’s development and commercialization activities may adversely impact our own efforts. Failure by Vertex to meet its obligations under the Vertex Agreement, to apply sufficient efforts at developing and commercializing collaboration products, or to comply with applicable legal or regulatory requirements, may materially adversely affect our business and our results of operations. In addition, to the extent we rely on Vertex to commercialize any products upon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obtaining regulatory approval, we may receive less revenues than if we commercialized these products ourselves, which could materially harm our prospects.</w:t>
      </w:r>
    </w:p>
    <w:p>
      <w:pPr>
        <w:spacing w:after="0" w:line="168" w:lineRule="exact"/>
        <w:rPr>
          <w:sz w:val="20"/>
          <w:szCs w:val="20"/>
          <w:color w:val="auto"/>
        </w:rPr>
      </w:pPr>
    </w:p>
    <w:p>
      <w:pPr>
        <w:ind w:right="120" w:firstLine="509"/>
        <w:spacing w:after="0" w:line="241" w:lineRule="auto"/>
        <w:rPr>
          <w:sz w:val="20"/>
          <w:szCs w:val="20"/>
          <w:color w:val="auto"/>
        </w:rPr>
      </w:pPr>
      <w:r>
        <w:rPr>
          <w:rFonts w:ascii="Times New Roman" w:cs="Times New Roman" w:eastAsia="Times New Roman" w:hAnsi="Times New Roman"/>
          <w:sz w:val="14"/>
          <w:szCs w:val="14"/>
          <w:color w:val="auto"/>
        </w:rPr>
        <w:t>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definitive collaboration agreements will depend, among other things, upon our assessment of the collaborator’s resources and expertise, the terms and conditions of the proposed collaboration, and the proposed collaborator’s evaluation of several factors. If we license rights to any therapeutic candidates we or our collaborators may develop, we may not be able to realize the benefit of such transactions if we are unable to successfully integrate them with our existing operations and company culture.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conflicts arise between us and our current or potential collaborators, these parties may act in a manner adverse to us and could limit our ability to implement our strategies.</w:t>
      </w:r>
    </w:p>
    <w:p>
      <w:pPr>
        <w:spacing w:after="0" w:line="17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4"/>
          <w:szCs w:val="14"/>
          <w:color w:val="auto"/>
        </w:rPr>
        <w:t>If conflicts arise between us and our current or potential collaborators, the other party may act in a manner adverse to us and could limit our ability to implement our strategies. Our collaborators may develop, either alone or with others, products in related fields that are competitive with the therapeutic candidates we may develop that are the subject of these collaborations with us. Competing products, either developed by the collaborators or to which the collaborators have rights, may result in the withdrawal of support for our therapeutic candidates.</w:t>
      </w:r>
    </w:p>
    <w:p>
      <w:pPr>
        <w:spacing w:after="0" w:line="136" w:lineRule="exact"/>
        <w:rPr>
          <w:sz w:val="20"/>
          <w:szCs w:val="20"/>
          <w:color w:val="auto"/>
        </w:rPr>
      </w:pPr>
    </w:p>
    <w:p>
      <w:pPr>
        <w:ind w:right="220" w:firstLine="509"/>
        <w:spacing w:after="0" w:line="254" w:lineRule="auto"/>
        <w:rPr>
          <w:sz w:val="20"/>
          <w:szCs w:val="20"/>
          <w:color w:val="auto"/>
        </w:rPr>
      </w:pPr>
      <w:r>
        <w:rPr>
          <w:rFonts w:ascii="Times New Roman" w:cs="Times New Roman" w:eastAsia="Times New Roman" w:hAnsi="Times New Roman"/>
          <w:sz w:val="14"/>
          <w:szCs w:val="14"/>
          <w:color w:val="auto"/>
        </w:rPr>
        <w:t>Some of our future collaborators could also become our competitors. Our collaborators could develop competing products, preclude us from entering into collaborations with their competitors, fail to obtain timely regulatory approvals, terminate their agreements with us prematurely, fail to devote sufficient resources to the development and commercialization of products, or merge with or be acquired by a third party who may do any of these things. Any of these developments could harm our product development efforts.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not able to establish collaborations on commercially reasonable terms, we may have to alter our development and commercialization plans.</w:t>
      </w:r>
    </w:p>
    <w:p>
      <w:pPr>
        <w:spacing w:after="0" w:line="17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4"/>
          <w:szCs w:val="14"/>
          <w:color w:val="auto"/>
        </w:rPr>
        <w:t>Our product development and research programs and the potential commercialization of any therapeutic candidates we may develop will require substantial additional cash to fund expenses. For some of the therapeutic candidates we may develop, we may decide to collaborate with other pharmaceutical and biotechnology companies for the development and potential commercialization of those therapeutic candidates.</w:t>
      </w:r>
    </w:p>
    <w:p>
      <w:pPr>
        <w:spacing w:after="0" w:line="136"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therapeutic candidate, the costs and complexities of manufacturing and delivering such therapeutic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therapeutic candidates or technologies for similar indications that may be available to collaborate on and whether such a collaboration could be more attractive than the one with us.</w:t>
      </w:r>
    </w:p>
    <w:p>
      <w:pPr>
        <w:spacing w:after="0" w:line="148"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2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We may not be able to negotiate collaborations on a timely basis, on acceptable terms, or at all. If we are unable to do so, we may have to curtail the development of the therapeutic candidate for which we are seeking to collaborate, reduce or delay its development program or one or more of our other development programs, delay its potential commercialization, reduce the scope of any sales or marketing activities, or increase our own expenditures on the development of the therapeutic candidate.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Commercialization of Our Therapeutic Candidates</w:t>
      </w:r>
    </w:p>
    <w:p>
      <w:pPr>
        <w:spacing w:after="0" w:line="16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commercial success of our therapeutic candidates will depend upon the degree of market acceptance of such therapeutic candidates by physicians, patients, healthcare payors and others in the medical community.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4"/>
          <w:szCs w:val="14"/>
          <w:color w:val="auto"/>
        </w:rPr>
        <w:t>Our therapeutic candidates may not be commercially successful. Even if any of our therapeutic candidates receive regulatory approval, they may not gain market acceptance among physicians, patients, healthcare payors or the medical community. The commercial success of any of our current or future therapeutic candidates will depend significantly on the broad adoption and use of the resulting product by physicians and patients for approved indications. The degree of market acceptance of our therapeutics will depend on a number of factors, including:</w:t>
      </w:r>
    </w:p>
    <w:p>
      <w:pPr>
        <w:spacing w:after="0" w:line="51"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demonstration of clinical efficacy and safety compared to other more-established products;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indications for which our therapeutic candidates are approved;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 of our targeted patient population and other limitations or warnings contained in any FDA-approved labeling;</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of a new drug for the relevant indication by healthcare providers and their patients;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cost-effectiveness of our therapeutics, as well as the cost of treatment with our therapeutics in relation to alternative treatments and therapies;</w:t>
      </w:r>
    </w:p>
    <w:p>
      <w:pPr>
        <w:spacing w:after="0" w:line="83" w:lineRule="exact"/>
        <w:rPr>
          <w:rFonts w:ascii="Times New Roman" w:cs="Times New Roman" w:eastAsia="Times New Roman" w:hAnsi="Times New Roman"/>
          <w:sz w:val="14"/>
          <w:szCs w:val="14"/>
          <w:color w:val="auto"/>
        </w:rPr>
      </w:pPr>
    </w:p>
    <w:p>
      <w:pPr>
        <w:ind w:left="520" w:right="440" w:hanging="260"/>
        <w:spacing w:after="0" w:line="271"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sufficient third-party coverage and adequate reimbursement from government healthcare programs, including Medicare and Medicaid, private health insurers and other third-party payors;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pay all, or a portion of, out-of-pocket costs associated with our therapeutics in the absence of sufficient third-party coverage and adequate reimbursement;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therapeutics, and the prevalence and severity of any adverse effects;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liability claims;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introduction of our therapeutics as well as competitive drugs;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or any of our current or potential future collaborators’ sales and marketing strategies;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publicity relating to the product.</w:t>
      </w:r>
    </w:p>
    <w:p>
      <w:pPr>
        <w:spacing w:after="0" w:line="168"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4"/>
          <w:szCs w:val="14"/>
          <w:color w:val="auto"/>
        </w:rPr>
        <w:t>If any therapeutic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therapeutics may require significant resources and may never be successful.</w:t>
      </w:r>
    </w:p>
    <w:p>
      <w:pPr>
        <w:spacing w:after="0" w:line="134"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Even if we are able to commercialize any of our therapeutic candidates, if approved, such therapeutic candidate may become subject to unfavorable pricing regulations or third-party coverage and reimbursement policies, which would harm our business.</w:t>
      </w:r>
    </w:p>
    <w:p>
      <w:pPr>
        <w:spacing w:after="0" w:line="144"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The regulations that govern regulatory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therapeutic candidate in a particular country, but then be subject to price regulations that delay our commercial launch of the therapeutic candidate, possibly for lengthy time periods, and negatively impact the revenues we are able to generate from the sale of the therapeutic candidate in that country. Adverse pricing limitations may hinder our ability to recoup our investment in one or more therapeutic candidates, even if our therapeutic candidates obtain marketing approval. For more information, see “Business — Coverage, Pricing and Reimbursement” in this Annual Report.</w:t>
      </w:r>
    </w:p>
    <w:p>
      <w:pPr>
        <w:spacing w:after="0" w:line="148"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Our ability to commercialize any therapeutic candidates successfully also will depend in part on the extent to which coverage and reimbursement for these therapeutic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w:t>
      </w:r>
    </w:p>
    <w:p>
      <w:pPr>
        <w:spacing w:after="0" w:line="141"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In the United States, the principal decisions about reimbursement for new medicines are typically made by the Centers for Medicare &amp; Medicaid Services (“CMS”), an agency within the U.S. Department of Health and Human Services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therapeutics will be paid by health maintenance, managed care, pharmacy benefit and similar healthcare management</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therapeutics. Even if coverage is provided, the approved reimbursement amount may not be high enough to allow us to establish or maintain pricing sufficient to realize a sufficient return on our investment. Factors payors consider in determining reimbursement are based on whether the product is:</w:t>
      </w:r>
    </w:p>
    <w:p>
      <w:pPr>
        <w:spacing w:after="0" w:line="51"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68" w:lineRule="exact"/>
        <w:rPr>
          <w:sz w:val="20"/>
          <w:szCs w:val="20"/>
          <w:color w:val="auto"/>
        </w:rPr>
      </w:pPr>
    </w:p>
    <w:p>
      <w:pPr>
        <w:ind w:right="200" w:firstLine="509"/>
        <w:spacing w:after="0" w:line="248"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Government authorities and third-party payors have attempted to control costs by limiting coverage and the amount of reimbursement for particular products. Increasingly, third-party payors are requiring that drug companies provide them with predetermined discounts from list prices and are challenging the prices charged for products. We cannot be sure that coverage will be available for any therapeutic candidate that we commercialize and, if coverage is available, the level of reimbursement.</w:t>
      </w:r>
    </w:p>
    <w:p>
      <w:pPr>
        <w:spacing w:after="0" w:line="141" w:lineRule="exact"/>
        <w:rPr>
          <w:sz w:val="20"/>
          <w:szCs w:val="20"/>
          <w:color w:val="auto"/>
        </w:rPr>
      </w:pPr>
    </w:p>
    <w:p>
      <w:pPr>
        <w:ind w:right="100" w:firstLine="509"/>
        <w:spacing w:after="0"/>
        <w:rPr>
          <w:sz w:val="20"/>
          <w:szCs w:val="20"/>
          <w:color w:val="auto"/>
        </w:rPr>
      </w:pPr>
      <w:r>
        <w:rPr>
          <w:rFonts w:ascii="Times New Roman" w:cs="Times New Roman" w:eastAsia="Times New Roman" w:hAnsi="Times New Roman"/>
          <w:sz w:val="14"/>
          <w:szCs w:val="14"/>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therapeutic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14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4"/>
          <w:szCs w:val="14"/>
          <w:color w:val="auto"/>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therapeutic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therapeutic candidates. Historically, products launched in the EU do not follow price structures of the U.S. and generally prices tend to be significantly lower.</w:t>
      </w:r>
    </w:p>
    <w:p>
      <w:pPr>
        <w:spacing w:after="0" w:line="14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and if our competitors develop technologies or therapeutic candidates more rapidly than we do or their technologies are more effective, our business and our ability to develop and successfully commercialize products may be adversely affected.</w:t>
      </w:r>
    </w:p>
    <w:p>
      <w:pPr>
        <w:spacing w:after="0" w:line="133" w:lineRule="exact"/>
        <w:rPr>
          <w:sz w:val="20"/>
          <w:szCs w:val="20"/>
          <w:color w:val="auto"/>
        </w:rPr>
      </w:pPr>
    </w:p>
    <w:p>
      <w:pPr>
        <w:ind w:right="120" w:firstLine="509"/>
        <w:spacing w:after="0" w:line="241" w:lineRule="auto"/>
        <w:rPr>
          <w:sz w:val="20"/>
          <w:szCs w:val="20"/>
          <w:color w:val="auto"/>
        </w:rPr>
      </w:pPr>
      <w:r>
        <w:rPr>
          <w:rFonts w:ascii="Times New Roman" w:cs="Times New Roman" w:eastAsia="Times New Roman" w:hAnsi="Times New Roman"/>
          <w:sz w:val="14"/>
          <w:szCs w:val="14"/>
          <w:color w:val="auto"/>
        </w:rPr>
        <w:t>The biotechnology and biopharmaceutical industries are characterized by rapid advancing technologies, intense competition and a strong emphasis on proprietary and novel products and therapeutic candidates. Our competitors have developed, are developing or may develop products, therapeutic candidates and processes competitive with our therapeutic candidates. Any therapeutic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therapeutic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therapeutic candidates. Smaller or early stage companies may also prove to be significant competitors, particularly through collaborative arrangements with large and established companies.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 xml:space="preserve">Currently, patients with DMD are treated with corticosteroids to manage the inflammatory component of the disease. EMFLAZA (deflazacort) is an FDA-approved corticosteroid marketed by PTC Therapeutics, Inc. (“PTC”). In addition, there are four FDA-approved exon skipping drugs: EXONDYS 51 (eteplirsen), VYONDYS 53 (golodirsen), and AMONDYS 45 (casimersen), which are phosphorodiamidate morpholino oligomers (“PMOs”) approved for the treatment of patients with DMD who are amenable to exon 51, exon 53 and exon 45 skipping, respectively, and are marketed by Sarepta Therapeutics, Inc. (“Sarepta”), and VILTEPSO (vitolarsen), a PMO approved for the treatment of patients with DMD who are amenable to exon 53 skipping, which is marketed by Nippon Shinyaku Co. Ltd. (“Nippon”). Companies focused on developing treatments for DMD that target dystrophin mechanisms, as does our DMD program, include Sarepta with SRP -5051, a peptide-linked PMO currently being evaluated following a Phase 2 clinical trial for patients amenable to exon 51 skipping along with additional exons in preclinical development, </w:t>
      </w:r>
      <w:r>
        <w:rPr>
          <w:rFonts w:ascii="Times New Roman" w:cs="Times New Roman" w:eastAsia="Times New Roman" w:hAnsi="Times New Roman"/>
          <w:sz w:val="14"/>
          <w:szCs w:val="14"/>
          <w:color w:val="333333"/>
        </w:rPr>
        <w:t>Nippon, which is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333333"/>
        </w:rPr>
        <w:t xml:space="preserve">a Phase 2 clinical trial for patients amenable to exon 44 skipping in Japan and is enrolling a global Phase 2 trial, </w:t>
      </w:r>
      <w:r>
        <w:rPr>
          <w:rFonts w:ascii="Times New Roman" w:cs="Times New Roman" w:eastAsia="Times New Roman" w:hAnsi="Times New Roman"/>
          <w:sz w:val="14"/>
          <w:szCs w:val="14"/>
          <w:color w:val="000000"/>
        </w:rPr>
        <w:t>PTC with ataluren, a small molecule targeting nonsense mutations, which is</w:t>
      </w:r>
      <w:r>
        <w:rPr>
          <w:rFonts w:ascii="Times New Roman" w:cs="Times New Roman" w:eastAsia="Times New Roman" w:hAnsi="Times New Roman"/>
          <w:sz w:val="14"/>
          <w:szCs w:val="14"/>
          <w:color w:val="333333"/>
        </w:rPr>
        <w:t xml:space="preserve"> </w:t>
      </w:r>
      <w:r>
        <w:rPr>
          <w:rFonts w:ascii="Times New Roman" w:cs="Times New Roman" w:eastAsia="Times New Roman" w:hAnsi="Times New Roman"/>
          <w:sz w:val="14"/>
          <w:szCs w:val="14"/>
          <w:color w:val="000000"/>
        </w:rPr>
        <w:t>resubmitting for approval in the United States in 2024 after a prior rejection, Avidity Biosciences, Inc. (“Avidity”), which announced the preliminary exon skipping and dystrophin data from its ongoing Phase 2/3 clinical trial with antibody oligonucleotide conjugates for exon 44 (AOC-1044), and has similar programs for patients amenable to exon 45, and exon 51 skipping in preclinical development, Wave Life Sciences Ltd., which recently announced initial data for WVE-N531, a clinical candidate that is designed to target exon 53 within the dystrophin gene, Dyne Therapeutics, Inc. (“Dyne”), which is pursuing antibody fragment-oligonucleotide conjugates for exons 44, 45, 51 (clinical candidate DYNE-251 recently announced data), and 53, PepGen, Inc. with PGN-EDO51, a clinical candidate designed to address exon 51, along with discovery programs targeting exons 53, 44, and 45, and BioMarin Pharmaceutical Inc., which recently announced a Phase 1/2 dose escalation trial for BMN 351, an antisense oligonucleotide therapy for exon 51. In addition, several companies are developing gene therapies to treat DMD, including Pfizer Inc. (PF-06939926), Sarepta (SRP-9001; delandistrogene moxeparvovec-rokl approved for patients with a confirmed mutation that are at least 4 years of age), Solid Biosciences Inc. (SGT-003), and REGENXBIO (RGX-202). Gene editing treatments that are in preclinical development are also being pursued by Vertex and Sarepta. We are also aware of several companies targeting non-dystrophin mechanisms for the treatment of DMD.</w:t>
      </w:r>
    </w:p>
    <w:p>
      <w:pPr>
        <w:spacing w:after="0" w:line="323" w:lineRule="exact"/>
        <w:rPr>
          <w:sz w:val="20"/>
          <w:szCs w:val="20"/>
          <w:color w:val="auto"/>
        </w:rPr>
      </w:pPr>
    </w:p>
    <w:p>
      <w:pPr>
        <w:ind w:firstLine="458"/>
        <w:spacing w:after="0" w:line="259" w:lineRule="auto"/>
        <w:rPr>
          <w:sz w:val="20"/>
          <w:szCs w:val="20"/>
          <w:color w:val="auto"/>
        </w:rPr>
      </w:pPr>
      <w:r>
        <w:rPr>
          <w:rFonts w:ascii="Times New Roman" w:cs="Times New Roman" w:eastAsia="Times New Roman" w:hAnsi="Times New Roman"/>
          <w:sz w:val="14"/>
          <w:szCs w:val="14"/>
          <w:color w:val="auto"/>
        </w:rPr>
        <w:t>We expect to face competition from existing products and products in development for each of our therapeutic candidates. There are currently no approved therapies to treat the underlying cause of DM1. Therapeutic candidates currently in development to treat DM1 include: tideglusib, a GSK3-ß inhibitor in late-stage clinical development by AMO Pharma Ltd. for the congenital phenotype of DM1; AOC-1001, an antibody linked siRNA in clinical development by Avidity; DYNE-101, an antibody fragment conjugated to an ASO targeting DM1 protein kinase knockdown in clinical development by Dyne; EDODM1, a linear peptide conjugated to a PMO targeting CUG repeats in clinical development by PepGen, Inc.; a small molecule targeting GTG repeats in preclinical development by Design Therapeutics, Inc.; an RNA-targeting gene therapy in preclinical development by Locana, Inc.; and small molecules interacting with RNA in preclinical development by Expansion Therapeutics, Inc.</w:t>
      </w:r>
    </w:p>
    <w:p>
      <w:pPr>
        <w:spacing w:after="0" w:line="13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Many of our competitors have significantly greater financial, technical, manufacturing, marketing, sales and supply resources or experience than we do. If we successfully obtain approval for any therapeutic candidate, we will face competition based on many different factors, including the safety and effectiveness of our therapeutics, the ease with which our therapeutics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or technological approaches may make any products we develop, or our EEV Platform, obsolete or noncompetitive before we recover the expense of developing and commercializing our therapeutic candidates. If we are unable to compete effectively, our opportunity to generate revenue from the sale of our therapeutics we may develop, if approved,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 and Industry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employees and to attract, retain and motivate qualified personnel.</w:t>
      </w:r>
    </w:p>
    <w:p>
      <w:pPr>
        <w:spacing w:after="0" w:line="170"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We are highly dependent on the research expertise of Natarajan Sethuraman, Ph.D., our President of Research and Development, and the development and management expertise of Dipal Doshi, our Chief Executive Officer, as well as the other principal members of our management, scientific and clinical team. Although we have entered into employment agreements and/or offer letters with our executive officers, each of them may terminate their employment with us at any time.</w:t>
      </w:r>
    </w:p>
    <w:p>
      <w:pPr>
        <w:spacing w:after="0" w:line="142"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Our industry has experienced a high rate of turnover in recent years. Our ability to compete in the highly competitive pharmaceuticals industry depends upon our ability to attract, retain and motivate highly skilled 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4"/>
          <w:szCs w:val="14"/>
          <w:color w:val="auto"/>
        </w:rPr>
        <w:t>experienced personnel with scientific, clinical, regulatory, manufacturing and management skills and experience. We conduct our operations in the Boston area, a region that is home to many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therapeutic candidates and to grow our business and operations as currently contemplated.</w:t>
      </w:r>
    </w:p>
    <w:p>
      <w:pPr>
        <w:spacing w:after="0" w:line="143" w:lineRule="exact"/>
        <w:rPr>
          <w:sz w:val="20"/>
          <w:szCs w:val="20"/>
          <w:color w:val="auto"/>
        </w:rPr>
      </w:pPr>
    </w:p>
    <w:p>
      <w:pPr>
        <w:ind w:right="320" w:firstLine="509"/>
        <w:spacing w:after="0" w:line="248" w:lineRule="auto"/>
        <w:rPr>
          <w:sz w:val="20"/>
          <w:szCs w:val="20"/>
          <w:color w:val="auto"/>
        </w:rPr>
      </w:pPr>
      <w:r>
        <w:rPr>
          <w:rFonts w:ascii="Times New Roman" w:cs="Times New Roman" w:eastAsia="Times New Roman" w:hAnsi="Times New Roman"/>
          <w:sz w:val="14"/>
          <w:szCs w:val="14"/>
          <w:color w:val="auto"/>
        </w:rPr>
        <w:t>To induce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For example, employment of our key employees is at-will, which means that any of our employees could leave our employment at any time, with or without notice.</w:t>
      </w:r>
    </w:p>
    <w:p>
      <w:pPr>
        <w:spacing w:after="0" w:line="141" w:lineRule="exact"/>
        <w:rPr>
          <w:sz w:val="20"/>
          <w:szCs w:val="20"/>
          <w:color w:val="auto"/>
        </w:rPr>
      </w:pPr>
    </w:p>
    <w:p>
      <w:pPr>
        <w:ind w:right="260" w:firstLine="509"/>
        <w:spacing w:after="0" w:line="271" w:lineRule="auto"/>
        <w:rPr>
          <w:sz w:val="20"/>
          <w:szCs w:val="20"/>
          <w:color w:val="auto"/>
        </w:rPr>
      </w:pPr>
      <w:r>
        <w:rPr>
          <w:rFonts w:ascii="Times New Roman" w:cs="Times New Roman" w:eastAsia="Times New Roman" w:hAnsi="Times New Roman"/>
          <w:sz w:val="14"/>
          <w:szCs w:val="14"/>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24"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4"/>
          <w:szCs w:val="14"/>
          <w:color w:val="auto"/>
        </w:rPr>
        <w:t>Our success also depends on our ability to continue to attract, retain and motivate highly skilled junior, mid-level and senior managers as well as junior, mid-level and senior scientific and medical personnel. Failure to succeed in clinical trials may make it more challenging to recruit and retain qualified scientific personnel.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expect to expand our development and regulatory capabilities, and as a result, we may encounter difficulties in managing our growth, which could disrupt our operations.</w:t>
      </w:r>
    </w:p>
    <w:p>
      <w:pPr>
        <w:spacing w:after="0" w:line="17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As of February 20, 2025, we had 183 full-time employees. We expect to experience significant growth in the number of our employees and the scope of our operations, particularly in the areas of clinical development, clinical operations, manufacturing, regulatory affairs and, if any of our therapeutic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43" w:lineRule="exact"/>
        <w:rPr>
          <w:sz w:val="20"/>
          <w:szCs w:val="20"/>
          <w:color w:val="auto"/>
        </w:rPr>
      </w:pPr>
    </w:p>
    <w:p>
      <w:pPr>
        <w:ind w:right="140" w:firstLine="509"/>
        <w:spacing w:after="0"/>
        <w:rPr>
          <w:sz w:val="20"/>
          <w:szCs w:val="20"/>
          <w:color w:val="auto"/>
        </w:rPr>
      </w:pPr>
      <w:r>
        <w:rPr>
          <w:rFonts w:ascii="Times New Roman" w:cs="Times New Roman" w:eastAsia="Times New Roman" w:hAnsi="Times New Roman"/>
          <w:sz w:val="14"/>
          <w:szCs w:val="14"/>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ENTR-601-44, ENTR-601-45, ENTR-601-50, ENTR-601-51, our partnered candidate VX-670 or any future therapeutic candidates. We cannot assure our stockholders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or our partners may not be able to obtain marketing approval of ENTR-601-44, ENTR-601-45, ENTR-601-50, ENTR-601-51, VX-670 or any future therapeutic candidates or otherwise advance our business. We cannot assure our stockholders that we will be able to properly manage our existing vendors or consultants or find other competent outside vendors and consultants on economically reasonable terms, or at all.</w:t>
      </w:r>
    </w:p>
    <w:p>
      <w:pPr>
        <w:spacing w:after="0" w:line="146" w:lineRule="exact"/>
        <w:rPr>
          <w:sz w:val="20"/>
          <w:szCs w:val="20"/>
          <w:color w:val="auto"/>
        </w:rPr>
      </w:pPr>
    </w:p>
    <w:p>
      <w:pPr>
        <w:jc w:val="both"/>
        <w:ind w:right="40" w:firstLine="509"/>
        <w:spacing w:after="0" w:line="254" w:lineRule="auto"/>
        <w:rPr>
          <w:sz w:val="20"/>
          <w:szCs w:val="20"/>
          <w:color w:val="auto"/>
        </w:rPr>
      </w:pPr>
      <w:r>
        <w:rPr>
          <w:rFonts w:ascii="Times New Roman" w:cs="Times New Roman" w:eastAsia="Times New Roman" w:hAnsi="Times New Roman"/>
          <w:sz w:val="14"/>
          <w:szCs w:val="14"/>
          <w:color w:val="auto"/>
        </w:rPr>
        <w:t>If we are not able to effectively manage growth and expand our organization, we may not be able to successfully implement the tasks necessary to further develop and commercialize ENTR-601-44, ENTR-601-45, ENTR-601-50, ENTR-601-51, our partnered candidate VX-670, our other development portfolio therapeutic candidates or any future therapeutic candidates and, accordingly, may not achieve our research, development and commercialization goals.</w:t>
      </w:r>
    </w:p>
    <w:p>
      <w:pPr>
        <w:spacing w:after="0" w:line="13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Recently enacted and future legislation may increase the difficulty and cost for us to obtain marketing approval of and commercialize our therapeutic candidates and decrease the prices we may obtain.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 number of legislative and regulatory changes and proposed changes regarding the healthcare system that could prevent or delay marketing approval of our therapeutic candidates, restrict or regulate post-approval activities and affect our ability to profitably sell any therapeutic candidates for which we obtain marketing approval.</w:t>
      </w:r>
    </w:p>
    <w:p>
      <w:pPr>
        <w:spacing w:after="0" w:line="157" w:lineRule="exact"/>
        <w:rPr>
          <w:sz w:val="20"/>
          <w:szCs w:val="20"/>
          <w:color w:val="auto"/>
        </w:rPr>
      </w:pPr>
    </w:p>
    <w:p>
      <w:pPr>
        <w:jc w:val="both"/>
        <w:ind w:right="360" w:firstLine="509"/>
        <w:spacing w:after="0" w:line="248" w:lineRule="auto"/>
        <w:rPr>
          <w:sz w:val="20"/>
          <w:szCs w:val="20"/>
          <w:color w:val="auto"/>
        </w:rPr>
      </w:pPr>
      <w:r>
        <w:rPr>
          <w:rFonts w:ascii="Times New Roman" w:cs="Times New Roman" w:eastAsia="Times New Roman" w:hAnsi="Times New Roman"/>
          <w:sz w:val="14"/>
          <w:szCs w:val="14"/>
          <w:color w:val="auto"/>
        </w:rPr>
        <w:t>For example, the Patient Protection and Affordable Care Act (“ACA”) was passed in 2010 and substantially changed the way healthcare is financed by both governmental and private insurers, and continues to significantly impact the U.S. pharmaceutical industry. In addition,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Among the provisions of the ACA of importance to our potential therapeutic candidates are the following:</w:t>
      </w:r>
    </w:p>
    <w:p>
      <w:pPr>
        <w:spacing w:after="0" w:line="83"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fees and taxes on manufacturers of certain branded prescription drugs;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annual, nondeductible fee on any entity that manufactures or imports specified branded prescription drugs and biologic products;</w:t>
      </w:r>
    </w:p>
    <w:p>
      <w:pPr>
        <w:spacing w:after="0" w:line="83" w:lineRule="exact"/>
        <w:rPr>
          <w:rFonts w:ascii="Times New Roman" w:cs="Times New Roman" w:eastAsia="Times New Roman" w:hAnsi="Times New Roman"/>
          <w:sz w:val="14"/>
          <w:szCs w:val="14"/>
          <w:color w:val="auto"/>
        </w:rPr>
      </w:pPr>
    </w:p>
    <w:p>
      <w:pPr>
        <w:ind w:left="520" w:right="480" w:hanging="260"/>
        <w:spacing w:after="0" w:line="271"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39" w:lineRule="exact"/>
        <w:rPr>
          <w:rFonts w:ascii="Times New Roman" w:cs="Times New Roman" w:eastAsia="Times New Roman" w:hAnsi="Times New Roman"/>
          <w:sz w:val="14"/>
          <w:szCs w:val="14"/>
          <w:color w:val="auto"/>
        </w:rPr>
      </w:pPr>
    </w:p>
    <w:p>
      <w:pPr>
        <w:ind w:left="520" w:right="440" w:hanging="260"/>
        <w:spacing w:after="0" w:line="255"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the statutory minimum rebates a manufacturer must pay under the Medicaid Drug Rebate Program and extended the rebate program to individuals enrolled in Medicaid managed care organizations;</w:t>
      </w:r>
    </w:p>
    <w:p>
      <w:pPr>
        <w:spacing w:after="0" w:line="50" w:lineRule="exact"/>
        <w:rPr>
          <w:rFonts w:ascii="Times New Roman" w:cs="Times New Roman" w:eastAsia="Times New Roman" w:hAnsi="Times New Roman"/>
          <w:sz w:val="14"/>
          <w:szCs w:val="14"/>
          <w:color w:val="auto"/>
        </w:rPr>
      </w:pPr>
    </w:p>
    <w:p>
      <w:pPr>
        <w:ind w:left="520" w:right="360" w:hanging="260"/>
        <w:spacing w:after="0" w:line="271"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healthcare fraud and abuse laws, including the False Claims Act and the federal Anti-Kickback Statute, new government investigative powers, and enhanced penalties for noncompliance;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extension of manufacturers’ Medicaid rebate liability;</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eligibility criteria for Medicaid programs;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the entities eligible for discounts under the Public Health Service pharmaceutical pricing program;</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report financial arrangements with physicians and teaching hospitals;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to annually report drug samples that manufacturers and distributors provide to physicians;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Patient-Centered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Other legislative changes have been proposed and adopted since the ACA was enacted. The Budget Control Act of 2011, among other things, created measures for spending reductions by Congress. These changes include aggregate reductions to Medicare payments to providers of up to 2% per fiscal year. Subsequent legislation extended the 2% payment reduction which remains in effect through 2031. The American Taxpayer Relief Act of 2012 further reduced Medicare payments to several providers, and increased the statute of limitations period for the government to recover overpayments to providers from three to five years. On March 11, 2021, President Biden signed the American Rescue Plan Act of 2021 into law, which eliminated the statutory Medicaid drug rebate cap,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51" w:lineRule="exact"/>
        <w:rPr>
          <w:sz w:val="20"/>
          <w:szCs w:val="20"/>
          <w:color w:val="auto"/>
        </w:rPr>
      </w:pPr>
    </w:p>
    <w:p>
      <w:pPr>
        <w:ind w:right="200" w:firstLine="509"/>
        <w:spacing w:after="0" w:line="248" w:lineRule="auto"/>
        <w:rPr>
          <w:sz w:val="20"/>
          <w:szCs w:val="20"/>
          <w:color w:val="auto"/>
        </w:rPr>
      </w:pPr>
      <w:r>
        <w:rPr>
          <w:rFonts w:ascii="Times New Roman" w:cs="Times New Roman" w:eastAsia="Times New Roman" w:hAnsi="Times New Roman"/>
          <w:sz w:val="14"/>
          <w:szCs w:val="14"/>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4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4"/>
          <w:szCs w:val="14"/>
          <w:color w:val="auto"/>
        </w:rPr>
        <w:t>The Inflation Reduction Act of 2022 (the “IRA”) includes several provisions that may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limit the fees that pharmacy benefit managers can charge. Further, under the IRA, orphan drugs are exempted from the Medicare</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drug price negotiation program, but only if they have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The effect of the IRA on our business and the healthcare industry in general is not yet known.</w:t>
      </w:r>
    </w:p>
    <w:p>
      <w:pPr>
        <w:spacing w:after="0" w:line="157"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4"/>
          <w:szCs w:val="14"/>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a federal level, President Trump reversed some of President Biden’s executive orders including rescinding Executive Order 14087 entitled “Lowering Prescription Drug Costs for Americans.” President Trump may issue new executive orders designed to impact drug pricing, and/or rescind or modify the previous administration’s efforts to address drug costs.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143"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14"/>
          <w:szCs w:val="14"/>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7"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therapeutics. Legislative and regulatory proposals have been made to expand post-approval requirements and restrict sales and promotional activities for pharmaceutical products.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We cannot be sure whether additional legislative changes will be enacted, or whether the FDA regulations, guidance or interpretations will be changed, or what the impact of such changes on the marketing approvals of our therapeutic candidates, if any, may be. It is also possible that additional governmental action is taken in response to pandemics or global health crises. For more information, see the section entitled “</w:t>
      </w:r>
      <w:r>
        <w:rPr>
          <w:rFonts w:ascii="Times New Roman" w:cs="Times New Roman" w:eastAsia="Times New Roman" w:hAnsi="Times New Roman"/>
          <w:sz w:val="14"/>
          <w:szCs w:val="14"/>
          <w:i w:val="1"/>
          <w:iCs w:val="1"/>
          <w:color w:val="auto"/>
        </w:rPr>
        <w:t>Business — Healthcare Reform</w:t>
      </w:r>
      <w:r>
        <w:rPr>
          <w:rFonts w:ascii="Times New Roman" w:cs="Times New Roman" w:eastAsia="Times New Roman" w:hAnsi="Times New Roman"/>
          <w:sz w:val="14"/>
          <w:szCs w:val="14"/>
          <w:color w:val="auto"/>
        </w:rPr>
        <w:t>” in this Annual Report.</w:t>
      </w:r>
    </w:p>
    <w:p>
      <w:pPr>
        <w:spacing w:after="0" w:line="14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Cybersecurity incidents, data breaches, loss or leakage of data and other disruptions or failures of our internal information technology systems, or those of our third-party CROs or other vendors, contractors or consultants could result in the disruption of our development programs, compromise sensitive information related to our business or prevent us from accessing critical information, potentially exposing us to liability or otherwise adversely affecting our business.</w:t>
      </w:r>
    </w:p>
    <w:p>
      <w:pPr>
        <w:spacing w:after="0" w:line="136"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4"/>
          <w:szCs w:val="14"/>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vendors, and other contractors and consultants who have access to our confidential information.</w:t>
      </w:r>
    </w:p>
    <w:p>
      <w:pPr>
        <w:spacing w:after="0" w:line="165"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4"/>
          <w:szCs w:val="14"/>
          <w:color w:val="auto"/>
        </w:rPr>
        <w:t>Despite the implementation of security measures, given their size and complexity and the increasing amounts of confidential information that they maintain, our internal information technology systems and those of our third-party CROs, vendors and other contractors and consultants are potentially vulnerable to breakdown or other damage or interruption from service interruptions, system malfunction, natural disasters, terrorism, war and telecommunication and electrical failures, as well as data breaches or cybersecurity incidents from inadvertent or intentional actions by our employees, third-party CROs, vendors, contractors, consultants, business partners and/or other third parties, or from cyber-attacks by malicious third parties (including the deployment of harmful malware, ransomware, denial-of-service attacks, social engineering (including phishing attacks) and other means to affect service reliability and threaten the confidentiality, integrity and availability of information), which may compromise our system infrastructure, or that of our third-party CROs, vendors and other contractors and consultants, or lead to data leakage. The risk of a cybersecurity incident, data breach, or other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nor</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data breach, or cybersecurity incident were to result in a loss of, or damage to, our data or applications, or those of our third-party CROs, vendors and other contractors and consultants, or inappropriate disclosure of confidential or proprietary information, we could incur liability and reputational damage and the further development and commercialization of ENTR-601-44, ENTR-601-45, ENTR-601-50, ENTR-601-51, our partnered candidate VX-670 or any future therapeutic candidates could be delayed. The costs related to significant cybersecurity incidents, data breaches, or other disruptions could be material and exceed the limits of the cybersecurity insurance we maintain against such risks. If the information technology systems of our third-party CROs, vendors and other contractors and consultants become subject to disruptions, data breaches, or cybersecurity incidents, we may have insufficient recourse against such third parties and we may have to expend significant resources to mitigate the impact of such an event, and to develop and implement protections to prevent future events of this nature from occurring. Further, our contracts may not contain limitations of liability, and even where they do, there can be no assurance that limitations of liability in our contracts will be sufficient to protect us from liabilities, damages, or claims related to our privacy and data security obligations.</w:t>
      </w:r>
    </w:p>
    <w:p>
      <w:pPr>
        <w:spacing w:after="0" w:line="166"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4"/>
          <w:szCs w:val="14"/>
          <w:color w:val="auto"/>
        </w:rPr>
        <w:t>Significant breakdowns, data leakages, data breaches, cybersecurity incidents in our systems, or those of our third-party CROs, vendors and other contractors and consultants, or other disruptions may have a material adverse effect upon our reputation, business, operations or financial condition. For example, if such an event were to occur and cause interruptions in our operations, or those of our third-party CROs, vendors and other contractors and consultants, it could result in a material disruption of our programs and the development of our therapeutic candidates could be delayed. In addition, the loss of clinical trial data for ENTR-601-44, ENTR-601-45, ENTR-601-50, ENTR-601-51, our partnered candidate VX-670 or any other therapeutic candidates could result in delays in our marketing approval efforts and significantly increase our costs to recover or reproduce the data. Furthermore, significant disruptions of our internal information technology systems or those of our third-party CROs, vendors and other contractors and consultants, data breaches, or cybersecurity incidents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cybersecurity incident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pandemic, epidemic or outbreak of an infectious disease may materially and adversely affect our business and could cause a disruption to the development of our therapeutic candidates.</w:t>
      </w:r>
    </w:p>
    <w:p>
      <w:pPr>
        <w:spacing w:after="0" w:line="170" w:lineRule="exact"/>
        <w:rPr>
          <w:sz w:val="20"/>
          <w:szCs w:val="20"/>
          <w:color w:val="auto"/>
        </w:rPr>
      </w:pPr>
    </w:p>
    <w:p>
      <w:pPr>
        <w:jc w:val="both"/>
        <w:ind w:right="220" w:firstLine="509"/>
        <w:spacing w:after="0" w:line="254" w:lineRule="auto"/>
        <w:rPr>
          <w:sz w:val="20"/>
          <w:szCs w:val="20"/>
          <w:color w:val="auto"/>
        </w:rPr>
      </w:pPr>
      <w:r>
        <w:rPr>
          <w:rFonts w:ascii="Times New Roman" w:cs="Times New Roman" w:eastAsia="Times New Roman" w:hAnsi="Times New Roman"/>
          <w:sz w:val="14"/>
          <w:szCs w:val="14"/>
          <w:color w:val="auto"/>
        </w:rPr>
        <w:t>Public health crises could adversely impact the global economy and financial markets, and put a significant strain on healthcare resources. Worldwide pandemics may affect our ability to initiate and complete preclinical studies, delay the initiation of our planned clinical trials, disrupt regulatory activities or have other adverse effects on our business, results of operations, financial condition and prospects.</w:t>
      </w:r>
    </w:p>
    <w:p>
      <w:pPr>
        <w:spacing w:after="0" w:line="136" w:lineRule="exact"/>
        <w:rPr>
          <w:sz w:val="20"/>
          <w:szCs w:val="20"/>
          <w:color w:val="auto"/>
        </w:rPr>
      </w:pPr>
    </w:p>
    <w:p>
      <w:pPr>
        <w:ind w:right="400" w:firstLine="509"/>
        <w:spacing w:after="0" w:line="255" w:lineRule="auto"/>
        <w:rPr>
          <w:sz w:val="20"/>
          <w:szCs w:val="20"/>
          <w:color w:val="auto"/>
        </w:rPr>
      </w:pPr>
      <w:r>
        <w:rPr>
          <w:rFonts w:ascii="Times New Roman" w:cs="Times New Roman" w:eastAsia="Times New Roman" w:hAnsi="Times New Roman"/>
          <w:sz w:val="14"/>
          <w:szCs w:val="14"/>
          <w:color w:val="auto"/>
        </w:rPr>
        <w:t>To date, we have not experienced a material financial impact or significant business disruptions, including with our vendors, or impairments of any of our assets as a result of the post-COVID environment.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environmental, health and safety laws and regulations could subject us to fines or penalties or incur costs that could harm our business.</w:t>
      </w:r>
    </w:p>
    <w:p>
      <w:pPr>
        <w:spacing w:after="0" w:line="17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We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44" w:lineRule="exact"/>
        <w:rPr>
          <w:sz w:val="20"/>
          <w:szCs w:val="20"/>
          <w:color w:val="auto"/>
        </w:rPr>
      </w:pPr>
    </w:p>
    <w:p>
      <w:pPr>
        <w:ind w:right="260" w:firstLine="509"/>
        <w:spacing w:after="0" w:line="271" w:lineRule="auto"/>
        <w:rPr>
          <w:sz w:val="20"/>
          <w:szCs w:val="20"/>
          <w:color w:val="auto"/>
        </w:rPr>
      </w:pPr>
      <w:r>
        <w:rPr>
          <w:rFonts w:ascii="Times New Roman" w:cs="Times New Roman" w:eastAsia="Times New Roman" w:hAnsi="Times New Roman"/>
          <w:sz w:val="14"/>
          <w:szCs w:val="14"/>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severally liable for the cost of investigating or remediating contamination caused by hazardous substance releases, even if they did not know of and were not responsible for the releases.</w:t>
      </w:r>
    </w:p>
    <w:p>
      <w:pPr>
        <w:spacing w:after="0" w:line="168" w:lineRule="exact"/>
        <w:rPr>
          <w:sz w:val="20"/>
          <w:szCs w:val="20"/>
          <w:color w:val="auto"/>
        </w:rPr>
      </w:pPr>
    </w:p>
    <w:p>
      <w:pPr>
        <w:jc w:val="both"/>
        <w:ind w:right="400" w:firstLine="509"/>
        <w:spacing w:after="0" w:line="254" w:lineRule="auto"/>
        <w:rPr>
          <w:sz w:val="20"/>
          <w:szCs w:val="20"/>
          <w:color w:val="auto"/>
        </w:rPr>
      </w:pPr>
      <w:r>
        <w:rPr>
          <w:rFonts w:ascii="Times New Roman" w:cs="Times New Roman" w:eastAsia="Times New Roman" w:hAnsi="Times New Roman"/>
          <w:sz w:val="14"/>
          <w:szCs w:val="14"/>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3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36" w:lineRule="exact"/>
        <w:rPr>
          <w:sz w:val="20"/>
          <w:szCs w:val="20"/>
          <w:color w:val="auto"/>
        </w:rPr>
      </w:pPr>
    </w:p>
    <w:p>
      <w:pPr>
        <w:jc w:val="both"/>
        <w:ind w:right="300" w:firstLine="509"/>
        <w:spacing w:after="0" w:line="254" w:lineRule="auto"/>
        <w:rPr>
          <w:sz w:val="20"/>
          <w:szCs w:val="20"/>
          <w:color w:val="auto"/>
        </w:rPr>
      </w:pPr>
      <w:r>
        <w:rPr>
          <w:rFonts w:ascii="Times New Roman" w:cs="Times New Roman" w:eastAsia="Times New Roman" w:hAnsi="Times New Roman"/>
          <w:sz w:val="14"/>
          <w:szCs w:val="14"/>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134"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third-party payors, physicians and healthcare providers will be subject to applicable anti-kickback, fraud and abuse, and other laws and regulations, which could expose us to criminal sanctions, civil penalties, contractual damages, reputational harm, and diminished profits.</w:t>
      </w:r>
    </w:p>
    <w:p>
      <w:pPr>
        <w:spacing w:after="0" w:line="122" w:lineRule="exact"/>
        <w:rPr>
          <w:sz w:val="20"/>
          <w:szCs w:val="20"/>
          <w:color w:val="auto"/>
        </w:rPr>
      </w:pPr>
    </w:p>
    <w:p>
      <w:pPr>
        <w:ind w:right="120" w:firstLine="509"/>
        <w:spacing w:after="0"/>
        <w:rPr>
          <w:sz w:val="20"/>
          <w:szCs w:val="20"/>
          <w:color w:val="auto"/>
        </w:rPr>
      </w:pPr>
      <w:r>
        <w:rPr>
          <w:rFonts w:ascii="Times New Roman" w:cs="Times New Roman" w:eastAsia="Times New Roman" w:hAnsi="Times New Roman"/>
          <w:sz w:val="14"/>
          <w:szCs w:val="14"/>
          <w:color w:val="auto"/>
        </w:rPr>
        <w:t>Healthcare providers, physicians and third-party payors will play a primary role in the recommendation and prescription of any therapeutic candidates for which we obtain regulatory approval. Our current and future arrangements with third-party payors and customers may expose us to broadly applicable fraud and abuse and other healthcare laws and regulations that may constrain the business or financial arrangements and relationships through which we conduct research and would market, sell and distribute our therapeutics. As a pharmaceutical company,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and state healthcare laws and regulations that may affect our ability to operate include the following:</w:t>
      </w:r>
    </w:p>
    <w:p>
      <w:pPr>
        <w:spacing w:after="0" w:line="63" w:lineRule="exact"/>
        <w:rPr>
          <w:sz w:val="20"/>
          <w:szCs w:val="20"/>
          <w:color w:val="auto"/>
        </w:rPr>
      </w:pPr>
    </w:p>
    <w:p>
      <w:pPr>
        <w:ind w:left="520" w:right="20" w:hanging="260"/>
        <w:spacing w:after="0" w:line="242"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62" w:lineRule="exact"/>
        <w:rPr>
          <w:rFonts w:ascii="Times New Roman" w:cs="Times New Roman" w:eastAsia="Times New Roman" w:hAnsi="Times New Roman"/>
          <w:sz w:val="14"/>
          <w:szCs w:val="14"/>
          <w:color w:val="auto"/>
        </w:rPr>
      </w:pPr>
    </w:p>
    <w:p>
      <w:pPr>
        <w:ind w:left="520" w:right="20" w:hanging="260"/>
        <w:spacing w:after="0"/>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61" w:lineRule="exact"/>
        <w:rPr>
          <w:rFonts w:ascii="Times New Roman" w:cs="Times New Roman" w:eastAsia="Times New Roman" w:hAnsi="Times New Roman"/>
          <w:sz w:val="14"/>
          <w:szCs w:val="14"/>
          <w:color w:val="auto"/>
        </w:rPr>
      </w:pPr>
    </w:p>
    <w:p>
      <w:pPr>
        <w:ind w:left="520" w:hanging="260"/>
        <w:spacing w:after="0" w:line="245" w:lineRule="auto"/>
        <w:tabs>
          <w:tab w:leader="none" w:pos="51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right="340"/>
        <w:spacing w:after="0" w:line="271" w:lineRule="auto"/>
        <w:rPr>
          <w:sz w:val="20"/>
          <w:szCs w:val="20"/>
          <w:color w:val="auto"/>
        </w:rPr>
      </w:pPr>
      <w:r>
        <w:rPr>
          <w:rFonts w:ascii="Times New Roman" w:cs="Times New Roman" w:eastAsia="Times New Roman" w:hAnsi="Times New Roman"/>
          <w:sz w:val="14"/>
          <w:szCs w:val="14"/>
          <w:color w:val="auto"/>
        </w:rPr>
        <w:t>items or services relating to healthcare matters; similar to the federal Anti-Kickback Statute, a person or entity does not need to have actual knowledge of the statute or specific intent to violate it in order to have committed a violation;</w:t>
      </w:r>
    </w:p>
    <w:p>
      <w:pPr>
        <w:spacing w:after="0" w:line="40" w:lineRule="exact"/>
        <w:rPr>
          <w:sz w:val="20"/>
          <w:szCs w:val="20"/>
          <w:color w:val="auto"/>
        </w:rPr>
      </w:pPr>
    </w:p>
    <w:p>
      <w:pPr>
        <w:ind w:left="520" w:hanging="260"/>
        <w:spacing w:after="0" w:line="242"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of 2009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59" w:lineRule="exact"/>
        <w:rPr>
          <w:rFonts w:ascii="Times New Roman" w:cs="Times New Roman" w:eastAsia="Times New Roman" w:hAnsi="Times New Roman"/>
          <w:sz w:val="14"/>
          <w:szCs w:val="14"/>
          <w:color w:val="auto"/>
        </w:rPr>
      </w:pPr>
    </w:p>
    <w:p>
      <w:pPr>
        <w:ind w:left="520" w:hanging="260"/>
        <w:spacing w:after="0" w:line="241"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transparency requirements under the ACA,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certain other licensed health care practitioners (defined to include physician assistants, nurse practitioners, clinical nurse specialists, certified registered nurse anesthetists and anesthesiologist assistants, and certified-nurse midwives) and teaching hospitals, as well as ownership and investment interests held by the physicians described above and their immediate family members;</w:t>
      </w:r>
    </w:p>
    <w:p>
      <w:pPr>
        <w:spacing w:after="0" w:line="6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government price reporting laws, which require us to calculate and report complex pricing metrics in an accurate and timely manner to government programs;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consumer protection and unfair competition laws, which broadly regulate marketplace activities and activities that potentially harm consumers.</w:t>
      </w:r>
    </w:p>
    <w:p>
      <w:pPr>
        <w:spacing w:after="0" w:line="168"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 General Data Protection Regulation (which became effective on May 25, 2018) (“EU GDPR”) and the UK General Data Protection Regulation (which became effective following UK withdrawal from the EU as of January 2021) (“UK GDPR)”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46" w:lineRule="exact"/>
        <w:rPr>
          <w:sz w:val="20"/>
          <w:szCs w:val="20"/>
          <w:color w:val="auto"/>
        </w:rPr>
      </w:pPr>
    </w:p>
    <w:p>
      <w:pPr>
        <w:ind w:right="520" w:firstLine="509"/>
        <w:spacing w:after="0" w:line="254" w:lineRule="auto"/>
        <w:rPr>
          <w:sz w:val="20"/>
          <w:szCs w:val="20"/>
          <w:color w:val="auto"/>
        </w:rPr>
      </w:pPr>
      <w:r>
        <w:rPr>
          <w:rFonts w:ascii="Times New Roman" w:cs="Times New Roman" w:eastAsia="Times New Roman" w:hAnsi="Times New Roman"/>
          <w:sz w:val="14"/>
          <w:szCs w:val="14"/>
          <w:color w:val="auto"/>
        </w:rPr>
        <w:t>Federal and state enforcement bodies have recently increased their scrutiny of interactions between healthcare companies and healthcare providers, which has led to a number of investigations, prosecutions, convictions and settlements in the healthcare industry. Ensuring business arrangements comply with applicable healthcare laws, as well as responding to possible investigations by government authorities, can be time and resource consuming and can divert a company’s attention from the business.</w:t>
      </w:r>
    </w:p>
    <w:p>
      <w:pPr>
        <w:spacing w:after="0" w:line="157"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For more information, see the section “Business—Healthcare Law and Regulation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in this Annual Report.</w:t>
      </w:r>
    </w:p>
    <w:p>
      <w:pPr>
        <w:spacing w:after="0" w:line="14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22"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or (iv)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spacing w:after="0" w:line="292"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122"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4"/>
          <w:szCs w:val="14"/>
          <w:color w:val="auto"/>
        </w:rPr>
        <w:t>U.S. and foreign anti-corruption, anti-money laundering, export control, sanctions and other trade laws and regulations prohibit, among other things,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46"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engage in strategic transactions that could impact our liquidity, increase our expenses and present significant distractions to our management.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4"/>
          <w:szCs w:val="14"/>
          <w:color w:val="auto"/>
        </w:rPr>
        <w:t>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of the acquisition. Moreover, we may not be able to locate suitable acquisition opportunities and this inability could impair our ability to grow or obtain access to technology or products that may be important to the development of our business.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Legislation or other changes in U.S. tax law could adversely affect our business and financial condition.</w:t>
      </w:r>
    </w:p>
    <w:p>
      <w:pPr>
        <w:spacing w:after="0" w:line="170"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4"/>
          <w:szCs w:val="14"/>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changes have been made to applicable tax laws and changes are likely to continue to occur in the future.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Future changes in tax laws could have a material adverse effect on our business, cash flow, financial condition or results of operations.</w:t>
      </w:r>
    </w:p>
    <w:p>
      <w:pPr>
        <w:spacing w:after="0" w:line="147"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We urge investors to consult with their legal and tax advisers regarding the implications of potential changes in tax laws on an investment in our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U.S. net operating loss carryforwards and certain other U.S. tax attributes may be limited.</w:t>
      </w:r>
    </w:p>
    <w:p>
      <w:pPr>
        <w:spacing w:after="0" w:line="170" w:lineRule="exact"/>
        <w:rPr>
          <w:sz w:val="20"/>
          <w:szCs w:val="20"/>
          <w:color w:val="auto"/>
        </w:rPr>
      </w:pPr>
    </w:p>
    <w:p>
      <w:pPr>
        <w:ind w:right="500" w:firstLine="509"/>
        <w:spacing w:after="0" w:line="271" w:lineRule="auto"/>
        <w:rPr>
          <w:sz w:val="20"/>
          <w:szCs w:val="20"/>
          <w:color w:val="auto"/>
        </w:rPr>
      </w:pPr>
      <w:r>
        <w:rPr>
          <w:rFonts w:ascii="Times New Roman" w:cs="Times New Roman" w:eastAsia="Times New Roman" w:hAnsi="Times New Roman"/>
          <w:sz w:val="14"/>
          <w:szCs w:val="14"/>
          <w:color w:val="auto"/>
        </w:rPr>
        <w:t>Our ability to use our U.S. federal and state net operating losses to offset potential future taxable income and related income taxes that would otherwise be due is dependent upon our generation of future taxable income, and we cannot predict with certainty when, or whether, we will generate sufficient taxable income to use all of our net operating losses.</w:t>
      </w:r>
    </w:p>
    <w:p>
      <w:pPr>
        <w:spacing w:after="0" w:line="12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Under current law, unused U.S. federal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2018, 2019 and 2020 may be carried back to each of the five tax years preceding the tax years of such losses. Additionally, for taxable years beginning after December 31, 2020, the deductibility of such U.S. federal net operating losses is limited to 80% of our taxable income in any future taxable year. In addition, both our current and our future unused U.S. federal net operating losses and tax credits may be subject to limitation under Sections 382 and 383 of the Code, if we undergo an “ownership change,” generally defined as a greater than 50 percentage point change (by value) in its equity ownership by certain stockholders over a rolling three-year period. We have determined that such ownership changes have occurred in the past, and we may experience additional ownership changes in the future as a result of shifts in our stock ownership, some of which are outside our control. Our net operating losses and tax credits may also be impaired or restricted under state law. As of December 31, 2024, we had U.S. federal net operating loss carryforwards of approximately $4.2 million, and our ability to utilize those net operating loss carryforwards could be limited by an “ownership change” as described above, which could result in increased tax liability to us.</w:t>
      </w:r>
    </w:p>
    <w:p>
      <w:pPr>
        <w:spacing w:after="0" w:line="1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plan to distribute our technology, biology, execution and financing risks across a wide variety of therapeutic areas, disease states, programs, and technologies. However, our assessment of, and approach to, risk may not be comprehensive or effectively avoid delays or failures in one or more of our programs or modalities. Failures in one or more of our programs or modalities could adversely impact other programs or modalities in our development portfolio and have a material adverse impact on our business, results of operations and ability to fund our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We are creating a new category of potential therapeutics based on EEV peptides to improve the lives of patients. We have designed our strategy and operations to realize the full potential value and impact of EEV peptides over a long time horizon across a broad array of human diseases. We have made investments in our platform, infrastructure, and clinical capabilities that have enabled us to establish a development portfolio of several programs in development. As our therapeutic candidates and discovery programs progress, we or others may determine: that certain of our risk allocation decisions were incorrect or insufficient; that we made platform level technology mistakes; that individual programs or our EEV science in general has technology or biology risks that were unknown or underappreciated; that our choices on how to develop our infrastructure to support our scale will result in an inability to manufacture our therapeutics for clinical trials or otherwise impair our manufacturing; or that we have allocated resources in such a way that large investments are not recovered and capital allocation is not subject to rapid re-direction. All of these risks may relate to our current and future programs sharing similar science (including EEV science) and infrastructure, and in the event material decisions in any of these areas turn out to have been incorrect or under-optimized, we may experience a material adverse impact on our business and ability to fund our operations and we may never realize what we believe is the potential of EEV peptides.</w:t>
      </w:r>
    </w:p>
    <w:p>
      <w:pPr>
        <w:spacing w:after="0" w:line="14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While we will attempt to diversify our risks by developing one or more programs in each modality, there are risks that are unique to each modality and risks that are applicable across modalities. These risks may impair our ability to advance one or more of our programs in clinical development, obtain regulatory approval, or ultimately commercialize our programs, or cause us to experience significant delays in doing so, any of which may materially harm our business.</w:t>
      </w:r>
    </w:p>
    <w:p>
      <w:pPr>
        <w:spacing w:after="0" w:line="136" w:lineRule="exact"/>
        <w:rPr>
          <w:sz w:val="20"/>
          <w:szCs w:val="20"/>
          <w:color w:val="auto"/>
        </w:rPr>
      </w:pPr>
    </w:p>
    <w:p>
      <w:pPr>
        <w:ind w:right="140" w:firstLine="509"/>
        <w:spacing w:after="0" w:line="241" w:lineRule="auto"/>
        <w:rPr>
          <w:sz w:val="20"/>
          <w:szCs w:val="20"/>
          <w:color w:val="auto"/>
        </w:rPr>
      </w:pPr>
      <w:r>
        <w:rPr>
          <w:rFonts w:ascii="Times New Roman" w:cs="Times New Roman" w:eastAsia="Times New Roman" w:hAnsi="Times New Roman"/>
          <w:sz w:val="14"/>
          <w:szCs w:val="14"/>
          <w:color w:val="auto"/>
        </w:rPr>
        <w:t>Certain features in our therapeutic candidates, including those related to large enzymes, antibodies and oligonucleotides, and their components, may result in foreseen and unforeseen risks that are active across some or all of our modalities. In addition, the biology risk across much of our development portfolio represents targets and pathways not clinically validated by one or more approved drugs. While we believe we have made progress in seeking to reduce biology risk in certain settings, the risk that the targets or pathways that we have selected may not be effective could continue to apply across our current and future programs. Any such portfolio spanning risks, whether known or unknown, if realized in any one of our programs would have a material and adverse effect on our other programs and on our business as a whole.</w:t>
      </w:r>
    </w:p>
    <w:p>
      <w:pPr>
        <w:spacing w:after="0" w:line="147"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Successful development of intracellular therapeutics is highly uncertain and is dependent on numerous factors, many of which are beyond our control. Intracellular therapeutics that appear promising in the early phases of development may fail to reach the market for several reasons, including:</w:t>
      </w:r>
    </w:p>
    <w:p>
      <w:pPr>
        <w:spacing w:after="0" w:line="40"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nonclinical or preclinical testing or study results may show our therapeutics to be less effective than desired or to have harmful or problematic side effects or toxicities;</w:t>
      </w:r>
    </w:p>
    <w:p>
      <w:pPr>
        <w:spacing w:after="0" w:line="83" w:lineRule="exact"/>
        <w:rPr>
          <w:rFonts w:ascii="Times New Roman" w:cs="Times New Roman" w:eastAsia="Times New Roman" w:hAnsi="Times New Roman"/>
          <w:sz w:val="14"/>
          <w:szCs w:val="14"/>
          <w:color w:val="auto"/>
        </w:rPr>
      </w:pPr>
    </w:p>
    <w:p>
      <w:pPr>
        <w:ind w:left="520" w:right="200" w:hanging="260"/>
        <w:spacing w:after="0" w:line="271"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 results may show our oligonucleotides to be less effective than expected (e.g., a clinical trial could fail to meet its primary endpoint(s)) or to have unacceptable side effects or toxicities;</w:t>
      </w:r>
    </w:p>
    <w:p>
      <w:pPr>
        <w:spacing w:after="0" w:line="39" w:lineRule="exact"/>
        <w:rPr>
          <w:rFonts w:ascii="Times New Roman" w:cs="Times New Roman" w:eastAsia="Times New Roman" w:hAnsi="Times New Roman"/>
          <w:sz w:val="14"/>
          <w:szCs w:val="14"/>
          <w:color w:val="auto"/>
        </w:rPr>
      </w:pPr>
    </w:p>
    <w:p>
      <w:pPr>
        <w:ind w:left="520" w:hanging="260"/>
        <w:spacing w:after="0" w:line="254"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NDA or BLA preparation, discussions with the FDA, a failure to align with the FDA regarding clinical trial endpoints and related approval criteria, an FDA request for additional nonclinical or clinical data, or unexpected safety or manufacturing issues;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costs, formulation issues, pricing or reimbursement issues, or other factors that make our therapeutics uneconomical;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proprietary rights of others and their competing products and technologies that may prevent our therapeutics from being commercialized.</w:t>
      </w:r>
    </w:p>
    <w:p>
      <w:pPr>
        <w:spacing w:after="0" w:line="155"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122"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4"/>
          <w:szCs w:val="14"/>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36" w:lineRule="exact"/>
        <w:rPr>
          <w:sz w:val="20"/>
          <w:szCs w:val="20"/>
          <w:color w:val="auto"/>
        </w:rPr>
      </w:pPr>
    </w:p>
    <w:p>
      <w:pPr>
        <w:ind w:right="220" w:firstLine="509"/>
        <w:spacing w:after="0" w:line="248" w:lineRule="auto"/>
        <w:rPr>
          <w:sz w:val="20"/>
          <w:szCs w:val="20"/>
          <w:color w:val="auto"/>
        </w:rPr>
      </w:pPr>
      <w:r>
        <w:rPr>
          <w:rFonts w:ascii="Times New Roman" w:cs="Times New Roman" w:eastAsia="Times New Roman" w:hAnsi="Times New Roman"/>
          <w:sz w:val="14"/>
          <w:szCs w:val="14"/>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4"/>
          <w:szCs w:val="14"/>
          <w:color w:val="auto"/>
        </w:rPr>
        <w:t>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136"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40" w:lineRule="exact"/>
        <w:rPr>
          <w:sz w:val="20"/>
          <w:szCs w:val="20"/>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access to deposits or other financial assets or the uninsured loss of deposits or other financial assets;</w:t>
      </w:r>
    </w:p>
    <w:p>
      <w:pPr>
        <w:spacing w:after="0" w:line="83" w:lineRule="exact"/>
        <w:rPr>
          <w:rFonts w:ascii="Times New Roman" w:cs="Times New Roman" w:eastAsia="Times New Roman" w:hAnsi="Times New Roman"/>
          <w:sz w:val="14"/>
          <w:szCs w:val="14"/>
          <w:color w:val="auto"/>
        </w:rPr>
      </w:pPr>
    </w:p>
    <w:p>
      <w:pPr>
        <w:ind w:left="520" w:right="80" w:hanging="260"/>
        <w:spacing w:after="0" w:line="271"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or actual breach of statutory, regulatory or contractual obligations, including obligations that require the Company to maintain letters of credit or other credit support arrangements;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cash management arrangements and/or delays in accessing or actual loss of funds subject to cash management arrangements.</w:t>
      </w:r>
    </w:p>
    <w:p>
      <w:pPr>
        <w:spacing w:after="0" w:line="168"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our current and/or planned business operations, and our current or projected financial condition and results of operations.</w:t>
      </w:r>
    </w:p>
    <w:p>
      <w:pPr>
        <w:spacing w:after="0" w:line="148"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4"/>
          <w:szCs w:val="14"/>
          <w:color w:val="auto"/>
        </w:rPr>
        <w:t>In addition, any further deterioration in the macroeconomic economy or financial services industry could lead to losses or defaults by our suppliers, which in turn, could have a material adverse effect on our current and/or planned business operations and our current or projected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collaborator or supplier bankruptcy or insolvency, or the failure of any customer or collaborator to make payments when due, or any breach or default by a customer, collaborator or supplier, or the loss of any significant supplier or collaborator relationships, could result in material losses to the Company and may have a material adverse impact on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U.S. Congress, the Trump administration, or any new administration may make substantial changes to fiscal, tax, and other federal policies that may adversely affect our business.</w:t>
      </w:r>
    </w:p>
    <w:p>
      <w:pPr>
        <w:spacing w:after="0" w:line="1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2017, the U.S. Congress and the Trump administration made substantial changes to U.S. policies, which</w:t>
      </w:r>
    </w:p>
    <w:p>
      <w:pPr>
        <w:spacing w:after="0" w:line="2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included comprehensive corporate and individual tax reform. In addition, the Trump administration called for significant changes to U.S. trade, healthcare, immigration and government regulatory policy. With the transition to the Biden administration in early 2021, changes to U.S.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If we or our collaborators are unable to obtain and maintain patent protection for our therapeutic programs and other proprietary technologies we develop, or if the scope of the patent protection obtained is not sufficiently broad, our competitors could develop and commercialize products and technology similar or identical to ours, and our ability to successfully commercialize our therapeutic programs and other proprietary technologies we may develop may be adversely affected.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Our success depends in large part on our ability and the abilities of our collaborators to obtain and maintain patent protection in the United States and other countries with respect to our therapeutic programs and other proprietary technologies we may develop. In order to protect our proprietary position, we have filed or intend to file patent applications in the United States and abroad relating to our therapeutic programs and other proprietary technologies we may develop; however, there can be no assurance that any such patent applications will issue as granted patents. If we are unable to obtain or maintain patent protection with respect to our therapeutic programs and other proprietary technologies we may develop, our business, financial condition, results of operations and prospects could be materially harmed.</w:t>
      </w:r>
    </w:p>
    <w:p>
      <w:pPr>
        <w:spacing w:after="0" w:line="144"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protection. In addition, we may rely on third-party collaborators or licensors to file patent applications relating to therapeutic programs or proprietary technology that may be developed or in-licensed. We cannot predict whether the patent applications we are currently pursuing, or that we or our third-party collaborators or licensors may pursue, will issue as patents in any particular jurisdiction or whether the claims of any issued patents will provide sufficient protection against competitors or other third parties.</w:t>
      </w:r>
    </w:p>
    <w:p>
      <w:pPr>
        <w:spacing w:after="0" w:line="144"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any of our owned or licensed patents or pending patent applications, or that we or our licensors were the first to file for patent protection of such inventions.</w:t>
      </w:r>
    </w:p>
    <w:p>
      <w:pPr>
        <w:spacing w:after="0" w:line="149"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No consistent policy regarding the scope of claims allowable in patents in the biotechnology field has emerged in the United States, and 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patent applications may not result in patents being issued which protect our therapeutic programs and other proprietary technologies we may develop or which effectively prevent others from commercializing competitive technologies and products.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do not currently have issued patents that cover all of our technology or therapeutic candidates. With respect to both licensed and company-owned intellectual property, we cannot be sure that patents will be granted with respect to any of our pending patent applications or with respect to any patent applications filed by us in the future. Moreover, even issued patents do not provide us with the right to practice our technology in relation to the commercialization of our therapeutics. The area of patent and other intellectual property rights in biotechnology is an evolving one with many risks and uncertainties, and third parties may have blocking patents that could be used to prevent us from commercializing our patented therapeutic candidates and practicing our proprietary technology. Our issued patents, those that may issue in the future and those that we in-license may be challenged, invalidated, or circumvented, which could limit our ability to stop competitors from marketing related products or limit the length of the term of patent protection that we may have for our therapeutic candidates. Furthermore, our competitors may independently develop similar technologies.</w:t>
      </w:r>
    </w:p>
    <w:p>
      <w:pPr>
        <w:spacing w:after="0" w:line="145" w:lineRule="exact"/>
        <w:rPr>
          <w:sz w:val="20"/>
          <w:szCs w:val="20"/>
          <w:color w:val="auto"/>
        </w:rPr>
      </w:pPr>
    </w:p>
    <w:p>
      <w:pPr>
        <w:ind w:right="180" w:firstLine="509"/>
        <w:spacing w:after="0" w:line="242" w:lineRule="auto"/>
        <w:rPr>
          <w:sz w:val="20"/>
          <w:szCs w:val="20"/>
          <w:color w:val="auto"/>
        </w:rPr>
      </w:pPr>
      <w:r>
        <w:rPr>
          <w:rFonts w:ascii="Times New Roman" w:cs="Times New Roman" w:eastAsia="Times New Roman" w:hAnsi="Times New Roman"/>
          <w:sz w:val="14"/>
          <w:szCs w:val="14"/>
          <w:color w:val="auto"/>
        </w:rPr>
        <w:t>Moreover, the claim coverage in a patent application can be significantly reduced before the patent is granted. Even if our patent applications issue as patents, they may not issue in a form that will provide us with any meaningful protection, prevent competitors or other third parties from competing with us or otherwise provide us with any competitive advantage. Any patents issuing from our patent applications may be challenged, narrowed, circumvented or invalidated by third parties. Consequently, we do not know whether our therapeutic programs and other proprietary technology will be protectable or remain protected by valid and enforceable patents. For example, we do not currently have any issued patents covering any of our oligonucleotide therapeutic candidates. The extent to which any patents, if and when granted, will cover our therapeutic candidates is uncertain.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In addition, given the amount of time required for the development, testing and regulatory review of our therapeutic programs and eventual</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therapeutic candidates, patents protecting the therapeutic candidates might expire before or shortly after such therapeutic candidates are commercialized. As a result, our intellectual property may not provide us with sufficient rights to exclude others from commercializing products similar or identical to ours.</w:t>
      </w:r>
    </w:p>
    <w:p>
      <w:pPr>
        <w:spacing w:after="0" w:line="124" w:lineRule="exact"/>
        <w:rPr>
          <w:sz w:val="20"/>
          <w:szCs w:val="20"/>
          <w:color w:val="auto"/>
        </w:rPr>
      </w:pPr>
    </w:p>
    <w:p>
      <w:pPr>
        <w:ind w:right="240" w:firstLine="509"/>
        <w:spacing w:after="0" w:line="244" w:lineRule="auto"/>
        <w:rPr>
          <w:sz w:val="20"/>
          <w:szCs w:val="20"/>
          <w:color w:val="auto"/>
        </w:rPr>
      </w:pPr>
      <w:r>
        <w:rPr>
          <w:rFonts w:ascii="Times New Roman" w:cs="Times New Roman" w:eastAsia="Times New Roman" w:hAnsi="Times New Roman"/>
          <w:sz w:val="14"/>
          <w:szCs w:val="14"/>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(“USPTO”) or in other jurisdictions, or become involved in opposition, derivation, revocation, reexamination, post-grant and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or other similar proceedings challenging our patent rights. An adverse determination in any such submission, proceeding or litigation could reduce the scope of, or invalidate or render unenforceable, our patent rights, allow third parties to commercialize our therapeutic programs and other proprietary technologies we may develop and compete directly with us, without payment to us, or result in our inability to manufacture or commercialize products without infringing third-party patent rights. Such proceedings also may result in substantial cost and require significant time from our scientists and management, even if the eventual outcome is favorable to us.</w:t>
      </w:r>
    </w:p>
    <w:p>
      <w:pPr>
        <w:spacing w:after="0" w:line="143"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In addition, if the breadth or strength of protection provided by our patents and patent applications is threatened, regardless of the outcome, it could dissuade companies from collaborating with us to license, develop or commercialize current or future therapeutic candidates.</w:t>
      </w:r>
    </w:p>
    <w:p>
      <w:pPr>
        <w:spacing w:after="0" w:line="122"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rights to develop and commercialize any therapeutic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spacing w:after="0" w:line="147"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We are and expect to continue to be reliant upon third-party licensors for certain patent and other intellectual property rights that are important or necessary to the development of our therapeutic programs, eventual therapeutic candidates, and proprietary technologies. For example, we rely on a license from Ohio State Innovation Foundation (“OSIF”), an affiliate of The Ohio State University (“OSU”) to certain patent rights and know-how of OSU. Our license agreement with OSIF imposes, and we expect that any future license agreement will impose, specified diligence, milestone payments, royalty payments, commercialization, development and other obligations on us and require us to meet development timelines, or to exercise diligent or commercially reasonable efforts to develop and commercialize licensed products, in order to maintain the licenses. These milestone payments, and other payments associated with the license, will make it less profitable for us to develop and potentially commercialize our therapeutic candidate. If this agreement is terminated, we could lose intellectual property rights that may be important to our business, potentially be liable for damages to the licensor or potentially be prevented from developing and commercializing our therapeutic candidate. Termination of the agreement or reduction or elimination of our rights under the agreement may also potentially result in us being required to negotiate a new or reinstated agreement with less favorable terms, and it is possible that we may be unable to obtain any such additional license at a reasonable cost or on reasonable terms, if at all. In that event, we may be required to spend significant time and resources to redesign our therapeutic candidate or the method for manufacturing it or to develop or license replacement technology, all of which may not be feasible on a technical or commercial basis. For more information on the terms of the license agreement with OSIF, see “Business—Intellectual property— License agreement with The Ohio State University” and Note 10, Commitments and Contingencies, to our consolidated financial statements included elsewhere in this Annual Report.</w:t>
      </w:r>
    </w:p>
    <w:p>
      <w:pPr>
        <w:spacing w:after="0" w:line="148"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If our license agreements are terminated, we may lose our rights to develop and commercialize therapeutic candidates and technology, lose patent protection, experience significant delays in the development and commercialization of our therapeutic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therapeutic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therapeutic candidates we may develop and our technology. Any of the foregoing could have a material adverse effect on our competitive position, business, financial condition, results of operations and prospects.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Disputes may arise regarding intellectual property subject to a licensing agreement, including: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and obligations imposed under the license agreement and other interpretation-related issues;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or our licensors’ ability to obtain, maintain and defend intellectual property and to enforce intellectual property rights against third parties;</w:t>
      </w:r>
    </w:p>
    <w:p>
      <w:pPr>
        <w:spacing w:after="0" w:line="83" w:lineRule="exact"/>
        <w:rPr>
          <w:rFonts w:ascii="Times New Roman" w:cs="Times New Roman" w:eastAsia="Times New Roman" w:hAnsi="Times New Roman"/>
          <w:sz w:val="14"/>
          <w:szCs w:val="14"/>
          <w:color w:val="auto"/>
        </w:rPr>
      </w:pPr>
    </w:p>
    <w:p>
      <w:pPr>
        <w:ind w:left="520" w:right="60" w:hanging="260"/>
        <w:spacing w:after="0" w:line="271"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our technology, therapeutic candidates and processes infringe, misappropriate or otherwise violate the intellectual property of the licensor that is not subject to the license agreement;</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sublicensing of patent and other intellectual property rights under our license agreements;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development, regulatory, commercialization, financial or other obligations under the license agreement and what activities satisfy those diligence obligations;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inventorship and ownership of inventions and know-how resulting from the joint creation or use of intellectual property by our current or future licensors and us and our partners;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168"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In addition, any current or future license agreements to which we are a party, including our license agreement with OSIF,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therapeutic candidates and technology. Any of the foregoing could have a material adverse effect on our business, financial condition, results of operations and prospects.</w:t>
      </w:r>
    </w:p>
    <w:p>
      <w:pPr>
        <w:spacing w:after="0" w:line="148"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4"/>
          <w:szCs w:val="14"/>
          <w:color w:val="auto"/>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therapeutic candidates we may develop in the future.</w:t>
      </w:r>
    </w:p>
    <w:p>
      <w:pPr>
        <w:spacing w:after="0" w:line="141" w:lineRule="exact"/>
        <w:rPr>
          <w:sz w:val="20"/>
          <w:szCs w:val="20"/>
          <w:color w:val="auto"/>
        </w:rPr>
      </w:pPr>
    </w:p>
    <w:p>
      <w:pPr>
        <w:ind w:right="320" w:firstLine="509"/>
        <w:spacing w:after="0" w:line="248" w:lineRule="auto"/>
        <w:rPr>
          <w:sz w:val="20"/>
          <w:szCs w:val="20"/>
          <w:color w:val="auto"/>
        </w:rPr>
      </w:pPr>
      <w:r>
        <w:rPr>
          <w:rFonts w:ascii="Times New Roman" w:cs="Times New Roman" w:eastAsia="Times New Roman" w:hAnsi="Times New Roman"/>
          <w:sz w:val="14"/>
          <w:szCs w:val="14"/>
          <w:color w:val="auto"/>
        </w:rPr>
        <w:t>Moreover, some of our in-licensed patent and other intellectual property rights may in the future be subject to third 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spacing w:after="0" w:line="141"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therapeutic candidates we may develop that are the subject of such licensed rights could be adversely affected and we may not be able to prevent competitors or other third parties from making, using and selling competing products.</w:t>
      </w:r>
    </w:p>
    <w:p>
      <w:pPr>
        <w:spacing w:after="0" w:line="14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Furthermore, our owned and in-licensed patent rights may be subject to a reservation of rights by one or more third parties, including the U.S. government. Pursuant to the Bayh-Dole Act of 1980, the U.S. government has certain rights in inventions developed with government funding. These U.S. government rights include a non-exclusive, non-transferable, irrevocable worldwide license to use inventions for any governmental purpose.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 In addition, the U.S. government has the right, under certain limited circumstances, to require us to grant exclusive, partially exclusive, or non-exclusive licenses to any of these inventions to a third party if it determines that: (1) adequate steps have not been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If the U.S. government decides to exercise these rights, it is not required to engage us as its contractor in connection with doing so. The U.S. government’s rights may also permit it to disclose the funded inventions and technology, which may include our confidential information, to third parties and to exercise march-in rights to use or allow third parties to use the technology that was developed using U.S. government funding.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of the foregoing could harm our business, financial condition, results of operations and prospects significantly.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w:t>
      </w:r>
    </w:p>
    <w:p>
      <w:pPr>
        <w:spacing w:after="0" w:line="15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Filing, prosecuting, maintaining, enforcing and defending patents and other intellectual property rights on our technology and any therapeutic candidates we may develop in all jurisdictions throughout the world would be prohibitively expensive, and accordingly, our intellectual property rights in some jurisdictions outside the United States could be less extensive than those in the United States. In some cases, we or our licensors may not be able to obtain patent or other intellectual property protection for certain technology and therapeutic candidates outside the United States. In addition, the laws of some foreign jurisdictions do not protect intellectual property rights to the same extent as federal and state laws in the United States. Consequently, we and our licensors may not be able to obtain issued patents or other intellectual property rights covering any therapeutic candidates we may develop and our technology in all jurisdictions outside the United States and, as a result, may not be able to prevent third parties from practicing our and our licensors’ inventions in all countries outside the United States, or from selling or importing products made using our inventions in and into the United States or other jurisdictions. Third parties may use our technologies in jurisdictions where we and our licensors have not pursued and obtained patent or other intellectual property protection to develop their own products and, further, may export otherwise infringing, misappropriating or violating products to territories where we have patent or other intellectual property protection, but enforcement is not as strong as that in the United States. These products may compete with any therapeutic candidates we may develop and our technology and our or our licensors’ patents or other intellectual property rights may not be effective or sufficient to prevent them from competing.</w:t>
      </w:r>
    </w:p>
    <w:p>
      <w:pPr>
        <w:spacing w:after="0" w:line="145"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Additionally, many companies have encountered significant problems in protecting and defending intellectual property rights in foreign jurisdictions. The legal systems of certain jurisdictions, particularly certain developing countries, do not favor the enforcement of patents, trade secrets and other intellectual property protection, particularly those relating to biotechnology and pharmaceutical products, which could make it difficult for us to stop the infringement, misappropriation or other violation of our patent and other intellectual property rights or marketing of competing products in violation of our intellectual property rights generally. For example, an April 2019 report from the Office of the United States Trade Representative identified a number of countries, including China, Russia, Argentina, Chile and India, where challenges to the procurement and enforcement of patent rights have been reported. Proceedings to enforce our or our licensors’ patent and other intellectual property rights in foreign jurisdictions could result in substantial costs and divert our efforts and attention from other aspects of our business, could put our patent and other intellectual property rights at risk of being invalidated or interpreted narrowly and our patent applications at risk of not issuing and could provoke third parties to assert claims against us. We or our licensors may not prevail in any lawsuits that we or our licensors initiate and, if we or our licensors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ultimately be sought on a country-by-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country basis, which is an expensive and time-consuming process with uncertain outcomes. Accordingly, we may choose not to seek patent protection in certain countries, and we will not have the benefit of patent protection in such countries.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Issued patents covering any therapeutic candidates we may develop could be found invalid or unenforceable if challenged in court or before administrative bodies in the United States or abroad.</w:t>
      </w:r>
    </w:p>
    <w:p>
      <w:pPr>
        <w:spacing w:after="0" w:line="170"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Our owned and licensed patent rights may be subject to priority, validity, inventorship and enforceability disputes. If we or our licensors are unsuccessful in any of these proceedings, such patent rights may be narrowed, invalidated or held unenforceable, we may be required to obtain licenses from third parties, which may not be available on commercially reasonable terms or at all, or we may be required to cease the development, manufacture and commercialization of one or more of our therapeutic candidates. Any of the foregoing could have a material adverse effect on our business, financial condition, results of operations and prospects.</w:t>
      </w:r>
    </w:p>
    <w:p>
      <w:pPr>
        <w:spacing w:after="0" w:line="141"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 xml:space="preserve">If we or one of our licensors initiate legal proceedings against a third party to enforce a patent covering any of any therapeutic candidates we may develop or our technology, the defendant could counterclaim that the patent covering the therapeutic candidate or technology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interference proceedings, derivation proceedings, post 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and equivalent proceedings such as opposition, invalidation and revocation proceedings in foreign jurisdictions. Such proceedings could result in the revocation or cancellation of or amendment to our patents in such a way that they no longer cover any therapeutic candidates we may develop or our technology or no longer prevent third parties from competing with any therapeutic candidates we may develop or our technology. The outcome following legal assertions of invalidity and unenforceability is unpredictable. Defense of these claims, regardless of their merit, would involve substantial litigation expense and would be a distraction to management and other employees.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one or more of our therapeutic candidates or technology. Such a loss of patent protection could have a material adverse effect on our business, financial condition, results of operations and prospects.</w:t>
      </w:r>
    </w:p>
    <w:p>
      <w:pPr>
        <w:spacing w:after="0" w:line="294"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22"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In certain circumstances, we rely on our licensing partners to pay these fees due to U.S. and non-U.S. patent agencies. The USPTO and various non-U.S. government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w:t>
      </w:r>
    </w:p>
    <w:p>
      <w:pPr>
        <w:spacing w:after="0" w:line="14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Changes in patent law in the United States or worldwide could diminish the value of patents in general, thereby impairing our ability to protect any therapeutic candidates we may develop and our technology.</w:t>
      </w:r>
    </w:p>
    <w:p>
      <w:pPr>
        <w:spacing w:after="0" w:line="12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Changes in either the patent laws or interpretation of patent laws in the United States and worldwide, including patent reform legislation such as the Leahy-Smith America Invents Act (the “Leahy-Smith Act”), could increase the uncertainties and costs surrounding the prosecution of any owned or in-licensed patent applications and the maintenance, enforcement or defense of any current in-licensed issued patents and issued patents we may own or in-license in the future.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 xml:space="preserve">including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in-licensed issued patents and issued patents we may own or in-license in the future, all of which could have a material adverse effect on our business, financial condition, results of operations and prospects. Since patent applications in the United States and most other countries are confidential for a period of time after filing or until issuance, we cannot be certain that we or our licensors were the first to either (i) file any patent application related to our therapeutic candidates or (ii) invent any of the inventions claimed in our or our licensor’s patents or patent applications.</w:t>
      </w:r>
    </w:p>
    <w:p>
      <w:pPr>
        <w:spacing w:after="0" w:line="146"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 xml:space="preserve">The Leahy-Smith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unpatentable even though the same evidence would be insufficient to invalidate the claim if first presented in a district court action. Accordingly, a third party may attempt to use the USPTO procedures to review patentability of our patent claims that would not have been invalidated if first challenged by the third party as a defendant in a district court action. Therefore, the Leahy-Smith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5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As one example, in the case </w:t>
      </w:r>
      <w:r>
        <w:rPr>
          <w:rFonts w:ascii="Times New Roman" w:cs="Times New Roman" w:eastAsia="Times New Roman" w:hAnsi="Times New Roman"/>
          <w:sz w:val="14"/>
          <w:szCs w:val="14"/>
          <w:i w:val="1"/>
          <w:iCs w:val="1"/>
          <w:color w:val="auto"/>
        </w:rPr>
        <w:t>Assoc. for Molecular Pathology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 Myriad Genetics, Inc.</w:t>
      </w:r>
      <w:r>
        <w:rPr>
          <w:rFonts w:ascii="Times New Roman" w:cs="Times New Roman" w:eastAsia="Times New Roman" w:hAnsi="Times New Roman"/>
          <w:sz w:val="14"/>
          <w:szCs w:val="14"/>
          <w:color w:val="auto"/>
        </w:rPr>
        <w:t>, the U.S. Supreme Court held that certain claims to DNA molecules are not patentable simply because they have been isolated from surrounding material. Moreover, in 2012,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patent-ineligible subject matter. Accordingly, in view of the guidance memo, there can be no assurance that claims in our patent rights covering any therapeutic candidates we may develop or our technology will be held by the USPTO or equivalent foreign patent offices or by courts in the United States or in foreign jurisdictions to cover patentable subject matter.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do not obtain patent term extension and data exclusivity for any therapeutic candidates we may develop, our business may be harmed.</w:t>
      </w:r>
    </w:p>
    <w:p>
      <w:pPr>
        <w:spacing w:after="0" w:line="170"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Depending upon the timing, duration and specifics of any FDA marketing approval of any therapeutic candidates we may develop and our technology, one or more of our U.S. patents that we license or may own in the future may be eligible for limited patent term extension under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product, a method for using it or a method for manufacturing it may be extended. The application for the extension must be submitted prior to the expiration of the patent for which extension is sought and within 60 days of FDA approval. A patent that covers multiple products for which approval is sought can only be extended in connection with one of the approvals.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obtain approval of competing</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products following our patent expiration, and our revenue could be reduced. Any of the foregoing could have a material adverse effect on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or ownership of our patent and other intellectual property rights.</w:t>
      </w:r>
    </w:p>
    <w:p>
      <w:pPr>
        <w:spacing w:after="0" w:line="17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We or our licensors may be subject to claims that former employees, collaborators or other third parties have an interest in our owned or in-licensed patent rights, trade secrets or other intellectual property as an inventor or co-inventor. For example, we or our licensors may have inventorship disputes arise from conflicting obligations of employees, consultants or others who are involved in developing our therapeutic candidates or technology. Litigation may be necessary to defend against these and other claims challenging inventorship or our or our licensors’ ownership of our owned or in-licensed patent rights,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therapeutic candidates we may develop or our technology.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170"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4"/>
          <w:szCs w:val="14"/>
          <w:color w:val="auto"/>
        </w:rPr>
        <w:t>In addition to seeking patent protection for our therapeutic programs and other proprietary technologies we may develop, we also rely on trade secrets and confidentiality agreements to protect our unpatented know-how, technology, and other proprietary information and to maintain our competitive position. With respect to our EEV Platform and development programs, we consider trade secrets and know-how to be one of our important sources of intellectual property, including our extensive knowledge of oligonucleotide drug delivery techniques and antibody conjugation. Trade secrets and know-how can be difficult to protect. In particular, the trade secrets and know-how in connection with our EEV Platform,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4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44"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4"/>
          <w:szCs w:val="14"/>
          <w:color w:val="auto"/>
        </w:rPr>
        <w:t>We may be subject to claims that third parties have an ownership interest in our trade secrets. For example, we may have disputes arise from conflicting obligations of our employees, consultants or others who are involved in developing our therapeutic candidate.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necessary rights to any therapeutic candidate we may develop through acquisitions and in-licenses.</w:t>
      </w:r>
    </w:p>
    <w:p>
      <w:pPr>
        <w:spacing w:after="0" w:line="170"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14"/>
          <w:szCs w:val="14"/>
          <w:color w:val="auto"/>
        </w:rPr>
        <w:t>We currently own or exclusively license intellectual property rights covering certain aspects of our therapeutic programs. Other pharmaceutical companies and academic institutions may also have filed or are planning to file patent applications potentially relevant to our business. In order to avoid infringing these third-party patents, we may find it necessary or prudent to obtain licenses to such patents from such third-party intellectual property holders. However, we may be unable to secure such licenses or otherwise acquire or in-license any compositions, methods of use, processes or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color w:val="auto"/>
        </w:rPr>
        <w:t>other intellectual property rights from third parties that we identify as necessary for our therapeutic programs and other proprietary technologies we may develop. The licensing or acquisition of third-party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therapeutic candidate, which could have a material adverse effect on our business, financial condition, results of operations and prospects.</w:t>
      </w:r>
    </w:p>
    <w:p>
      <w:pPr>
        <w:spacing w:after="0" w:line="145"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22"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4"/>
          <w:szCs w:val="14"/>
          <w:color w:val="auto"/>
        </w:rPr>
        <w:t>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w:t>
      </w:r>
    </w:p>
    <w:p>
      <w:pPr>
        <w:spacing w:after="0" w:line="147"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4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Third-party claims of intellectual property infringement, misappropriation or other violations against us or our collaborators may prevent or delay the development and commercialization of our therapeutic programs and other proprietary technologies we may develop.</w:t>
      </w:r>
    </w:p>
    <w:p>
      <w:pPr>
        <w:spacing w:after="0" w:line="12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 xml:space="preserve">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As discussed above, recently, due to changes in U.S. law referred to as patent reform, new procedures including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and post-grant review have also been implemented. As stated above, this reform adds uncertainty to the possibility of challenge to our patents in the future.</w:t>
      </w:r>
    </w:p>
    <w:p>
      <w:pPr>
        <w:spacing w:after="0" w:line="133"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4"/>
          <w:szCs w:val="14"/>
          <w:color w:val="auto"/>
        </w:rPr>
        <w:t>Numerous U.S. and foreign issued patents and pending patent applications owned by third parties exist in the fields in which we are commercializing or plan to commercialize our therapeutic programs and in which we are developing other proprietary technologies. As the biotechnology and pharmaceutical industries expand and more patents are issued, the risk increases that our therapeutic programs and commercializing activities may give rise to claims of infringement of the patent rights of others. We are aware of third party patents that may cover certain aspects of therapeutic candidates that we are developing or may develop. We cannot assure our stockholders that our therapeutic programs and other proprietary technologies we may develop will not infringe existing or future patents owned by third parties. We may not be aware of patents that have already been issued and that a third party, for example, a competitor in the fields in which we are developing our therapeutic programs, might assert as infringed by us. It is also possible that patents owned by third parties of which we are aware, but which we do not believe we infringe or that we believe we have valid defenses to any claims of patent infringement, could be found to be infringed 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planned products. As such, we review third-party patents in the relevant pharmaceutical markets. In addition, because patent applications can take many years to issue, there may be currently pending patent applications that may later result in issued patents that we may infringe.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4"/>
          <w:szCs w:val="14"/>
          <w:color w:val="auto"/>
        </w:rPr>
        <w:t>In the event that any third 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In this case, the holders of such patents may be able to block our ability to commercialize the infringing products or technologies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the infringing products or technologies or such commercialization efforts may be significantly delayed, which could in turn significantly harm our business.</w:t>
      </w:r>
    </w:p>
    <w:p>
      <w:pPr>
        <w:spacing w:after="0" w:line="147"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have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In that event, we would be unable to further develop and commercialize our therapeutic candidate or technologies, which could harm our business significantly. Further, we cannot predict whether any required license would be available at all or whether it would be available on commercially reasonable terms. In the event that we could not obtain a license, we may be unable to further develop our therapeutic candidate and commercialize our product, if approved, which could harm our business significantly. Even if we are able to obtain a license, the license would likely obligate us to pay license fees or royalties or both, and the rights granted to us might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w:t>
      </w:r>
    </w:p>
    <w:p>
      <w:pPr>
        <w:spacing w:after="0" w:line="149" w:lineRule="exact"/>
        <w:rPr>
          <w:sz w:val="20"/>
          <w:szCs w:val="20"/>
          <w:color w:val="auto"/>
        </w:rPr>
      </w:pPr>
    </w:p>
    <w:p>
      <w:pPr>
        <w:ind w:right="60" w:firstLine="509"/>
        <w:spacing w:after="0" w:line="248" w:lineRule="auto"/>
        <w:rPr>
          <w:sz w:val="20"/>
          <w:szCs w:val="20"/>
          <w:color w:val="auto"/>
        </w:rPr>
      </w:pPr>
      <w:r>
        <w:rPr>
          <w:rFonts w:ascii="Times New Roman" w:cs="Times New Roman" w:eastAsia="Times New Roman" w:hAnsi="Times New Roman"/>
          <w:sz w:val="14"/>
          <w:szCs w:val="14"/>
          <w:color w:val="auto"/>
        </w:rPr>
        <w:t>Engaging in litigation defending against third parties alleging infringement of patent and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could impair our ability to compete in the marketplace. The occurrence of any of the foregoing could have a material adverse effect on our business, financial condition or results of operations.</w:t>
      </w:r>
    </w:p>
    <w:p>
      <w:pPr>
        <w:spacing w:after="0" w:line="141" w:lineRule="exact"/>
        <w:rPr>
          <w:sz w:val="20"/>
          <w:szCs w:val="20"/>
          <w:color w:val="auto"/>
        </w:rPr>
      </w:pPr>
    </w:p>
    <w:p>
      <w:pPr>
        <w:ind w:right="80" w:firstLine="509"/>
        <w:spacing w:after="0"/>
        <w:rPr>
          <w:sz w:val="20"/>
          <w:szCs w:val="20"/>
          <w:color w:val="auto"/>
        </w:rPr>
      </w:pPr>
      <w:r>
        <w:rPr>
          <w:rFonts w:ascii="Times New Roman" w:cs="Times New Roman" w:eastAsia="Times New Roman" w:hAnsi="Times New Roman"/>
          <w:sz w:val="14"/>
          <w:szCs w:val="14"/>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If we do not prevail in the patent proceedings the third parties may assert a claim of patent infringement directed at our therapeutic candidates.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become involved in lawsuits to protect or enforce our patents and other intellectual property rights, which could be expensive, time-consuming and unsuccessful.</w:t>
      </w:r>
    </w:p>
    <w:p>
      <w:pPr>
        <w:spacing w:after="0" w:line="17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Third parties, such as a competitor, may infringe our patent rights. In an infringement proceeding, a court may decide that a patent owned by us is invalid or unenforceable or may refuse to stop the other party from using the invention at issue on the grounds that the patent does not cover the technology in question. In addition, our patent rights may become involved in inventorship, priority or validity disputes. To counter or defend against such claims can be expensive and time-consuming. An adverse result in any litigation proceeding could put our patent rights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44" w:lineRule="exact"/>
        <w:rPr>
          <w:sz w:val="20"/>
          <w:szCs w:val="20"/>
          <w:color w:val="auto"/>
        </w:rPr>
      </w:pPr>
    </w:p>
    <w:p>
      <w:pPr>
        <w:ind w:right="260" w:firstLine="509"/>
        <w:spacing w:after="0" w:line="271" w:lineRule="auto"/>
        <w:rPr>
          <w:sz w:val="20"/>
          <w:szCs w:val="20"/>
          <w:color w:val="auto"/>
        </w:rPr>
      </w:pPr>
      <w:r>
        <w:rPr>
          <w:rFonts w:ascii="Times New Roman" w:cs="Times New Roman" w:eastAsia="Times New Roman" w:hAnsi="Times New Roman"/>
          <w:sz w:val="14"/>
          <w:szCs w:val="14"/>
          <w:color w:val="auto"/>
        </w:rPr>
        <w:t>Even if resolved in our favor, litigation or other legal proceedings relating to intellectual property claims may cause us to incur significant expenses and could distract our personnel from their normal responsibilities. In addition, there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therapeutic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or equivalent body. Furthermore, in many countries, owning and maintaining a trademark registration may not provide an adequate defense against a subsequent infringement claim asserted by the owner of a senior trademark.</w:t>
      </w:r>
    </w:p>
    <w:p>
      <w:pPr>
        <w:spacing w:after="0" w:line="149"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Furthermore, assertions of potential trademark infringement or possible market confusion may lead to coexistence agreements in order to avoid costly disputes related to our trademarks. As a consequence, we may be forced to amend the list of goods and services covered by our trademarks more narrowly than as originally filed and intended, which could adversely affect our ability to establish name recognition. For example, the description of goods and services for our Entrada trademark was amended twice to settle potential disputes with two other biopharmaceutical companies as part of coexistence agreements.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w:t>
      </w:r>
    </w:p>
    <w:p>
      <w:pPr>
        <w:spacing w:after="0" w:line="17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0" w:lineRule="exact"/>
        <w:rPr>
          <w:sz w:val="20"/>
          <w:szCs w:val="20"/>
          <w:color w:val="auto"/>
        </w:rPr>
      </w:pPr>
    </w:p>
    <w:p>
      <w:pPr>
        <w:ind w:left="520" w:right="300" w:hanging="260"/>
        <w:spacing w:after="0" w:line="271" w:lineRule="auto"/>
        <w:tabs>
          <w:tab w:leader="none" w:pos="516"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products that are similar to our therapeutic candidate or utilize similar technology but that are not covered by the claims of the patents that we license or may own;</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not have been the first to make the inventions covered by our current or future patent applications;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might not have been the first to file patent applications covering our inventions;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intellectual property rights;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current or future patent applications will not lead to issued patents;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patent issuing from our current or future patent applications may be held invalid or unenforceable, including as a result of legal challenges by our competitors or other third parties;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right="360" w:hanging="260"/>
        <w:spacing w:after="0" w:line="271"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9" w:lineRule="exact"/>
        <w:rPr>
          <w:rFonts w:ascii="Times New Roman" w:cs="Times New Roman" w:eastAsia="Times New Roman" w:hAnsi="Times New Roman"/>
          <w:sz w:val="14"/>
          <w:szCs w:val="14"/>
          <w:color w:val="auto"/>
        </w:rPr>
      </w:pPr>
    </w:p>
    <w:p>
      <w:pPr>
        <w:ind w:left="520" w:right="140" w:hanging="260"/>
        <w:spacing w:after="0" w:line="271"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engaged in scientific collaborations in the past and will continue to do so in the future and our collaborators may develop adjacent or competing products that are outside the scope of our patents;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of others may harm our business; and</w:t>
      </w:r>
    </w:p>
    <w:p>
      <w:pPr>
        <w:spacing w:after="0" w:line="83" w:lineRule="exact"/>
        <w:rPr>
          <w:rFonts w:ascii="Times New Roman" w:cs="Times New Roman" w:eastAsia="Times New Roman" w:hAnsi="Times New Roman"/>
          <w:sz w:val="14"/>
          <w:szCs w:val="14"/>
          <w:color w:val="auto"/>
        </w:rPr>
      </w:pPr>
    </w:p>
    <w:p>
      <w:pPr>
        <w:ind w:left="520" w:right="120" w:hanging="260"/>
        <w:spacing w:after="0" w:line="271"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file for patent protection in order to maintain certain trade secrets or know-how, and a third party may subsequently file a patent application covering such intellectual property.</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occurrence of any of these events would have a material adverse effect on our business, financial condition, results of operations and prospects.</w:t>
      </w:r>
    </w:p>
    <w:p>
      <w:pPr>
        <w:spacing w:after="0" w:line="16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partially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22" w:lineRule="exact"/>
        <w:rPr>
          <w:sz w:val="20"/>
          <w:szCs w:val="20"/>
          <w:color w:val="auto"/>
        </w:rPr>
      </w:pPr>
    </w:p>
    <w:p>
      <w:pPr>
        <w:ind w:right="260" w:firstLine="509"/>
        <w:spacing w:after="0" w:line="246" w:lineRule="auto"/>
        <w:rPr>
          <w:sz w:val="20"/>
          <w:szCs w:val="20"/>
          <w:color w:val="auto"/>
        </w:rPr>
      </w:pPr>
      <w:r>
        <w:rPr>
          <w:rFonts w:ascii="Times New Roman" w:cs="Times New Roman" w:eastAsia="Times New Roman" w:hAnsi="Times New Roman"/>
          <w:sz w:val="14"/>
          <w:szCs w:val="14"/>
          <w:color w:val="auto"/>
        </w:rPr>
        <w:t>We are dependent, in part, on patents, know-how and proprietary technology licensed from others. Our licenses to such patents, know-how and proprietary technology may not provide exclusive rights in all relevant fields of use and in all territories in which we may wish to develop or commercialize our therapeutics in the future. The agreements under which we license patents, know-how and proprietary technology from others are complex, and certain provisions in such agreements may be susceptible to multiple interpretations.</w:t>
      </w:r>
    </w:p>
    <w:p>
      <w:pPr>
        <w:spacing w:after="0" w:line="142"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If we fail to comply with obligations under any license agreements, our licensors may have the right to terminate our license, in which event we would not be able to develop or market technology or therapeutic candidates covered by the intellectual property licensed under these agreements. In addition, we may need to obtain additional licenses from our existing licensors and others to advance our research or allow commercialization of therapeutic candidates we may develop. It is possible that we may be unable to obtain any additional licenses at a reasonable cost or on reasonable terms, if at all. In either event, we may be required to expend significant time and resources to redesign our technology, therapeutic candidates, or the methods for manufacturing them or to develop or license replacement technology, all of which may not be feasible on a technical or commercial basis. If we are unable to do so, we may be unable to develop or commercialize the affected technology or therapeutic candidates.</w:t>
      </w:r>
    </w:p>
    <w:p>
      <w:pPr>
        <w:spacing w:after="0" w:line="143"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If we or our licensors fail to adequately protect our licensed intellectual property, our ability to commercialize therapeutic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w:t>
      </w:r>
    </w:p>
    <w:p>
      <w:pPr>
        <w:spacing w:after="0" w:line="144"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4"/>
          <w:szCs w:val="14"/>
          <w:color w:val="auto"/>
        </w:rPr>
        <w:t>In addition, the resolution of any contract interpretation disagreement that may arise could narrow what we believe to be the scope of our rights to the relevant patents, know-how and proprietary technology, or increase what we believe to be our financial or other obligations under the relevant agreement. Disputes that may arise between us and our licensors regarding intellectual property subject to a license agreement could include disputes regarding:</w:t>
      </w:r>
    </w:p>
    <w:p>
      <w:pPr>
        <w:spacing w:after="0" w:line="57" w:lineRule="exact"/>
        <w:rPr>
          <w:sz w:val="20"/>
          <w:szCs w:val="20"/>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 and other rights to third parties under collaborative development relationships;</w:t>
      </w:r>
    </w:p>
    <w:p>
      <w:pPr>
        <w:spacing w:after="0" w:line="83" w:lineRule="exact"/>
        <w:rPr>
          <w:rFonts w:ascii="Times New Roman" w:cs="Times New Roman" w:eastAsia="Times New Roman" w:hAnsi="Times New Roman"/>
          <w:sz w:val="14"/>
          <w:szCs w:val="14"/>
          <w:color w:val="auto"/>
        </w:rPr>
      </w:pPr>
    </w:p>
    <w:p>
      <w:pPr>
        <w:ind w:left="520" w:right="300" w:hanging="260"/>
        <w:spacing w:after="0" w:line="271"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therapeutic candidates and what activities satisfy those diligence obligations;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our licensors and us.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prevent or impair our ability to maintain our current licensing arrangements on acceptable terms, we may be unable to successfully develop and commercialize the affected technology or therapeutic candidates. As a result, any termination of or disputes over our intellectual property licenses could result in the loss of our ability to develop and commercialize our EEV Platform, or EEV products, or we could lose other significant rights, any of which could have a material adverse effect on our business, financial condition, results of operations and prospects.</w:t>
      </w:r>
    </w:p>
    <w:p>
      <w:pPr>
        <w:spacing w:after="0" w:line="141"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For example, our agreements with certain of our third-party research partners provide that improvements developed in the course of our relationship may be owned solely by either us or our third-party research partner, or jointly between us and the third party. If we determine that rights to such improvements owned solely by a research partner or other third party with whom we collaborate are necessary to commercialize our therapeutic candidates or maintain our competitive advantage, we may need to obtain a license from such third party in order to use the improvements and continue developing, manufacturing or marketing our therapeutic candidates. We may not be able to obtain such a license on an exclusive basis, on commercially reasonable terms, or at all, which could prevent us from commercializing our therapeutic candidates or allow our competitors or others the chance to access technology that is important to our business. We also may need the cooperation of any co-owners of our intellectual property in order to enforce such intellectual property against third parties, and such cooperation may not be provided to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or maintaining necessary rights to product components and processes for our development portfolio through acquisitions and in-licenses.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growth of our business may depend in part on our ability to acquire, in-license or use third-party proprietary rights. For example, our therapeutic candidates may require specific</w:t>
      </w:r>
    </w:p>
    <w:p>
      <w:pPr>
        <w:spacing w:after="0" w:line="1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formulations to work effectively and efficiently, we may develop therapeutic candidates containing our compounds and pre-existing pharmaceutical compounds, or we may be required by the FDA or comparable foreign regulatory authorities to provide a companion diagnostic test or tests with our therapeutic candidates, any of which could require us to obtain rights to use intellectual property held by third parties. In addition, with respect to any patents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50"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41"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4"/>
          <w:szCs w:val="14"/>
          <w:color w:val="auto"/>
        </w:rPr>
        <w:t>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therapeutic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therapeutic candidates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w:t>
      </w:r>
    </w:p>
    <w:p>
      <w:pPr>
        <w:spacing w:after="0" w:line="14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our collaborators and our service providers may be subject to a variety of privacy and data security laws and contractual obligations, which could increase compliance costs and our failure to comply with them could subject us to potentially significant fines or penalties and otherwise harm our business.</w:t>
      </w:r>
    </w:p>
    <w:p>
      <w:pPr>
        <w:spacing w:after="0" w:line="122" w:lineRule="exact"/>
        <w:rPr>
          <w:sz w:val="20"/>
          <w:szCs w:val="20"/>
          <w:color w:val="auto"/>
        </w:rPr>
      </w:pPr>
    </w:p>
    <w:p>
      <w:pPr>
        <w:ind w:right="200" w:firstLine="509"/>
        <w:spacing w:after="0" w:line="271" w:lineRule="auto"/>
        <w:rPr>
          <w:sz w:val="20"/>
          <w:szCs w:val="20"/>
          <w:color w:val="auto"/>
        </w:rPr>
      </w:pPr>
      <w:r>
        <w:rPr>
          <w:rFonts w:ascii="Times New Roman" w:cs="Times New Roman" w:eastAsia="Times New Roman" w:hAnsi="Times New Roman"/>
          <w:sz w:val="14"/>
          <w:szCs w:val="14"/>
          <w:color w:val="auto"/>
        </w:rPr>
        <w:t>We maintain a large quantity of sensitive information, including confidential business and patient health information in connection with our preclinical studies, and are subject to laws and regulations governing the privacy and security of such information. The global data protection landscape is rapidly evolving, and we may be affected by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4"/>
          <w:szCs w:val="14"/>
          <w:color w:val="auto"/>
        </w:rPr>
        <w:t>subject to new, amended or existing laws and regulations in the future, including as our operations continue to expand or if we operate in foreign jurisdictions. These laws and regulations may be subject to differing interpretations, which adds to the complexity of processing personal data. Guidance on implementation and compliance practices are often updated or otherwise revised.</w:t>
      </w:r>
    </w:p>
    <w:p>
      <w:pPr>
        <w:spacing w:after="0" w:line="124"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4"/>
          <w:szCs w:val="14"/>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cybersecurity incident notification laws and federal and state consumer protection laws. Each of these laws is subject to varying interpretations and constantly evolving. By way of example, at the federal level, HIPAA imposes privacy and security requirements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HHS, affected individuals and if the breach is large enough, the media. Entities that are found to be in violation of HIPAA may be subject to significant civil, criminal and administrative fines and penalties and/or additional reporting and oversight obligations. Even when HIPAA does not apply, failing to take appropriate steps to keep consumers’ personal information secure may constitute unfair acts or practices in or affecting commerce in violation of Section 5(a) of the Federal Trade Commission Act (“FTCA”), 15 U.S.C § 45(a).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66"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Regulators and legislators in the U.S. are also increasingly scrutinizing and restricting certain personal data transfers and transactions involving foreign countries. For example, the Biden Administration’s executive order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6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(“CCPA”), which went into effect on January 1, 2020, established a comprehensive privacy framework for covered businesses by creating an expanded definition of personal information, establishing new data privacy rights for consumers in the State of California, and imposing special rules on the collection of consumer data from minors. The CCPA also provided for civil penalties for violations of the act, as well as a private right of action for data breaches, which is expected to increase the risk of future data breach litigation.</w:t>
      </w:r>
    </w:p>
    <w:p>
      <w:pPr>
        <w:spacing w:after="0" w:line="144" w:lineRule="exact"/>
        <w:rPr>
          <w:sz w:val="20"/>
          <w:szCs w:val="20"/>
          <w:color w:val="auto"/>
        </w:rPr>
      </w:pPr>
    </w:p>
    <w:p>
      <w:pPr>
        <w:jc w:val="both"/>
        <w:ind w:right="120" w:firstLine="509"/>
        <w:spacing w:after="0" w:line="254" w:lineRule="auto"/>
        <w:rPr>
          <w:sz w:val="20"/>
          <w:szCs w:val="20"/>
          <w:color w:val="auto"/>
        </w:rPr>
      </w:pPr>
      <w:r>
        <w:rPr>
          <w:rFonts w:ascii="Times New Roman" w:cs="Times New Roman" w:eastAsia="Times New Roman" w:hAnsi="Times New Roman"/>
          <w:sz w:val="14"/>
          <w:szCs w:val="14"/>
          <w:color w:val="auto"/>
        </w:rPr>
        <w:t>Further, a ballot initiative, the California Privacy Rights Act (“CPRA”), was passed by California voters on November 3, 2020 and as of January 1, 2023 has imposed additional obligations on companies covered by the legislation. The CPRA significantly modified the CCPA, including by creating additional obligations with respect to the processing and storing of personal information and by expanding consumers' rights with respect to certain sensitive information.</w:t>
      </w:r>
    </w:p>
    <w:p>
      <w:pPr>
        <w:spacing w:after="0" w:line="14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The CCPA and CPRA mark the beginning of a trend toward more stringent privacy legislation in the U.S.Similar laws have been passed in numerous other states. Other states have proposed new privacy laws which,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While these comprehensive consumer state privacy laws incorporate many similar concepts as the CCPA, there are also several key differences in the scope, application, and enforcement of these laws that will change the operational practices of regulated businesses. These comprehensive privacy laws will, among other things, impact how regulated businesses collect and process personal sensitive data, conduct data protection assessments, transfer personal data to affiliates, and respond to consumer rights requests.</w:t>
      </w:r>
    </w:p>
    <w:p>
      <w:pPr>
        <w:spacing w:after="0" w:line="16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4"/>
          <w:szCs w:val="14"/>
          <w:color w:val="auto"/>
        </w:rPr>
        <w:t>Furthermore, in addition to comprehensive privacy laws, certain states have enacted laws which focus on certain specific types of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Further, a small number of states have passed laws that regulate biometric information. The existence of these laws as well as comprehensive privacy laws in different states in the country make our compliance obligations more complex and costly and may increase the likelihood that we may be subject to enforcement actions or otherwise incur liability for noncompliance. State laws are changing rapidly and there have been discussions in the U.S. Congress of a new comprehensive federal data privacy law to which we could become subject, if enacted.</w:t>
      </w:r>
    </w:p>
    <w:p>
      <w:pPr>
        <w:spacing w:after="0" w:line="136"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4"/>
          <w:szCs w:val="14"/>
          <w:color w:val="auto"/>
        </w:rPr>
        <w:t>We will be subject to the data protection laws of the EU and UK in relation to personal data we collect from these territories. These laws impose additional obligations and risk upon our business, including substantial expenses and changes to business operations that are required to comply with these laws. The withdrawal of the UK from the EU (Brexit) and the subsequent separation of the data protection regimes of these territories means we are required to comply with separate data protection laws in the EU and UK which may lead to additional compliance costs and could increase our overall risk. The collection, use, storage, disclosure, transfer, and other processing of personal data in the EU is governed by the provisions of the EU GDPR. Following the withdrawal of the UK from the EU, the EU GDPR ceased to apply in the UK. As of January 1, 2021, the UK’s European Union (Withdrawal) Act 2018 incorporated the EU GDPR into UK law along with the UK GDPR together with the EU GDPR, referred to as the GDPR. Failure to comply with the GDPR, and Member Sates' national data protection laws which may apply to the personal data we collect from the European Economic Area (“EEA”) or UK, may result in fines and other administrative penalties, including monetary penalties of up to €20/£17.5 million or 4% of worldwide revenue (whichever is higher). The GDPR also confers a private right of action on data subjects and consumer associations to lodge complaints with supervisory authorities, seek judicial remedies, and obtain compensation for damages resulting from violations of the GDPR.</w:t>
      </w:r>
    </w:p>
    <w:p>
      <w:pPr>
        <w:spacing w:after="0" w:line="147" w:lineRule="exact"/>
        <w:rPr>
          <w:sz w:val="20"/>
          <w:szCs w:val="20"/>
          <w:color w:val="auto"/>
        </w:rPr>
      </w:pPr>
    </w:p>
    <w:p>
      <w:pPr>
        <w:ind w:right="120" w:firstLine="509"/>
        <w:spacing w:after="0" w:line="238" w:lineRule="auto"/>
        <w:rPr>
          <w:sz w:val="20"/>
          <w:szCs w:val="20"/>
          <w:color w:val="auto"/>
        </w:rPr>
      </w:pPr>
      <w:r>
        <w:rPr>
          <w:rFonts w:ascii="Times New Roman" w:cs="Times New Roman" w:eastAsia="Times New Roman" w:hAnsi="Times New Roman"/>
          <w:sz w:val="14"/>
          <w:szCs w:val="14"/>
          <w:color w:val="auto"/>
        </w:rPr>
        <w:t>The GDPR imposes several requirements relating to processing personal data, including the requirement to provide notice to individuals about personal data processing activities, ensure an appropriate lawful basis and/or conditions applies to the processing of personal data, having data processing agreements with third parties who process personal data, appointing data protection officers, conducting data protection impact assessments for high risk processing, record-keeping, responding to individuals’ requests to exercise their rights in respect of their personal data, notification of data breaches to the competent national data protection authority, and the implementation of safeguards to protect the security and confidentiality of personal data. The GDPR also imposes several additional requirements relating to the processing of health and other sensitive data which may require us to obtain consent from the individuals to whom the personal data relates.</w:t>
      </w:r>
    </w:p>
    <w:p>
      <w:pPr>
        <w:spacing w:after="0" w:line="3" w:lineRule="exact"/>
        <w:rPr>
          <w:sz w:val="20"/>
          <w:szCs w:val="20"/>
          <w:color w:val="auto"/>
        </w:rPr>
      </w:pPr>
    </w:p>
    <w:p>
      <w:pPr>
        <w:ind w:right="20" w:firstLine="509"/>
        <w:spacing w:after="0" w:line="237" w:lineRule="auto"/>
        <w:rPr>
          <w:sz w:val="20"/>
          <w:szCs w:val="20"/>
          <w:color w:val="auto"/>
        </w:rPr>
      </w:pPr>
      <w:r>
        <w:rPr>
          <w:rFonts w:ascii="Times New Roman" w:cs="Times New Roman" w:eastAsia="Times New Roman" w:hAnsi="Times New Roman"/>
          <w:sz w:val="14"/>
          <w:szCs w:val="14"/>
          <w:color w:val="auto"/>
        </w:rPr>
        <w:t>The GDPR imposes strict rules on the transfer of personal data out of the EEA/UK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(“SCCs”), approved by the European Commission, or a derogation applies. Transfers made pursuant to the SCCs need to be assessed on a case-by-case basis to ensure the law in the recipient country provides “essentially equivalent” protections to safeguard the transferred data. If the standard is not met, businesses will be required to adopt supplementary measures. Further, the EU and United States have adopted its adequacy decision for the EU-U.S. Data Privacy Framework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 UK is not subject to the European Commission’s SCCs but the UK Information Commissioner’s Office has published the UK’s own transfer mechanisms for personal data originating from the UK (the International Data Transfer Agreement and International Data Transfer Addendum (each an “IDTA”)), which have been in force since March 21, 2022. The IDTA requires the same case-by-case risk assessment of the transfer. In addition,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4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Although the UK is regarded as a third country under the EU’s GDPR, the European Commission (“EC”)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w:t>
      </w:r>
    </w:p>
    <w:p>
      <w:pPr>
        <w:spacing w:after="0" w:line="157" w:lineRule="exact"/>
        <w:rPr>
          <w:sz w:val="20"/>
          <w:szCs w:val="20"/>
          <w:color w:val="auto"/>
        </w:rPr>
      </w:pPr>
    </w:p>
    <w:p>
      <w:pPr>
        <w:jc w:val="both"/>
        <w:ind w:right="520" w:firstLine="509"/>
        <w:spacing w:after="0" w:line="254" w:lineRule="auto"/>
        <w:rPr>
          <w:sz w:val="20"/>
          <w:szCs w:val="20"/>
          <w:color w:val="auto"/>
        </w:rPr>
      </w:pPr>
      <w:r>
        <w:rPr>
          <w:rFonts w:ascii="Times New Roman" w:cs="Times New Roman" w:eastAsia="Times New Roman" w:hAnsi="Times New Roman"/>
          <w:sz w:val="14"/>
          <w:szCs w:val="14"/>
          <w:color w:val="auto"/>
        </w:rPr>
        <w:t>The UK Government introduced the Data Protection and Digital Information Bill which failed in the UK legislative process. A new Data (Use and Access) Bill (“UK Bill”) has been introduced into parliament. If passed, the final version of the UK Bill will have the effect of further altering the similarities between the UK and EU data protection regime. This may lead to additional compliance costs and could increase our overall risk.</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4"/>
          <w:szCs w:val="14"/>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Compliance with these and any other applicable privacy and data security laws and regulations is a rigorous and time-intensive process. We may be required to modify our data processing practices and policies, put in place additional compliance mechanisms, and utilize management’s time and/or divert resources from other initiatives and projects to ensure compliance with new data protection rules.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financial condition and results of operations.</w:t>
      </w:r>
    </w:p>
    <w:p>
      <w:pPr>
        <w:spacing w:after="0" w:line="1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The use of new and evolving technologies, such as artificial intelligence, in our offerings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spacing w:after="0" w:line="157"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We continue to build and integrate artificial intelligence into our offerings, and this innovation presents risks and challenges that could affect its adoption, and therefore our business. If we enable or offer solutions that draw controversy due to perceived or actual negative societal impact, we may experience brand or reputational harm, competitive harm or legal liability.</w:t>
      </w:r>
    </w:p>
    <w:p>
      <w:pPr>
        <w:spacing w:after="0" w:line="146"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4"/>
          <w:szCs w:val="14"/>
          <w:color w:val="auto"/>
        </w:rPr>
        <w:t>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This legislation imposes significant obligations on providers and deployers of high risk</w:t>
      </w:r>
    </w:p>
    <w:p>
      <w:pPr>
        <w:spacing w:after="0" w:line="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4"/>
          <w:szCs w:val="14"/>
          <w:color w:val="auto"/>
        </w:rPr>
        <w:t>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 Likewise, in the U.S., several states, including Colorado and California, passed laws that will take effect in 2026, to regulate various uses of artificial intelligence, including to make</w:t>
      </w:r>
    </w:p>
    <w:p>
      <w:pPr>
        <w:ind w:right="80"/>
        <w:spacing w:after="0" w:line="254" w:lineRule="auto"/>
        <w:rPr>
          <w:sz w:val="20"/>
          <w:szCs w:val="20"/>
          <w:color w:val="auto"/>
        </w:rPr>
      </w:pPr>
      <w:r>
        <w:rPr>
          <w:rFonts w:ascii="Times New Roman" w:cs="Times New Roman" w:eastAsia="Times New Roman" w:hAnsi="Times New Roman"/>
          <w:sz w:val="14"/>
          <w:szCs w:val="14"/>
          <w:color w:val="auto"/>
        </w:rPr>
        <w:t>consequential decisions. In addition, various federal regulators have issued guidance and focused enforcement efforts on the use of AI in regulated sectors. If we develop or use AI systems that are governed by these laws or regulations, we will need to meet higher standards of data quality, transparency,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157" w:lineRule="exact"/>
        <w:rPr>
          <w:sz w:val="20"/>
          <w:szCs w:val="20"/>
          <w:color w:val="auto"/>
        </w:rPr>
      </w:pPr>
    </w:p>
    <w:p>
      <w:pPr>
        <w:ind w:right="200" w:firstLine="509"/>
        <w:spacing w:after="0" w:line="248" w:lineRule="auto"/>
        <w:rPr>
          <w:sz w:val="20"/>
          <w:szCs w:val="20"/>
          <w:color w:val="auto"/>
        </w:rPr>
      </w:pPr>
      <w:r>
        <w:rPr>
          <w:rFonts w:ascii="Times New Roman" w:cs="Times New Roman" w:eastAsia="Times New Roman" w:hAnsi="Times New Roman"/>
          <w:sz w:val="14"/>
          <w:szCs w:val="14"/>
          <w:color w:val="auto"/>
        </w:rPr>
        <w:t>The rapid evolution of artificial intelligence will require the application of significant resources to design, develop, test and maintain our products and services to help ensure that artificial intelligence is implemented in accordance with applicable law and regulation and in a socially responsible manner and to minimize any real or perceived unintended harmful impacts. The use of certain artificial intelligence technology can give rise to intellectual property risks, including by disclosing or otherwise compromising our confidential or proprietary intellectual property, or by undermining our ability to assert or defend ownership rights in intellectual property created with the assistance of artificial intelligence tools.</w:t>
      </w:r>
    </w:p>
    <w:p>
      <w:pPr>
        <w:spacing w:after="0" w:line="152"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Our vendors may in turn incorporate artificial intelligence tools into their own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open source software could impose limitations on us that may adversely affect our business.</w:t>
      </w:r>
    </w:p>
    <w:p>
      <w:pPr>
        <w:spacing w:after="0" w:line="170"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4"/>
          <w:szCs w:val="14"/>
          <w:color w:val="auto"/>
        </w:rPr>
        <w:t>Should use of open source software be necessary for commercialization of our therapeutic candidates, such use could impose limitations on our ability to commercialize. As a result, as we seek to use our platform in connection with commercially available products, we may be required to license software under different license terms, which may not be possible on commercially reasonable terms, if at all. If we are unable to license software components on terms that permit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its use for commercial purposes, we may be required to replace those software components, which could result in delays, additional cost and additional regulatory approvals.</w:t>
      </w:r>
    </w:p>
    <w:p>
      <w:pPr>
        <w:spacing w:after="0" w:line="168" w:lineRule="exact"/>
        <w:rPr>
          <w:sz w:val="20"/>
          <w:szCs w:val="20"/>
          <w:color w:val="auto"/>
        </w:rPr>
      </w:pPr>
    </w:p>
    <w:p>
      <w:pPr>
        <w:ind w:right="80" w:firstLine="509"/>
        <w:spacing w:after="0" w:line="241" w:lineRule="auto"/>
        <w:rPr>
          <w:sz w:val="20"/>
          <w:szCs w:val="20"/>
          <w:color w:val="auto"/>
        </w:rPr>
      </w:pPr>
      <w:r>
        <w:rPr>
          <w:rFonts w:ascii="Times New Roman" w:cs="Times New Roman" w:eastAsia="Times New Roman" w:hAnsi="Times New Roman"/>
          <w:sz w:val="14"/>
          <w:szCs w:val="14"/>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 source software, the terms of many open source licenses have not been interpreted by U.S. courts, and there is a risk that those licenses could be construed in a manner that could impose unanticipated conditions or restrictions on our ability to commercialize our therapeutic candidates. We could be required to seek licenses from third parties in order to continue offering our therapeutic candidates, to re-engineer our therapeutic candidates or to discontinue the sale of our therapeutic candidates in the event re-engineering cannot be accomplished on a timely basis, any of which could materially and adversely affect our business, financial condition, results of operations and prospects.</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Should any of these events occur, they could have a material adverse effect on our business, financial condition, results of operations, and prospects.</w:t>
      </w:r>
    </w:p>
    <w:p>
      <w:pPr>
        <w:spacing w:after="0" w:line="16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reliance on third parties requires us to share our trade secrets, which increases the possibility that a competitor or other third party will discover our trade secrets or that our trade secrets will be misappropriated or disclosed.</w:t>
      </w:r>
    </w:p>
    <w:p>
      <w:pPr>
        <w:spacing w:after="0" w:line="112"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4"/>
          <w:szCs w:val="14"/>
          <w:color w:val="auto"/>
        </w:rPr>
        <w:t>Because we currently rely on certain third parties to manufacture all or part of our drug product and to perform quality testing, and because we collaborate with various organizations and academic institutions for the advancement of our product engine and development portfolio,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and other similar agreements with our collaborators, advisors, employees, consultants and contractors prior to beginning research or disclosing any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or other third parties, are inadvertently incorporated into the technology of others or are disclosed or used in violation of these agreements. Despite our efforts to protect our trade secrets, our competitors may discover our trade secrets, either through breach of these agreements, independent development or publication of information including our trade secrets by third parties. Given that our proprietary position is based, in part, on our know-how and trade secrets, a competitor’s or other third party’s discovery of our proprietary technology and confidential information or other unauthorized use or disclosure would impair our competitive position and may harm our business, financial condition, results of operations and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to improvements to our therapeutic candidates may be held by third parties.</w:t>
      </w:r>
    </w:p>
    <w:p>
      <w:pPr>
        <w:spacing w:after="0" w:line="170" w:lineRule="exact"/>
        <w:rPr>
          <w:sz w:val="20"/>
          <w:szCs w:val="20"/>
          <w:color w:val="auto"/>
        </w:rPr>
      </w:pPr>
    </w:p>
    <w:p>
      <w:pPr>
        <w:ind w:firstLine="509"/>
        <w:spacing w:after="0" w:line="239" w:lineRule="auto"/>
        <w:rPr>
          <w:sz w:val="20"/>
          <w:szCs w:val="20"/>
          <w:color w:val="auto"/>
        </w:rPr>
      </w:pPr>
      <w:r>
        <w:rPr>
          <w:rFonts w:ascii="Times New Roman" w:cs="Times New Roman" w:eastAsia="Times New Roman" w:hAnsi="Times New Roman"/>
          <w:sz w:val="14"/>
          <w:szCs w:val="14"/>
          <w:color w:val="auto"/>
        </w:rPr>
        <w:t>In the course of testing our therapeutic candidates, we may enter into agreements with third parties to conduct clinical testing, which may provide that improvements to our therapeutic candidates may be owned solely by a party or jointly between the parties. If we determine that rights to such improvements owned solely by a third party are necessary to commercialize our therapeutic candidates or maintain our competitive advantage, we may need to obtain a license from such third party in order to use the improvements and continue developing, manufacturing or marketing the therapeutic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therapeutic candidates or force us to cease some of our business operations, which could materially harm our business. If we determine that rights to improvements jointly owned between us and a third party are necessary to commercialize our therapeutic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2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As is common in the biotechnology and pharmaceutical industries, in addition to our employees, we engage the services of consultants to assist us in the development of our therapeutic candidate, and other proprietary technologies.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Common Stock</w:t>
      </w:r>
    </w:p>
    <w:p>
      <w:pPr>
        <w:spacing w:after="0" w:line="16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do not know whether an active, liquid and orderly trading market will develop for our common stock and as a result it may be difficult for our stockholders to sell their shares of our common stock.</w:t>
      </w:r>
    </w:p>
    <w:p>
      <w:pPr>
        <w:spacing w:after="0" w:line="122" w:lineRule="exact"/>
        <w:rPr>
          <w:sz w:val="20"/>
          <w:szCs w:val="20"/>
          <w:color w:val="auto"/>
        </w:rPr>
      </w:pPr>
    </w:p>
    <w:p>
      <w:pPr>
        <w:ind w:right="180" w:firstLine="509"/>
        <w:spacing w:after="0" w:line="243" w:lineRule="auto"/>
        <w:rPr>
          <w:sz w:val="20"/>
          <w:szCs w:val="20"/>
          <w:color w:val="auto"/>
        </w:rPr>
      </w:pPr>
      <w:r>
        <w:rPr>
          <w:rFonts w:ascii="Times New Roman" w:cs="Times New Roman" w:eastAsia="Times New Roman" w:hAnsi="Times New Roman"/>
          <w:sz w:val="14"/>
          <w:szCs w:val="14"/>
          <w:color w:val="auto"/>
        </w:rPr>
        <w:t>Prior to our initial public offering, no market for shares of our common stock existed and an active trading market for our shares may never develop or be sustained. The lack of an active market may impair our stockholders’ ability to sell their shares at the time they wish to sell them or at a price that they consider reasonable. The lack of an active market may also reduce the fair market value of our stockholders’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4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Recent volatility in capital markets and lower market prices for many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144" w:lineRule="exact"/>
        <w:rPr>
          <w:sz w:val="20"/>
          <w:szCs w:val="20"/>
          <w:color w:val="auto"/>
        </w:rPr>
      </w:pPr>
    </w:p>
    <w:p>
      <w:pPr>
        <w:jc w:val="both"/>
        <w:ind w:right="120" w:firstLine="255"/>
        <w:spacing w:after="0" w:line="254" w:lineRule="auto"/>
        <w:rPr>
          <w:sz w:val="20"/>
          <w:szCs w:val="20"/>
          <w:color w:val="auto"/>
        </w:rPr>
      </w:pPr>
      <w:r>
        <w:rPr>
          <w:rFonts w:ascii="Times New Roman" w:cs="Times New Roman" w:eastAsia="Times New Roman" w:hAnsi="Times New Roman"/>
          <w:sz w:val="14"/>
          <w:szCs w:val="14"/>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242"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unanticipated working capital requirements;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or enhance our technological infrastructure and our existing solutions;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acquisitions or other strategic relationships;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competitive pressures.</w:t>
      </w:r>
    </w:p>
    <w:p>
      <w:pPr>
        <w:spacing w:after="0" w:line="168"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 and investors could lose all or part of their investment.</w:t>
      </w:r>
    </w:p>
    <w:p>
      <w:pPr>
        <w:spacing w:after="0" w:line="170" w:lineRule="exact"/>
        <w:rPr>
          <w:sz w:val="20"/>
          <w:szCs w:val="20"/>
          <w:color w:val="auto"/>
        </w:rPr>
      </w:pPr>
    </w:p>
    <w:p>
      <w:pPr>
        <w:jc w:val="both"/>
        <w:ind w:right="200" w:firstLine="509"/>
        <w:spacing w:after="0" w:line="254" w:lineRule="auto"/>
        <w:rPr>
          <w:sz w:val="20"/>
          <w:szCs w:val="20"/>
          <w:color w:val="auto"/>
        </w:rPr>
      </w:pPr>
      <w:r>
        <w:rPr>
          <w:rFonts w:ascii="Times New Roman" w:cs="Times New Roman" w:eastAsia="Times New Roman" w:hAnsi="Times New Roman"/>
          <w:sz w:val="14"/>
          <w:szCs w:val="14"/>
          <w:color w:val="auto"/>
        </w:rPr>
        <w:t>The trading price of our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spacing w:after="0" w:line="40" w:lineRule="exact"/>
        <w:rPr>
          <w:sz w:val="20"/>
          <w:szCs w:val="20"/>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results of INDs, preclinical studies and clinical trials of our therapeutic candidates or those of our competitors;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or announcements by potential competitors of their product development efforts;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initiate a clinical trial, not to initiate a clinical trial or to terminate an existing clinical trial;</w:t>
      </w:r>
    </w:p>
    <w:p>
      <w:pPr>
        <w:spacing w:after="0" w:line="8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our regulatory filings for our therapeutic candidates and any adverse development or perceived adverse development with respect to the applicable regulatory authority’s review of such filings;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developments concerning our potential future in-house manufacturing facilities or CMOs;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our therapeutics or therapeutic candidates or our competitors’ products or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growth rate relative to our competitors;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of our initial target markets;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serious safety concerns related to the use of our therapeutic candidates;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U.S. and other countries;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 or positive or negative recommendations or withdrawal of research coverage by securities analysts;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collaborations, joint ventures, collaborations or capital commitments;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valuation of companies perceived by investors to be comparable to us;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price and volume fluctuations attributable to inconsistent trading volume levels of our shares;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 estimates and projections of the investment community or that we may otherwise provide to the public;</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our insiders or our other stockholders;</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expiration of market stand-off or lock-up agreements;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natural disasters or public health emergencies;</w:t>
      </w:r>
    </w:p>
    <w:p>
      <w:pPr>
        <w:spacing w:after="0" w:line="83" w:lineRule="exact"/>
        <w:rPr>
          <w:rFonts w:ascii="Times New Roman" w:cs="Times New Roman" w:eastAsia="Times New Roman" w:hAnsi="Times New Roman"/>
          <w:sz w:val="14"/>
          <w:szCs w:val="14"/>
          <w:color w:val="auto"/>
        </w:rPr>
      </w:pPr>
    </w:p>
    <w:p>
      <w:pPr>
        <w:ind w:left="520" w:right="80" w:hanging="260"/>
        <w:spacing w:after="0" w:line="248"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political, industry and market conditions such as recessions, interest rates, fuel prices, foreign currency fluctuations, tariffs (including tariffs that have been or may in the future be imposed by the United States or other countries), sanctions, trade protection measures or other trade barriers (including further legislation or actions taken by the United States or other countries that restrict trade), social, political and economic risks and acts of war (such as the ongoing conflict between Russia and Ukraine and the conflict in the Middle East) or terrorism; and</w:t>
      </w:r>
    </w:p>
    <w:p>
      <w:pPr>
        <w:spacing w:after="0" w:line="5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w:t>
      </w:r>
    </w:p>
    <w:p>
      <w:pPr>
        <w:spacing w:after="0" w:line="168" w:lineRule="exact"/>
        <w:rPr>
          <w:sz w:val="20"/>
          <w:szCs w:val="20"/>
          <w:color w:val="auto"/>
        </w:rPr>
      </w:pPr>
    </w:p>
    <w:p>
      <w:pPr>
        <w:ind w:right="280" w:firstLine="509"/>
        <w:spacing w:after="0" w:line="271" w:lineRule="auto"/>
        <w:rPr>
          <w:sz w:val="20"/>
          <w:szCs w:val="20"/>
          <w:color w:val="auto"/>
        </w:rPr>
      </w:pPr>
      <w:r>
        <w:rPr>
          <w:rFonts w:ascii="Times New Roman" w:cs="Times New Roman" w:eastAsia="Times New Roman" w:hAnsi="Times New Roman"/>
          <w:sz w:val="14"/>
          <w:szCs w:val="14"/>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507"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22"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The trading market for our common stock will be influenced by the research and reports that securities or industry analysts publish about us, our business or our market. In the event that one or more of the analysts who covers us issues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3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Increased attention to, and evolving expectations for, environmental, climate change, social, and governance (“ESG”) initiatives could increase our costs, harm our reputation, or otherwise adversely impact our business.</w:t>
      </w:r>
    </w:p>
    <w:p>
      <w:pPr>
        <w:spacing w:after="0" w:line="122" w:lineRule="exact"/>
        <w:rPr>
          <w:sz w:val="20"/>
          <w:szCs w:val="20"/>
          <w:color w:val="auto"/>
        </w:rPr>
      </w:pPr>
    </w:p>
    <w:p>
      <w:pPr>
        <w:ind w:right="300" w:firstLine="509"/>
        <w:spacing w:after="0" w:line="255" w:lineRule="auto"/>
        <w:rPr>
          <w:sz w:val="20"/>
          <w:szCs w:val="20"/>
          <w:color w:val="auto"/>
        </w:rPr>
      </w:pPr>
      <w:r>
        <w:rPr>
          <w:rFonts w:ascii="Times New Roman" w:cs="Times New Roman" w:eastAsia="Times New Roman" w:hAnsi="Times New Roman"/>
          <w:sz w:val="14"/>
          <w:szCs w:val="14"/>
          <w:color w:val="auto"/>
        </w:rPr>
        <w:t>Companies across industries are facing increasing scrutiny from a variety of stakeholders related to their ESG and sustainability practices. Investor advocacy groups, certain institutional investors, investment funds, and other</w:t>
      </w:r>
    </w:p>
    <w:p>
      <w:pPr>
        <w:spacing w:after="0" w:line="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influential investors have increasingly focused on ESG practices and have placed increasing importance on the non-financial impacts of their investments.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14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4"/>
          <w:szCs w:val="14"/>
          <w:color w:val="auto"/>
        </w:rPr>
        <w:t>While we may at times engage in voluntary initiatives (such as voluntary disclosures, certifications, or goals, among others) to improve the ESG profile of the Company,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144" w:lineRule="exact"/>
        <w:rPr>
          <w:sz w:val="20"/>
          <w:szCs w:val="20"/>
          <w:color w:val="auto"/>
        </w:rPr>
      </w:pPr>
    </w:p>
    <w:p>
      <w:pPr>
        <w:jc w:val="both"/>
        <w:ind w:right="140" w:firstLine="509"/>
        <w:spacing w:after="0" w:line="249" w:lineRule="auto"/>
        <w:rPr>
          <w:sz w:val="20"/>
          <w:szCs w:val="20"/>
          <w:color w:val="auto"/>
        </w:rPr>
      </w:pPr>
      <w:r>
        <w:rPr>
          <w:rFonts w:ascii="Times New Roman" w:cs="Times New Roman" w:eastAsia="Times New Roman" w:hAnsi="Times New Roman"/>
          <w:sz w:val="14"/>
          <w:szCs w:val="14"/>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which could negatively impact our share price as well as our access to and cost of capital. In addition, in recent years “anti-ESG” sentiment has gained momentum</w:t>
      </w:r>
    </w:p>
    <w:p>
      <w:pPr>
        <w:spacing w:after="0" w:line="1" w:lineRule="exact"/>
        <w:rPr>
          <w:sz w:val="20"/>
          <w:szCs w:val="20"/>
          <w:color w:val="auto"/>
        </w:rPr>
      </w:pPr>
    </w:p>
    <w:p>
      <w:pPr>
        <w:ind w:right="4860"/>
        <w:spacing w:after="0" w:line="242" w:lineRule="auto"/>
        <w:rPr>
          <w:sz w:val="20"/>
          <w:szCs w:val="20"/>
          <w:color w:val="auto"/>
        </w:rPr>
      </w:pPr>
      <w:r>
        <w:rPr>
          <w:rFonts w:ascii="Times New Roman" w:cs="Times New Roman" w:eastAsia="Times New Roman" w:hAnsi="Times New Roman"/>
          <w:sz w:val="14"/>
          <w:szCs w:val="14"/>
          <w:color w:val="auto"/>
        </w:rPr>
        <w:t>across the United States,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 Therefore, to the extent we take actions that are seen as positive to some investors, other investors may take issue with such actions or face regulatory pressure to refrain from investing in, or divest from,</w:t>
      </w:r>
    </w:p>
    <w:p>
      <w:pPr>
        <w:spacing w:after="0" w:line="1"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4"/>
          <w:szCs w:val="14"/>
          <w:color w:val="auto"/>
        </w:rPr>
        <w:t>our business. To the extent ESG matters negatively impact our reputation, it may also impede our ability to compete as effectively to attract and retain employees, which may adversely impact our operations.</w:t>
      </w:r>
    </w:p>
    <w:p>
      <w:pPr>
        <w:spacing w:after="0" w:line="119"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In addition, we expect there will likely be increasing levels of regulation, disclosure-related and otherwise, with respect to ESG matters. For example, the SEC has issued rules that require companies to provide significantly expanded climate-related disclosures in their periodic reporting. The new climate disclosure rules were the subject of multiple legal challenges, and the SEC voluntarily stayed the climate disclosure rules pending the completion of judicial review. Therefore, it is unknown whether the new rules will go into effect and if they do, whether there will be significant changes. If the new rules go into effect and are not substantially different than the rules adopted by the SEC, we may be required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Even if the SEC rules are not adopted, states or ex-U.S. jurisdictions in which we currently or may in the future operate may also have or adopt ESG or climate-related disclosure rules requiring similar or broader disclosure obligations. These and other changes in stakeholder expectations will likely lead to increased costs as well as scrutiny that could heighten all of the risks identified in this risk factor. Additionally, our business partners may be subject to similar expectations, which may augment or create additional risks, including risks that may not be known to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Unstable market and economic conditions may have serious adverse consequences on our business, financial condition and stock price.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4"/>
          <w:szCs w:val="14"/>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For example, inflation generally affects us by increasing our employee-related costs and clinical trial expenses, as well as other operating expenses.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Further, changing circumstances, some of which may be beyond our control, could cause us to consume capital significantly faster than we currently anticipate, and we may need to seek additional funds sooner than planned. Our business could also be impacted by volatility caused by geopolitical events, such as the ongoing conflicts in Ukraine and the Middle East.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If the current equity and credit markets deteriorate, or do not improve, it may make any necessary debt or equity financing more difficult, more costly, and more dilutive.</w:t>
      </w:r>
    </w:p>
    <w:p>
      <w:pPr>
        <w:spacing w:after="0" w:line="176"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4"/>
          <w:szCs w:val="14"/>
          <w:color w:val="auto"/>
        </w:rPr>
        <w:t>Failure to secure any necessary financing in a timely manner and on favorable terms could have a material adverse event on our growth strategy, financial performance and stock price and could require us to delay or abandon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To the extent that our profitability and strategies are negatively affected by downturns or volatility in general economic conditions, our business and results of operations may be materially adversely affected.</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stock price may decline due in part to the volatility of the stock market and the general economic downturn.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affected by macroeconomic conditions, including rising inflation, interest rates and supply chain constraints.</w:t>
      </w:r>
    </w:p>
    <w:p>
      <w:pPr>
        <w:spacing w:after="0" w:line="170"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Recent supply chain constraints have led to higher inflation, which if sustained could have a negative impact on our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 Similarly, these macroeconomic factors could affect the ability of our third-party suppliers and manufacturers to manufacture clinical trial materials for our product candidates.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4"/>
          <w:szCs w:val="14"/>
          <w:color w:val="auto"/>
        </w:rPr>
        <w:t>Our executive officers, directors, holders of 5% or more of our capital stock and their respective affiliates beneficially owned approximately 73% of our outstanding voting stock as of December 31, 2024.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investors may feel are in their best interest as one of our stockholders. The interests of this group of stockholders may not always coincide with each investor’s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common stock or rights to purchase common stock, including pursuant to our 2021 Plan, could result in additional dilution of the percentage ownership of our stockholders and could cause our stock price to fall.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w:t>
      </w:r>
    </w:p>
    <w:p>
      <w:pPr>
        <w:spacing w:after="0" w:line="141"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Pursuant to our 2021 Stock Option and Incentive Plan (the “2021 Plan”), our management is authorized to grant stock options to our employees, directors and consultants. If the number of shares reserved under our 2021 Plan is increased pursuant to the terms of the 2021 Plan, our stockholders may experience additional dilution, which could cause our stock price to fall.</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Any of the above events could significantly harm our business, prospects, financial condition and results of operations and cause the price of our common stock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restrict our operations or require us to relinquish rights to our technologies or therapeutic candidates.</w:t>
      </w:r>
    </w:p>
    <w:p>
      <w:pPr>
        <w:spacing w:after="0" w:line="170"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4"/>
          <w:szCs w:val="14"/>
          <w:color w:val="auto"/>
        </w:rPr>
        <w:t>We do not have any committed external source of funds or other support for our development and commercialization efforts, and we cannot be certain that additional funding will be available on acceptable terms, or at all. Until such time, if ever, as we can generate substantial product revenues, we expect to finance our cash needs through equity offerings, debt financings, or other capital sources, including potential collaborations, licenses and other similar arrangements. To the extent that we raise additional capital through the sale of equity or convertible debt securities, our stockholders’ ownership interest will be diluted, and the terms of these securities may include liquidation or other preferences that adversely affect our stockholders’ rights.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w:t>
      </w:r>
    </w:p>
    <w:p>
      <w:pPr>
        <w:spacing w:after="0" w:line="146"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4"/>
          <w:szCs w:val="14"/>
          <w:color w:val="auto"/>
        </w:rPr>
        <w:t>As a result of our recurring losses from operations and recurring negative cash flows from operations, there is uncertainty regarding our ability to maintain liquidity sufficient to operate our business effectively. If we raise additional funds through future collaborations, licenses and other similar arrangements, we may have to relinquish valuable rights to our future revenue streams, research programs, therapeutic candidates or EEV Platform,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therapeutic candidates that we would otherwise prefer to develop and market ourselves. Any of the above events could significantly harm our business, prospects, financial condition and results of operations and cause the price of our common stock to decline.</w:t>
      </w:r>
    </w:p>
    <w:p>
      <w:pPr>
        <w:spacing w:after="0" w:line="14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22"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40" w:lineRule="exact"/>
        <w:rPr>
          <w:sz w:val="20"/>
          <w:szCs w:val="20"/>
          <w:color w:val="auto"/>
        </w:rPr>
      </w:pPr>
    </w:p>
    <w:p>
      <w:pPr>
        <w:ind w:left="520" w:right="140" w:hanging="260"/>
        <w:spacing w:after="0" w:line="255"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our periodic reports;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of Section 404 of the Sarbanes-Oxley Act of 2002, as amended (“Sarbanes-Oxley Act”);</w:t>
      </w:r>
    </w:p>
    <w:p>
      <w:pPr>
        <w:spacing w:after="0" w:line="83" w:lineRule="exact"/>
        <w:rPr>
          <w:rFonts w:ascii="Times New Roman" w:cs="Times New Roman" w:eastAsia="Times New Roman" w:hAnsi="Times New Roman"/>
          <w:sz w:val="14"/>
          <w:szCs w:val="14"/>
          <w:color w:val="auto"/>
        </w:rPr>
      </w:pPr>
    </w:p>
    <w:p>
      <w:pPr>
        <w:ind w:left="520" w:right="40" w:hanging="260"/>
        <w:spacing w:after="0" w:line="271"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our periodic reports and proxy statements; and</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350" w:lineRule="exact"/>
        <w:rPr>
          <w:sz w:val="20"/>
          <w:szCs w:val="20"/>
          <w:color w:val="auto"/>
        </w:rPr>
      </w:pPr>
    </w:p>
    <w:p>
      <w:pPr>
        <w:ind w:left="520" w:right="120" w:hanging="260"/>
        <w:spacing w:after="0" w:line="271"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exemptions from the requirements of holding nonbinding advisory stockholder votes on executive compensation and stockholder approval of any golden parachute payments not previously approved.</w:t>
      </w:r>
    </w:p>
    <w:p>
      <w:pPr>
        <w:spacing w:after="0" w:line="124" w:lineRule="exact"/>
        <w:rPr>
          <w:sz w:val="20"/>
          <w:szCs w:val="20"/>
          <w:color w:val="auto"/>
        </w:rPr>
      </w:pPr>
    </w:p>
    <w:p>
      <w:pPr>
        <w:ind w:right="200" w:firstLine="509"/>
        <w:spacing w:after="0" w:line="248" w:lineRule="auto"/>
        <w:rPr>
          <w:sz w:val="20"/>
          <w:szCs w:val="20"/>
          <w:color w:val="auto"/>
        </w:rPr>
      </w:pPr>
      <w:r>
        <w:rPr>
          <w:rFonts w:ascii="Times New Roman" w:cs="Times New Roman" w:eastAsia="Times New Roman" w:hAnsi="Times New Roman"/>
          <w:sz w:val="14"/>
          <w:szCs w:val="14"/>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41"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to occur of: (i) the last day of the fiscal year in which we have more than $1.235 billion in annual revenue; (ii) the date we qualify as a “large accelerated filer,” with at least $700.0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w:t>
      </w:r>
    </w:p>
    <w:p>
      <w:pPr>
        <w:spacing w:after="0" w:line="136" w:lineRule="exact"/>
        <w:rPr>
          <w:sz w:val="20"/>
          <w:szCs w:val="20"/>
          <w:color w:val="auto"/>
        </w:rPr>
      </w:pPr>
    </w:p>
    <w:p>
      <w:pPr>
        <w:jc w:val="both"/>
        <w:ind w:right="80" w:firstLine="509"/>
        <w:spacing w:after="0" w:line="254"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cannot predict if investors will find our common stock less attractive because we may rely on these exemptions.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stock.</w:t>
      </w:r>
    </w:p>
    <w:p>
      <w:pPr>
        <w:spacing w:after="0" w:line="159" w:lineRule="exact"/>
        <w:rPr>
          <w:sz w:val="20"/>
          <w:szCs w:val="20"/>
          <w:color w:val="auto"/>
        </w:rPr>
      </w:pPr>
    </w:p>
    <w:p>
      <w:pPr>
        <w:jc w:val="both"/>
        <w:ind w:right="260" w:firstLine="509"/>
        <w:spacing w:after="0" w:line="271"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12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certificate of incorporation, our bylaws and Delaware law might discourage, delay or prevent a change in control of our company or changes in our management and, therefore, depress the market price of our common stock.</w:t>
      </w:r>
    </w:p>
    <w:p>
      <w:pPr>
        <w:spacing w:after="0" w:line="12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4"/>
          <w:szCs w:val="14"/>
          <w:color w:val="auto"/>
        </w:rPr>
        <w:t>Our Fourth Amended and Restated Certificate of Incorporation, as amended (“Charter”), and our Amended and Restated Bylaws (“Bylaws”) contain provisions that could depress the market price of our common stock by acting to discourage, delay or prevent a change in control of our company or changes in our management that the stockholders of our company may deem advantageous. These provisions include, among other things:</w:t>
      </w:r>
    </w:p>
    <w:p>
      <w:pPr>
        <w:spacing w:after="0" w:line="51" w:lineRule="exact"/>
        <w:rPr>
          <w:sz w:val="20"/>
          <w:szCs w:val="20"/>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board of directors divided into three classes serving staggered three-year terms, such that not all members of the board will be elected at one time;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actions through written consent, which requires that all stockholder actions be taken at a meeting of our stockholders;</w:t>
      </w:r>
    </w:p>
    <w:p>
      <w:pPr>
        <w:spacing w:after="0" w:line="83" w:lineRule="exact"/>
        <w:rPr>
          <w:rFonts w:ascii="Times New Roman" w:cs="Times New Roman" w:eastAsia="Times New Roman" w:hAnsi="Times New Roman"/>
          <w:sz w:val="14"/>
          <w:szCs w:val="14"/>
          <w:color w:val="auto"/>
        </w:rPr>
      </w:pPr>
    </w:p>
    <w:p>
      <w:pPr>
        <w:ind w:left="520" w:right="40" w:hanging="260"/>
        <w:spacing w:after="0" w:line="271"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stockholders be called only by the board of directors acting pursuant to a resolution approved by the affirmative vote of a majority of the directors then in office;</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nominations for election to our board of directors;</w:t>
      </w:r>
    </w:p>
    <w:p>
      <w:pPr>
        <w:spacing w:after="0" w:line="83" w:lineRule="exact"/>
        <w:rPr>
          <w:rFonts w:ascii="Times New Roman" w:cs="Times New Roman" w:eastAsia="Times New Roman" w:hAnsi="Times New Roman"/>
          <w:sz w:val="14"/>
          <w:szCs w:val="14"/>
          <w:color w:val="auto"/>
        </w:rPr>
      </w:pPr>
    </w:p>
    <w:p>
      <w:pPr>
        <w:ind w:left="520" w:right="500" w:hanging="260"/>
        <w:spacing w:after="0" w:line="255"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approval of not less than two-thirds of all outstanding shares of our voting stock to amend any bylaws by stockholder action;</w:t>
      </w:r>
    </w:p>
    <w:p>
      <w:pPr>
        <w:spacing w:after="0" w:line="83" w:lineRule="exact"/>
        <w:rPr>
          <w:rFonts w:ascii="Times New Roman" w:cs="Times New Roman" w:eastAsia="Times New Roman" w:hAnsi="Times New Roman"/>
          <w:sz w:val="14"/>
          <w:szCs w:val="14"/>
          <w:color w:val="auto"/>
        </w:rPr>
      </w:pPr>
    </w:p>
    <w:p>
      <w:pPr>
        <w:jc w:val="both"/>
        <w:ind w:left="520" w:right="200" w:hanging="260"/>
        <w:spacing w:after="0" w:line="254"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of approval by the affirmative vote of a majority of the outstanding shares of our voting stock to amend or repeal specified provisions of our certificate of incorporation, and the affirmative vote of a majority of the outstanding shares of each class entitled to vote thereon as a class, at a duly constituted meeting of stockholders called expressly for such purpose; and</w:t>
      </w:r>
    </w:p>
    <w:p>
      <w:pPr>
        <w:spacing w:after="0" w:line="51" w:lineRule="exact"/>
        <w:rPr>
          <w:rFonts w:ascii="Times New Roman" w:cs="Times New Roman" w:eastAsia="Times New Roman" w:hAnsi="Times New Roman"/>
          <w:sz w:val="14"/>
          <w:szCs w:val="14"/>
          <w:color w:val="auto"/>
        </w:rPr>
      </w:pPr>
    </w:p>
    <w:p>
      <w:pPr>
        <w:ind w:left="520" w:right="380" w:hanging="260"/>
        <w:spacing w:after="0" w:line="271"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24"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In addition, Section 203 of the General Corporation Law of the State of Delaware (“DGCL”) prohibits a publicly-held Delaware corporation from engaging in a business combination with an interested stockholder, generally a person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24" w:lineRule="exact"/>
        <w:rPr>
          <w:sz w:val="20"/>
          <w:szCs w:val="20"/>
          <w:color w:val="auto"/>
        </w:rPr>
      </w:pPr>
    </w:p>
    <w:p>
      <w:pPr>
        <w:ind w:right="340" w:firstLine="509"/>
        <w:spacing w:after="0" w:line="271" w:lineRule="auto"/>
        <w:rPr>
          <w:sz w:val="20"/>
          <w:szCs w:val="20"/>
          <w:color w:val="auto"/>
        </w:rPr>
      </w:pPr>
      <w:r>
        <w:rPr>
          <w:rFonts w:ascii="Times New Roman" w:cs="Times New Roman" w:eastAsia="Times New Roman" w:hAnsi="Times New Roman"/>
          <w:sz w:val="14"/>
          <w:szCs w:val="14"/>
          <w:color w:val="auto"/>
        </w:rPr>
        <w:t>Any provision of our Charter , our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22"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Our Bylaws provide that, unless we consent in writing to an alternative forum, the Court of Chancery of the State of Delaware is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DGCL, our certificate of incorporation or our bylaws or (iv) any action asserting a claim that is governed by the internal affairs doctrine, in each case subject to the Court of Chancery having personal jurisdiction over the indispensable parties named as defendants therein (“Delaware Forum Provision”). The Delaware Forum Provision will not apply to any causes of action arising under the Securities Act or the Securities Exchange Act of 1934, as amended (the “Exchange Act”). Our Bylaws further provide that, unless we consent in writing to the selection of an alternative forum, the federal district courts of the U.S. shall be the sole and exclusive forum for resolving any complaint asserting a cause or causes of action arising under the Securities Act (“Federal Forum Provision”). In addition, our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149"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4"/>
          <w:szCs w:val="14"/>
          <w:color w:val="auto"/>
        </w:rPr>
        <w:t>The Delaware Forum Provision and the Federal Forum Provision in our Bylaws may impose additional litigation costs on stockholders in pursuing any such claims. Additionally, the forum selection clauses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68"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will continue to incur increased costs as a result of operating as a public company, and our management is required to devote substantial time to related compliance initiatives.</w:t>
      </w:r>
    </w:p>
    <w:p>
      <w:pPr>
        <w:spacing w:after="0" w:line="11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Nasdaq. Our management and other personnel devote and will need to continue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44"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are required to make a formal assessment of the effectiveness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of our internal control over financial reporting, and once we cease to be an emerging growth company, we may be required to include an attestation report on internal control over financial reporting issued by our independent registered public accounting firm. To achieve compliance with Section 404, we are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42"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122" w:lineRule="exact"/>
        <w:rPr>
          <w:sz w:val="20"/>
          <w:szCs w:val="20"/>
          <w:color w:val="auto"/>
        </w:rPr>
      </w:pPr>
    </w:p>
    <w:p>
      <w:pPr>
        <w:ind w:right="160" w:firstLine="509"/>
        <w:spacing w:after="0" w:line="248" w:lineRule="auto"/>
        <w:rPr>
          <w:sz w:val="20"/>
          <w:szCs w:val="20"/>
          <w:color w:val="auto"/>
        </w:rPr>
      </w:pPr>
      <w:r>
        <w:rPr>
          <w:rFonts w:ascii="Times New Roman" w:cs="Times New Roman" w:eastAsia="Times New Roman" w:hAnsi="Times New Roman"/>
          <w:sz w:val="14"/>
          <w:szCs w:val="14"/>
          <w:color w:val="auto"/>
        </w:rPr>
        <w:t>We may in the future discover material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41"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14"/>
          <w:szCs w:val="14"/>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stock exchange on which our common stock is listed, the SEC or other regulatory authorities.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170" w:lineRule="exact"/>
        <w:rPr>
          <w:sz w:val="20"/>
          <w:szCs w:val="20"/>
          <w:color w:val="auto"/>
        </w:rPr>
      </w:pPr>
    </w:p>
    <w:p>
      <w:pPr>
        <w:ind w:right="100" w:firstLine="509"/>
        <w:spacing w:after="0" w:line="248" w:lineRule="auto"/>
        <w:rPr>
          <w:sz w:val="20"/>
          <w:szCs w:val="20"/>
          <w:color w:val="auto"/>
        </w:rPr>
      </w:pPr>
      <w:r>
        <w:rPr>
          <w:rFonts w:ascii="Times New Roman" w:cs="Times New Roman" w:eastAsia="Times New Roman" w:hAnsi="Times New Roman"/>
          <w:sz w:val="14"/>
          <w:szCs w:val="14"/>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41"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14"/>
          <w:szCs w:val="14"/>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securities litigation, which is expensive and could divert management attention.</w:t>
      </w:r>
    </w:p>
    <w:p>
      <w:pPr>
        <w:spacing w:after="0" w:line="17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insurance policies are expensive and only protect us from some business risks, which will leave us exposed to significant uninsured liabilities.</w:t>
      </w:r>
    </w:p>
    <w:p>
      <w:pPr>
        <w:spacing w:after="0" w:line="170" w:lineRule="exact"/>
        <w:rPr>
          <w:sz w:val="20"/>
          <w:szCs w:val="20"/>
          <w:color w:val="auto"/>
        </w:rPr>
      </w:pPr>
    </w:p>
    <w:p>
      <w:pPr>
        <w:ind w:right="200" w:firstLine="509"/>
        <w:spacing w:after="0" w:line="248" w:lineRule="auto"/>
        <w:rPr>
          <w:sz w:val="20"/>
          <w:szCs w:val="20"/>
          <w:color w:val="auto"/>
        </w:rPr>
      </w:pPr>
      <w:r>
        <w:rPr>
          <w:rFonts w:ascii="Times New Roman" w:cs="Times New Roman" w:eastAsia="Times New Roman" w:hAnsi="Times New Roman"/>
          <w:sz w:val="14"/>
          <w:szCs w:val="14"/>
          <w:color w:val="auto"/>
        </w:rPr>
        <w:t>We do not carry insurance for all categories of risk that our business may encounter. Some of the policies we currently maintain include property, general liability, employment benefits liability, business automobile, workers’ compensation, and directors’ and officers’, employment practices and fiduciary liability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39"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Currently, federal agencies in the U.S. are operating under a continuing resolution that is set to expire on March 14, 2025. Without appropriation of additional funding to federal agencies, our business operations related to our product</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65"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14"/>
          <w:szCs w:val="14"/>
          <w:color w:val="auto"/>
        </w:rPr>
        <w:t>development activities for the U.S. market could be impacted. 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or modifications to approved drugs and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43" w:lineRule="exact"/>
        <w:rPr>
          <w:sz w:val="20"/>
          <w:szCs w:val="20"/>
          <w:color w:val="auto"/>
        </w:rPr>
      </w:pPr>
    </w:p>
    <w:p>
      <w:pPr>
        <w:jc w:val="both"/>
        <w:ind w:right="380"/>
        <w:spacing w:after="0" w:line="254" w:lineRule="auto"/>
        <w:rPr>
          <w:sz w:val="20"/>
          <w:szCs w:val="20"/>
          <w:color w:val="auto"/>
        </w:rPr>
      </w:pPr>
      <w:r>
        <w:rPr>
          <w:rFonts w:ascii="Times New Roman" w:cs="Times New Roman" w:eastAsia="Times New Roman" w:hAnsi="Times New Roman"/>
          <w:sz w:val="14"/>
          <w:szCs w:val="14"/>
          <w:color w:val="auto"/>
        </w:rPr>
        <w:t>If a prolonged government shutdown occurs, or if global health concerns continue to prevent the FDA or other regulatory authorities from conducting their regular inspections, reviews, or other regulatory activities, including formal and informal interactions with product developers, it could significantly impact the ability of the FDA or other regulatory authorities to timely review and process our future regulatory submissions, which could have a material adverse effect on our business.</w:t>
      </w:r>
    </w:p>
    <w:p>
      <w:pPr>
        <w:spacing w:after="0" w:line="15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Effective December 31, 2024, we no longer qualify as a "smaller reporting company" and, commencing with our Quarterly Report on Form 10-Q for the fiscal quarter ending March 31, 2025, we may no longer take advantage of reduced disclosure and reporting requirements applicable to smaller reporting companies.</w:t>
      </w:r>
    </w:p>
    <w:p>
      <w:pPr>
        <w:spacing w:after="0" w:line="154"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4"/>
          <w:szCs w:val="14"/>
          <w:color w:val="auto"/>
        </w:rPr>
        <w:t>Based on the market value of our common stock held by our non-affiliates as of the last business day of the fiscal quarter ended June 30, 2024, we no longer qualify as a “smaller reporting company” as defined in the Exchange Act, effective December 31, 2024. Therefore, beginning with our Quarterly Report on Form 10-Q for the fiscal quarter ending March 31, 2025, we will no longer be eligible to rely on the reduced disclosure and reporting requirements applicable to smaller reporting companies. Any failure to comply with the increased disclosure and reporting requirements could have an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81"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As part of our overall risk management process, we have established a cybersecurity risk management program for assessing, identifying, and managing risks from cybersecurity threats. Our cybersecurity risk management program is informed by recognized industry standards and frameworks and incorporates elements of the same, including elements of the National Institute of Standards and Technology (“NIST”) Cybersecurity Framework and the Federal Information Processing Standards (“FIPS”) Publication.</w:t>
      </w:r>
    </w:p>
    <w:p>
      <w:pPr>
        <w:spacing w:after="0" w:line="157" w:lineRule="exact"/>
        <w:rPr>
          <w:sz w:val="20"/>
          <w:szCs w:val="20"/>
          <w:color w:val="auto"/>
        </w:rPr>
      </w:pPr>
    </w:p>
    <w:p>
      <w:pPr>
        <w:ind w:right="300" w:firstLine="509"/>
        <w:spacing w:after="0" w:line="264" w:lineRule="auto"/>
        <w:rPr>
          <w:sz w:val="20"/>
          <w:szCs w:val="20"/>
          <w:color w:val="auto"/>
        </w:rPr>
      </w:pPr>
      <w:r>
        <w:rPr>
          <w:rFonts w:ascii="Times New Roman" w:cs="Times New Roman" w:eastAsia="Times New Roman" w:hAnsi="Times New Roman"/>
          <w:sz w:val="14"/>
          <w:szCs w:val="14"/>
          <w:color w:val="auto"/>
        </w:rPr>
        <w:t>Our cybersecurity risk management program includes a control framework and operations that utilizes tools and processes designed to prevent, detect, and analyze current and emerging cybersecurity threats, and we maintain plans and strategies to address any cybersecurity threats and incidents. These tools and processes include, but are not limited to, periodic cybersecurity risk assessments and vulnerability analyses, as well as monitoring for critical risks from cybersecurity threats using automated tools. Personnel at all levels and departments are made aware of our cybersecurity policies through participation in cybersecurity risk awareness trainings during onboarding and on an annual basis thereafter.</w:t>
      </w:r>
    </w:p>
    <w:p>
      <w:pPr>
        <w:spacing w:after="0" w:line="162"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As necessary and appropriate, we engage consultants, or other third parties, in connection with our cybersecurity risk assessment processes. These service providers assist us in designing and implementing cybersecurity procedures, as well as in monitoring and testing the effectiveness of our cybersecurity safeguards. For example, we engage these vendors to conduct annual risk assessments, including internal and external penetration testing, to identify cybersecurity threats, as well as to perform cybersecurity risk assessments in the event of substantial changes to our business practices that may affect our information systems. These cybersecurity risk assessments are designed to include identification of reasonably foreseeable internal and external cybersecurity risks, analysis on the likelihood and potential damage that could result from such risks, and feedback on the sufficiency of our existing procedures, systems, and safeguards to mitigate such cybersecurity risks.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6"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As part of our cybersecurity risk management program, we maintain processes related to third-party vendor cybersecurity risk management. As appropriate, we contractually require certain third-parties to certify that they have the ability to implement and maintain appropriate cybersecurity measures, consistent with applicable laws, and to promptly report any suspected cybersecurity incidents that may affect our company or our data.</w:t>
      </w:r>
    </w:p>
    <w:p>
      <w:pPr>
        <w:spacing w:after="0" w:line="157" w:lineRule="exact"/>
        <w:rPr>
          <w:sz w:val="20"/>
          <w:szCs w:val="20"/>
          <w:color w:val="auto"/>
        </w:rPr>
      </w:pPr>
    </w:p>
    <w:p>
      <w:pPr>
        <w:jc w:val="both"/>
        <w:ind w:right="180" w:firstLine="509"/>
        <w:spacing w:after="0" w:line="270" w:lineRule="auto"/>
        <w:rPr>
          <w:sz w:val="20"/>
          <w:szCs w:val="20"/>
          <w:color w:val="auto"/>
        </w:rPr>
      </w:pPr>
      <w:r>
        <w:rPr>
          <w:rFonts w:ascii="Times New Roman" w:cs="Times New Roman" w:eastAsia="Times New Roman" w:hAnsi="Times New Roman"/>
          <w:sz w:val="14"/>
          <w:szCs w:val="14"/>
          <w:color w:val="auto"/>
        </w:rPr>
        <w:t>We face a number of cybersecurity risks in connection with our business. Although risks from cybersecurity threats have to date not materially affected us, and we do not believe they are reasonably likely to materially affect us, our business strategy, results of operations or financial condition, we have, from time to time, experienced threats and security incidents relating to our and our third party vendors’ information systems. For more information, please refer to Item 1A, “Risk Factors,” in this annual report on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8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One of the key functions of our board of directors is informed oversight of our risk management process, including risks from cybersecurity threats. Our board of directors has delegated this cybersecurity risk management oversight function to our audit committee. Under the purview of our audit committee, our President and Chief Operating Officer, General Counsel, and Chief Financial Officer (“CFO”) (collectively, the “Risk and Compliance Committee”) are primarily responsible for assessing, managing and mitigating our critical risks from cybersecurity threats. Our Head of Information Technology (“IT”), who reports directly to our CFO, has primary responsibility for the day-to-day management of our cybersecurity risk management program. The individual currently operating as our Head of IT possesses approximately 20 years of experience with information technology and cybersecurity risk management programs. Our Head of IT’s responsibilities, with support from our internal IT team and external IT consultants, include assessing, monitoring, and managing our cybersecurity risks.</w:t>
      </w:r>
    </w:p>
    <w:p>
      <w:pPr>
        <w:spacing w:after="0" w:line="16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Our Head of IT periodically reports to our CFO on matters relating to our overall cybersecurity risk management program and, in the event of a cybersecurity incident, reports directly to our entire Risk and Compliance Committee. The CFO reports on the cybersecurity risk management program to the other members of our Risk and Compliance Committee and, alongside our General Counsel, provides quarterly cybersecurity risk management briefings to the audit committee, including discussion of cybersecurity risks, that include any recent cybersecurity incidents and related responses, cybersecurity systems testing, activities of third parties, and other matters relevant to our overall cybersecurity risk management. Our audit committee provides quarterly updates, as appropriate, on the cybersecurity risk management program, to our full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Our corporate headquarters are located in Boston, Massachusetts, where we lease a facility containing approximately 81,229 square feet of office, research and development and laboratory space. The lease expires in February 2033, subject to an option to extend the lease for five additional years.</w:t>
      </w:r>
    </w:p>
    <w:p>
      <w:pPr>
        <w:spacing w:after="0" w:line="124"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We also continue to lease approximately 23,189 square feet of space at 6 Tide Street in Boston, Massachusetts, our previous headquarters. The lease expires in November 2025, subject to an option to extend the lease for three additional years.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believe our facilities are adequate and suitable for our current needs and that should it be needed, suitable additional or alternative space will be available to accommodate our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1" w:lineRule="exact"/>
        <w:rPr>
          <w:sz w:val="20"/>
          <w:szCs w:val="20"/>
          <w:color w:val="auto"/>
        </w:rPr>
      </w:pPr>
    </w:p>
    <w:p>
      <w:pPr>
        <w:ind w:right="460" w:firstLine="509"/>
        <w:spacing w:after="0" w:line="270" w:lineRule="auto"/>
        <w:rPr>
          <w:sz w:val="20"/>
          <w:szCs w:val="20"/>
          <w:color w:val="auto"/>
        </w:rPr>
      </w:pPr>
      <w:r>
        <w:rPr>
          <w:rFonts w:ascii="Times New Roman" w:cs="Times New Roman" w:eastAsia="Times New Roman" w:hAnsi="Times New Roman"/>
          <w:sz w:val="14"/>
          <w:szCs w:val="14"/>
          <w:color w:val="auto"/>
        </w:rPr>
        <w:t>From time to time, claims are made against the Company in the ordinary course of business, which could result in litigation. Claims and associated litigation are subject to inherent uncertainties, and unfavorable outcomes could occur. In the opinion of management, the resolution of these matters, if any, will not have a material adverse impact on the Company’s financial position or results of operations.</w:t>
      </w:r>
    </w:p>
    <w:p>
      <w:pPr>
        <w:spacing w:after="0" w:line="15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On February 7, 2025, OSIF filed a complaint in the United States District Court for the Southern District of Ohio against us, alleging claims for breach of contract related to the License Agreement, by and between us and OSIF, dated as of December 14, 2018, as amended. The dispute concerns our payment of sublicensing fees to OSIF arising from the Sublicense Agreement. The complaint seeks compensatory damages, pre-judgment and post-judgment interest, and attorneys' fees and costs, as well as an order for specific performance. We dispute OSIF’s claims and intend to vigorously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defend against the claims. We and OSIF are in discussions concerning mediation of their disputes and, pending agreement on mediation procedures, plan to ask the Court to stay or extend deadlines in the litigation pending the parties’ mediation.</w:t>
      </w:r>
    </w:p>
    <w:p>
      <w:pPr>
        <w:spacing w:after="0" w:line="313" w:lineRule="exact"/>
        <w:rPr>
          <w:sz w:val="20"/>
          <w:szCs w:val="20"/>
          <w:color w:val="auto"/>
        </w:rPr>
      </w:pPr>
    </w:p>
    <w:p>
      <w:pPr>
        <w:jc w:val="center"/>
        <w:ind w:right="938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common stock has traded on the Nasdaq Global Market under the symbol “TRDA” since October 29, 2021. Prior to that date, there was no public trading market for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Our Common Stock</w:t>
      </w:r>
    </w:p>
    <w:p>
      <w:pPr>
        <w:spacing w:after="0" w:line="181"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As of February 20, 2025, there were approximately 20 stockholders of record of our common stock.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81"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required by Item 5 of Form 10-K regarding equity compensation plans is incorporated herein by reference to Item 12 of Part III of this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Equity Securities</w:t>
      </w:r>
    </w:p>
    <w:p>
      <w:pPr>
        <w:spacing w:after="0" w:line="170"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On December 7, 2022, the Company entered into a stock purchase agreement (the “Stock Purchase Agreement”) with Vertex Pharmaceuticals Incorporated (Vertex), pursuant to which Vertex agreed to purchase from the Company 1,618,613 shares (the “Shares”) of the Company’s common stock, par value $0.0001 per share, in a private placement transaction for an aggregate purchase price of approximately $26.3 million or $16.26 per share. The purchase price per Share is equal to one hundred five percent (105%) of the daily volume-weighted average per share price of the Company’s common stock on the Nasdaq Global Market over the ten trading days ending on and including the last trading day prior to the execution of the Stock Purchase Agreement. On February 8, 2023, following the expiration of the waiting period and clearance under the Hart-Scott-Rodino Antitrust Improvements Act of 1976, the private placement transaction closed.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 from Initial Public Offering of Common Stock</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In November 2021, the Company completed its initial public offering (“IPO”) in which the Company issued and sold 10,436,250 shares of its common stock, including 1,361,250 shares pursuant to the full exercise of the underwriters’ option to purchase additional shares, at a public offering price of $20.00 per share. All of the shares of common stock issued and sold in our IPO were registered under the Securities Act pursuant to a registration statement on Form S-1, as amended (File No. 333-260160), which was declared effective by the Securities and Exchange Commission (the “SEC”) on October 28, 2021. Goldman Sachs &amp; Co. LLC, Cowen and Company, LLC and Evercore Group L.L.C. acted as joint book-running managers for the offering.</w:t>
      </w:r>
    </w:p>
    <w:p>
      <w:pPr>
        <w:spacing w:after="0" w:line="140"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The aggregate net proceeds received by the Company from the IPO were approximately $190.7 million, after deducting underwriting discounts and commissions of $14.6 million, and offering expenses payable by the Company of $3.4 million. No offering expenses were paid directly or indirectly to any of our directors or officers (or their associates) or persons owning 10% or more of any class of our equity securities or to any other affiliates.</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has been no material change in our planned use of the net proceeds from the offering as described in our final prospectus.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or Affiliated Purchasers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79"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together with our consolidated financial statements and related notes appearing elsewhere in this Annual Report on Form 10-K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 You should carefully read the “Cautionary Note Regarding Forward Looking Statements” and “Risk Factors” sections of this Annual Report to gain an understanding of the important factors that could cause actual results to differ materially from our forward-looking statements contained in the following discussion and analysis.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are a clinical-stage biopharmaceutical company aiming to transform the lives of patients by establishing a new class of medicines which engage intracellular targets that have long been considered inaccessible. We enter 2025 with significant momentum, including the planned initiation of our next clinical trial of ENTR-601-44, regulatory submissions under review for ENTR-601-45, and the ongoing progress of our VX-670 partnership with Vertex Pharmaceuticals Incorporated (“Vertex”). We plan to have four clinical programs in patients ongoing by the end of 2025, marking a new phase in the Company’s growth. This regulatory progress follows positive preliminary data in healthy volunteers from a Phase 1 clinical trial, ENTR-601-44-101, reported in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Key business updates include:</w:t>
      </w:r>
    </w:p>
    <w:p>
      <w:pPr>
        <w:spacing w:after="0" w:line="200" w:lineRule="exact"/>
        <w:rPr>
          <w:sz w:val="20"/>
          <w:szCs w:val="20"/>
          <w:color w:val="auto"/>
        </w:rPr>
      </w:pPr>
    </w:p>
    <w:p>
      <w:pPr>
        <w:jc w:val="both"/>
        <w:ind w:left="520" w:right="20" w:hanging="260"/>
        <w:spacing w:after="0" w:line="260"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we submitted regulatory applications to initiate global Phase 1/2 MAD clinical studies in patients for ENTR-601-44 in the United States, United Kingdom and Europe. We have also submitted regulatory applications to initiate a Phase 1/2 MAD clinical study of ENTR-601-45 in the United Kingdom and Europe for patients living with DMD who are amenable to exon 45 skipping.</w:t>
      </w:r>
    </w:p>
    <w:p>
      <w:pPr>
        <w:ind w:left="520" w:right="120" w:hanging="260"/>
        <w:spacing w:after="0" w:line="253"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3, 2025, we announced the receipt of authorization from the United Kingdom’s Medicines and Healthcare Products Regulatory Agency (“MHRA”) and Research Ethics Committee for its Clinical Trial of an Investigational Medicinal Product to initiate ELEVATE-44-201, a Phase 1/2 multiple ascending dose (“MAD”) clinical study of ENTR-601-44 for the potential treatment of Duchenne muscular dystrophy (“Duchenne” or “DMD”) in patients with a confirmed mutation in the DMD gene amenable to exon 44 skipping. We are on track to initiate ELEVATE-44-201 in the United Kingdom in the second quarter of 2025.</w:t>
      </w:r>
    </w:p>
    <w:p>
      <w:pPr>
        <w:jc w:val="both"/>
        <w:ind w:left="520" w:right="240" w:hanging="260"/>
        <w:spacing w:after="0" w:line="253"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24, 2025, we announced that the United States Food and Drug Administration (“FDA”) had lifted the clinical hold on the Investigational New Drug application (“IND”) for ENTR-601-44, and we received authorization to initiate ELEVATE-44-102, a Phase 1b MAD clinical study of ENTR-601-44 in adult DMD patients. The Company plans to initiate study enrollment in the first half of 2026.</w:t>
      </w:r>
    </w:p>
    <w:p>
      <w:pPr>
        <w:ind w:left="520" w:right="40" w:hanging="260"/>
        <w:spacing w:after="0" w:line="253"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positive preclinical data, we are on track to submit regulatory applications to initiate a clinical trial of our third Duchenne product candidate, ENTR-601-50, in patients who are exon 50 skipping amenable, in the fourth quarter of 2025.</w:t>
      </w: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we selected ENTR-601-51 as our clinical candidate for our exon 51 program in patients who are exon 51 skipping amenable, and expect to submit global regulatory filings in 2026.</w:t>
      </w:r>
    </w:p>
    <w:p>
      <w:pPr>
        <w:spacing w:after="0" w:line="8" w:lineRule="exact"/>
        <w:rPr>
          <w:rFonts w:ascii="Times New Roman" w:cs="Times New Roman" w:eastAsia="Times New Roman" w:hAnsi="Times New Roman"/>
          <w:sz w:val="14"/>
          <w:szCs w:val="14"/>
          <w:color w:val="auto"/>
        </w:rPr>
      </w:pPr>
    </w:p>
    <w:p>
      <w:pPr>
        <w:ind w:left="520" w:right="120" w:hanging="260"/>
        <w:spacing w:after="0" w:line="253"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Vertex partnered candidate, VX-670, is in an ongoing global Phase 1/2 clinical trial, and in November 2024, Vertex announced completion of the Phase 1 SAD portion of the study and initiation of the Phase 2 MAD portion to evaluate both safety and efficacy.</w:t>
      </w:r>
    </w:p>
    <w:p>
      <w:pPr>
        <w:ind w:left="520" w:right="40" w:hanging="260"/>
        <w:spacing w:after="0" w:line="266"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also generated positive preclinical data from programs outside of our neuromuscular franchise, which include new moieties, and expect to share our first clinical candidate in ocular disease later in 2025.</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6"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We believe that the potential success of our early programs can translate into the efficient development of additional therapeutic candidates and allow us to build portfolios in neuromuscular disease and beyond.</w:t>
      </w:r>
    </w:p>
    <w:p>
      <w:pPr>
        <w:spacing w:after="0" w:line="124" w:lineRule="exact"/>
        <w:rPr>
          <w:sz w:val="20"/>
          <w:szCs w:val="20"/>
          <w:color w:val="auto"/>
        </w:rPr>
      </w:pPr>
    </w:p>
    <w:p>
      <w:pPr>
        <w:jc w:val="both"/>
        <w:ind w:right="120" w:firstLine="509"/>
        <w:spacing w:after="0" w:line="262" w:lineRule="auto"/>
        <w:rPr>
          <w:sz w:val="20"/>
          <w:szCs w:val="20"/>
          <w:color w:val="auto"/>
        </w:rPr>
      </w:pPr>
      <w:r>
        <w:rPr>
          <w:rFonts w:ascii="Times New Roman" w:cs="Times New Roman" w:eastAsia="Times New Roman" w:hAnsi="Times New Roman"/>
          <w:sz w:val="14"/>
          <w:szCs w:val="14"/>
          <w:color w:val="auto"/>
        </w:rPr>
        <w:t>Since our inception, we have devoted substantially all our resources to research and development efforts relating to our EEV Platform, advancing development of our portfolio of programs and general and administrative support for these operations, including raising capital. We have raised over $850.0 million of gross proceeds from equity sales to leading biotechnology investors and from the Vertex Agreement.</w:t>
      </w:r>
    </w:p>
    <w:p>
      <w:pPr>
        <w:spacing w:after="0" w:line="131" w:lineRule="exact"/>
        <w:rPr>
          <w:sz w:val="20"/>
          <w:szCs w:val="20"/>
          <w:color w:val="auto"/>
        </w:rPr>
      </w:pPr>
    </w:p>
    <w:p>
      <w:pPr>
        <w:ind w:right="260" w:firstLine="509"/>
        <w:spacing w:after="0" w:line="253" w:lineRule="auto"/>
        <w:rPr>
          <w:sz w:val="20"/>
          <w:szCs w:val="20"/>
          <w:color w:val="auto"/>
        </w:rPr>
      </w:pPr>
      <w:r>
        <w:rPr>
          <w:rFonts w:ascii="Times New Roman" w:cs="Times New Roman" w:eastAsia="Times New Roman" w:hAnsi="Times New Roman"/>
          <w:sz w:val="14"/>
          <w:szCs w:val="14"/>
          <w:color w:val="auto"/>
        </w:rPr>
        <w:t>Since inception, we have incurred significant net losses. As of December 31, 2024, we had an accumulated deficit of $129.3 million. We expect to generate operating losses and negative operating cash flows for the foreseeable future as we advance our platform and EEV therapeutic candidates. We will not generate any revenue from product sales unless and until we successfully complete clinical development and obtain regulatory approval for one or more therapeutic candidates, if ever. If we obtain regulatory approval for any therapeutic candidates, we expect to incur significant expenses related to developing our internal commercialization capability to support product sales, marketing and distribution.</w:t>
      </w:r>
    </w:p>
    <w:p>
      <w:pPr>
        <w:spacing w:after="0" w:line="149"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Furthermore, we expect to continue to incur additional costs associated with operating as a public company, including significant legal, accounting, investor relations and other expenses. As a result, we will need substantial additional funding to support our continuing operations and pursue our growth strategy, as we advance therapeutic candidates through preclinical and, if successful, into clinical development, seek regulatory approval, prepare for and, if any therapeutic candidates are approved, proceed to commercialization and operate as a public company. Until such time as we can generate significant revenue from product sales, if ever, we expect to finance our operations through the sale of equity, debt financings or other capital sources, including potential collaborations with other companies or other strategic transactions.</w:t>
      </w:r>
    </w:p>
    <w:p>
      <w:pPr>
        <w:spacing w:after="0" w:line="14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If we are unable to obtain funding, we will be forced to delay, reduce, or eliminate some or all of our research and development programs, product portfolio expansion and ultimate commercialization efforts, which would adversely affect our business prospects, or we may be unable to continue operations. Although we continue to pursue these plans, we may not be successful in obtaining sufficient funding on terms acceptable to us to fund continuing operations, if at all.</w:t>
      </w:r>
    </w:p>
    <w:p>
      <w:pPr>
        <w:spacing w:after="0" w:line="131" w:lineRule="exact"/>
        <w:rPr>
          <w:sz w:val="20"/>
          <w:szCs w:val="20"/>
          <w:color w:val="auto"/>
        </w:rPr>
      </w:pPr>
    </w:p>
    <w:p>
      <w:pPr>
        <w:jc w:val="both"/>
        <w:ind w:right="120" w:firstLine="509"/>
        <w:spacing w:after="0" w:line="262"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product development, we are unable to predict the timing or amount of increased expenses or when or if we will be able to achieve or maintain profitability. Even if we can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3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As of December 31, 2024, we had cash, cash equivalents and marketable securities of $420.0 million. Based on our current operating plans, we believe that our cash, cash equivalents and marketable securities as of December 31, 2024 will be sufficient to fund our operations into the second quarter of 2027. We have based this estimate on assumptions that may prove to be wrong, and we could exhaust our available capital resources sooner than we expect. See “Management’s Discussion and Analysis of Financial Condition and Results of Operations—Liquidity and Capital Resources.” To finance our operations beyond that point we will need to raise additional capital, which cannot be assured.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Substantially all of our revenue to date has been derived from the Vertex Agreement. We do not expect to generate any revenue from the sale of products unless and until such time that our product candidates have advanced through clinical development and regulatory approval, if ever. If our development efforts for our therapeutic candidates are successful and result in regulatory approval or we successfully enter into collaboration or license arrangements with third parties, we may generate revenue in the future from product sales, payments from collaboration or license arrangements including those that we may enter into with third parties, or any combination thereof.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Research and development expenses consist primarily of costs incurred for our research activities, including our discovery efforts, and the development of our programs. These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personnel-related expenses, including salaries, related benefits and stock-based compensation expense for individuals engaged in research and development functions;</w:t>
      </w:r>
    </w:p>
    <w:p>
      <w:pPr>
        <w:spacing w:after="0" w:line="178"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connection with our research programs and development of our therapeutic candidates and research programs, including under agreements with third parties, such as consultants, contractors and CROs to conduct preclinical studies and clinical trials;</w:t>
      </w:r>
    </w:p>
    <w:p>
      <w:pPr>
        <w:spacing w:after="0" w:line="124"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developing and validating our manufacturing process for use in our preclinical studies and potential future clinical trials, including the cost of raw materials used in our research and development activities and engaging with third party CMOs;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incurred in connection with the performance of research and development activities under the Vertex Agreement;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laboratory supplies and research materials;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payments made under third-party licensing agreements and related future payments should certain development and regulatory milestones be achieved;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depreciation and other direct and allocated expenses, including rent and other operating costs, incurred as a result of our research and development activities.</w:t>
      </w:r>
    </w:p>
    <w:p>
      <w:pPr>
        <w:spacing w:after="0" w:line="17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4"/>
          <w:szCs w:val="14"/>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agreements are accrued, with a corresponding expense being recognized, in the period in which the milestone is determined to be probable of achievement and the related amount is reasonably estimable.</w:t>
      </w:r>
    </w:p>
    <w:p>
      <w:pPr>
        <w:spacing w:after="0" w:line="14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Our research and development costs are primarily devoted to supporting our neuromuscular program development and platform discovery efforts. Our direct external research and development expenses consist primarily of fees paid to outside consultants, CROs, CMOs and research laboratories in connection with our process development, manufacturing and clinical development activities. Our direct external research and development expenses also include fees incurred under license and intellectual property purchase agreements. We track these external research and development costs on a program-by-program basis as we identify specific programs and product candidates to advance into clinical development.</w:t>
      </w:r>
    </w:p>
    <w:p>
      <w:pPr>
        <w:spacing w:after="0" w:line="149" w:lineRule="exact"/>
        <w:rPr>
          <w:sz w:val="20"/>
          <w:szCs w:val="20"/>
          <w:color w:val="auto"/>
        </w:rPr>
      </w:pPr>
    </w:p>
    <w:p>
      <w:pPr>
        <w:jc w:val="both"/>
        <w:ind w:right="240" w:firstLine="509"/>
        <w:spacing w:after="0" w:line="254" w:lineRule="auto"/>
        <w:rPr>
          <w:sz w:val="20"/>
          <w:szCs w:val="20"/>
          <w:color w:val="auto"/>
        </w:rPr>
      </w:pPr>
      <w:r>
        <w:rPr>
          <w:rFonts w:ascii="Times New Roman" w:cs="Times New Roman" w:eastAsia="Times New Roman" w:hAnsi="Times New Roman"/>
          <w:sz w:val="14"/>
          <w:szCs w:val="14"/>
          <w:color w:val="auto"/>
        </w:rPr>
        <w:t>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and third-party consultants primarily to conduct our research and development activities as well as for managing our process development, manufacturing and clinical development activities.</w:t>
      </w:r>
    </w:p>
    <w:p>
      <w:pPr>
        <w:spacing w:after="0" w:line="147"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4"/>
          <w:szCs w:val="14"/>
          <w:color w:val="auto"/>
        </w:rPr>
        <w:t>Therapeutic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platform development efforts and planned preclinical and clinical development activities in the near term and in the future. We expect that the research and development expenses of our programs will increase in the near term as we initiate and conduct clinical trials as well as investigational new drug (CTA/IND)-enabling activities for our therapeutic candidates. Therefore, we cannot reasonably estimate or know the nature, timing, and costs of the efforts that will be necessary to complete the preclinical and clinical development of any of our therapeutic candidates. The successful development of our therapeutic candidates is highly uncertain. This is due to the numerous risks and uncertainties associated with product development, including the following:</w:t>
      </w:r>
    </w:p>
    <w:p>
      <w:pPr>
        <w:spacing w:after="0" w:line="152" w:lineRule="exact"/>
        <w:rPr>
          <w:sz w:val="20"/>
          <w:szCs w:val="20"/>
          <w:color w:val="auto"/>
        </w:rPr>
      </w:pPr>
    </w:p>
    <w:p>
      <w:pPr>
        <w:ind w:left="520" w:right="160" w:hanging="260"/>
        <w:spacing w:after="0" w:line="287"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rate of progress and expenses of our ongoing and potential future research activities, including preclinical and IND-enabling studies, clinical trials and other research and development activities we decide to pursue;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successful initiation, enrollment and completion of clinical trials under current good clinical practices;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filing and acceptance of INDs or comparable foreign applications that allow commencement of future clinical trials for our therapeutic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our therapeutic candidates show safety and efficacy in our clinical trials and an acceptable risk-benefit profile in the intended populations;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key research and development personnel;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develop, obtain regulatory and marketing approvals of our therapeutic candidates for the expected indications and patient populations;</w:t>
      </w:r>
    </w:p>
    <w:p>
      <w:pPr>
        <w:spacing w:after="0" w:line="178" w:lineRule="exact"/>
        <w:rPr>
          <w:rFonts w:ascii="Times New Roman" w:cs="Times New Roman" w:eastAsia="Times New Roman" w:hAnsi="Times New Roman"/>
          <w:sz w:val="14"/>
          <w:szCs w:val="14"/>
          <w:color w:val="auto"/>
        </w:rPr>
      </w:pPr>
    </w:p>
    <w:p>
      <w:pPr>
        <w:ind w:left="520" w:right="340" w:hanging="260"/>
        <w:spacing w:after="0" w:line="287"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agreements with third-party manufacturers for clinical supply for our clinical trials and commercial manufacturing, if our therapeutic candidates are approved;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commercializing therapeutic candidates, if and when approved, whether alone or in collaboration with others;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 continued acceptable safety, tolerability and efficacy profile of our therapeutic candidates following approval;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new licensing or collaboration arrangements to support our potential therapeutic candidates on favorable business terms;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decisions we make to discontinue, delay or modify our programs to focus on others;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maintaining, protecting and enforcing patent and trade secret protection and regulatory exclusivity for our therapeutic candidates;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adequate coverage and reimbursement from third party payors.</w:t>
      </w:r>
    </w:p>
    <w:p>
      <w:pPr>
        <w:spacing w:after="0" w:line="179"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A change in the outcome of any of these variables with respect to the development of any of our therapeutic candidates could significantly change the costs and timing associated with the development of that therapeutic candidate. We may never succeed in obtaining regulatory approval for any of our therapeutic candidates.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1"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consist primarily of salaries and personnel-related costs, including stock-based compensation, for our personnel in executive, legal, finance and accounting, corporate and business development, human resources and other administrative functions. General and administrative expenses also include: legal fees relating to intellectual property and corporate matters; professional fees paid for accounting, auditing, consulting and tax services; insurance costs; travel expenses; information technology expenses; and facility costs not otherwise included in research and development expenses.</w:t>
      </w:r>
    </w:p>
    <w:p>
      <w:pPr>
        <w:spacing w:after="0" w:line="14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We anticipate that our general and administrative expenses will increase in the future as we increase our headcount and expand our facilities to support our continued research activities and development of our programs and EEV Platform. We also anticipate that we will incur increased accounting, audit, legal, regulatory, compliance, director and officer insurance and investor and public relations expenses associated with operating as a public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and other income (expense) consists primarily of interest earned on our invested cash equivalents and marketable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81"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The Company recorded income tax expense of $0.9 million for the year ended December 31, 2024 and income tax expense of $18.7 million for the year ended December 31, 2023. The income tax expense recorded for the year ended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December 31, 2024 was driven largely by the current tax liability associated with the $75.0 million payment for the achievement of the clinical advancement milestone for VX-670 and $1.7 million in related interest owed to taxing authorities pursuant to Section 453A. The income tax expense recorded for the year ended December 31, 2023 was driven largely by the current tax liability associated with the tax recognition of the upfront payment received pursuant to the Vertex Agreement and the capitalization of research and development expenses under Section 174. For both periods, a significant portion of the taxable income related to the collaboration payments was offset by current year expenses and prior year accumulated losses. For additional details about the current year tax provision, refer to Note 9,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to the Consolidated Financial Statements appearing elsewhere in this Annual Report on Form 10-K.</w:t>
      </w:r>
    </w:p>
    <w:p>
      <w:pPr>
        <w:spacing w:after="0" w:line="143"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As of December 31, 2024, we had federal net operating loss carryforwards of $4.2 million, which may be available to offset future taxable income. None of our federal net operating loss carryforwards will expire, but all are limited in their usage to an annual deduction equal to 80% of annual taxable income. In addition, as of December 31, 2024, we had state net operating loss carryforwards of $6.0 million, which may be available to offset future taxable income and expire at various dates beginning in 2036. As of December 31, 2024, we also had federal and state research and development tax credit carryforwards of $3.4 million and $1.5 million, respectively, which may be available to reduce future tax liabilities and expire at various dates beginning in 2039 and 2035,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Judgments and Estimates</w:t>
      </w:r>
    </w:p>
    <w:p>
      <w:pPr>
        <w:spacing w:after="0" w:line="18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judgments,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6" w:lineRule="exact"/>
        <w:rPr>
          <w:sz w:val="20"/>
          <w:szCs w:val="20"/>
          <w:color w:val="auto"/>
        </w:rPr>
      </w:pPr>
    </w:p>
    <w:p>
      <w:pPr>
        <w:jc w:val="both"/>
        <w:ind w:right="400" w:firstLine="509"/>
        <w:spacing w:after="0" w:line="287"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Note 2 to our consolidated financial statements appearing elsewhere in this Annual Report, we believe that the following accounting policies are those most critical to the judgments and estimates used in the preparation of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jc w:val="both"/>
        <w:ind w:right="380" w:firstLine="509"/>
        <w:spacing w:after="0" w:line="270" w:lineRule="auto"/>
        <w:rPr>
          <w:sz w:val="20"/>
          <w:szCs w:val="20"/>
          <w:color w:val="auto"/>
        </w:rPr>
      </w:pPr>
      <w:r>
        <w:rPr>
          <w:rFonts w:ascii="Times New Roman" w:cs="Times New Roman" w:eastAsia="Times New Roman" w:hAnsi="Times New Roman"/>
          <w:sz w:val="14"/>
          <w:szCs w:val="14"/>
          <w:color w:val="auto"/>
        </w:rPr>
        <w:t xml:space="preserve">Substantially all of our revenue to date has been generated from the Vertex Agreement. We account for revenue pursuant to ASC Topic 606, "Revenue from Contracts with Customers" ("ASC 606"). For additional details regarding our associated accounting policies of ASC 606, refer to Notes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and 12, </w:t>
      </w:r>
      <w:r>
        <w:rPr>
          <w:rFonts w:ascii="Times New Roman" w:cs="Times New Roman" w:eastAsia="Times New Roman" w:hAnsi="Times New Roman"/>
          <w:sz w:val="14"/>
          <w:szCs w:val="14"/>
          <w:i w:val="1"/>
          <w:iCs w:val="1"/>
          <w:color w:val="auto"/>
        </w:rPr>
        <w:t>Collaboration and License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w:t>
      </w:r>
      <w:r>
        <w:rPr>
          <w:rFonts w:ascii="Times New Roman" w:cs="Times New Roman" w:eastAsia="Times New Roman" w:hAnsi="Times New Roman"/>
          <w:sz w:val="14"/>
          <w:szCs w:val="14"/>
          <w:color w:val="auto"/>
        </w:rPr>
        <w:t>, to the consolidated financial statements appearing elsewhere in this Annual Report on Form 10-K.</w:t>
      </w:r>
    </w:p>
    <w:p>
      <w:pPr>
        <w:spacing w:after="0" w:line="136"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As part of the process of preparing our consolidated financial statements, we are required to make the following significant judgements and estimates to determine amounts to be recognized in collaboration revenue.</w:t>
      </w:r>
    </w:p>
    <w:p>
      <w:pPr>
        <w:spacing w:after="0" w:line="124"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Company recognizes revenue as research and development services are provided using an input method, according to the costs incurred as related to the respective research services and the costs expected to be incurred in the future to satisfy the performance obligations. As the Company progresses towards satisfaction of performance obligations under the Vertex Agreement, the estimated costs associated with the remaining effort required to complete the performance obligations in accordance with the research plans may change, which may materially impact revenue recognition. The Company regularly evaluates and, when necessary, updates the costs associated with the remaining effort pursuant to the performance obligations under the Vertex Agreement.</w:t>
      </w:r>
    </w:p>
    <w:p>
      <w:pPr>
        <w:spacing w:after="0" w:line="140"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subsequent reporting period, the Company re-evaluates the estimated variable consideration included in the transaction price and any related constraint, and if necessary, adjusts its estimate of the overall transaction price.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We make estimates of our accrued expenses as of each balance sheet date in the consolidated financial statements based on facts and circumstances known to us at that time. We periodically corroborate the accuracy of these estimates with the service providers and make adjustments, as necessary. Examples of estimated accrued research and development expenses include those related to fees paid to:</w:t>
      </w:r>
    </w:p>
    <w:p>
      <w:pPr>
        <w:spacing w:after="0" w:line="140" w:lineRule="exact"/>
        <w:rPr>
          <w:sz w:val="20"/>
          <w:szCs w:val="20"/>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vendors in connection with discovery and preclinical development activities;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CROs in connection with the ELEVATE clinical studies;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manufacturers in connection with the development and scale up activities and the production of materials.</w:t>
      </w:r>
    </w:p>
    <w:p>
      <w:pPr>
        <w:spacing w:after="0" w:line="17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We base the expense recorded related to contract research and manufacturing on our estimates of the services received and efforts expended pursuant to quotes and contracts with multiple service providers that conduct services and supply materials. The financial terms of these agreements are subject to negotiation, vary from contract to contract and may result in uneven payment flows. In accruing service fees, we estimate the time period over which services were performed and the level of effort expended in each period. If the actual timing of the performance of services or the level of effort varies from the estimate, we adjust the accrual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There may be instances in which payments made to our vendors will exceed the level of services provided and result in a prepayment of the expense. We record these as prepaid expenses on our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4"/>
          <w:szCs w:val="14"/>
          <w:color w:val="auto"/>
        </w:rPr>
        <w:t xml:space="preserve">We account for all stock-based compensation awards granted as stock-based compensation expense at fair value in accordance with FASB ASC Topic 718, </w:t>
      </w:r>
      <w:r>
        <w:rPr>
          <w:rFonts w:ascii="Times New Roman" w:cs="Times New Roman" w:eastAsia="Times New Roman" w:hAnsi="Times New Roman"/>
          <w:sz w:val="14"/>
          <w:szCs w:val="14"/>
          <w:i w:val="1"/>
          <w:iCs w:val="1"/>
          <w:color w:val="auto"/>
        </w:rPr>
        <w:t>Compensation—Stock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Compensation </w:t>
      </w:r>
      <w:r>
        <w:rPr>
          <w:rFonts w:ascii="Times New Roman" w:cs="Times New Roman" w:eastAsia="Times New Roman" w:hAnsi="Times New Roman"/>
          <w:sz w:val="14"/>
          <w:szCs w:val="14"/>
          <w:color w:val="auto"/>
        </w:rPr>
        <w:t>(ASC 718). Our stock-based payments include stock options, restricted stock units (“RSUs”), and performance stock units (“PSUs”). We estimate the fair value of stock options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granted using the Black-Scholes option-pricing model (“Black-Scholes”) for stock option grants to both employees and non-employees. The fair value of the Company’s common stock is used to determine the fair value of RSUs and PSUs. The Company’s stock-based compensation awards are subject to service-based vesting conditions. Compensation expense related to stock option awards and RSUs awards with only service-based vesting is recognized over the requisite service period, which is generally the vesting period, on a straight-line basis. For PSUs, which also contain performance based vesting criteria, we recognize stock-based compensation expense over the requisite service period using the accelerated attribution method once achievement is probable. Stock-based compensation expense is classified in the accompanying consolidated statements of operations in the same manner in which the award recipient’s payroll costs are classified or in which the award recipient’s service payments are classified.</w:t>
      </w:r>
    </w:p>
    <w:p>
      <w:pPr>
        <w:spacing w:after="0" w:line="14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 xml:space="preserve">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4"/>
          <w:szCs w:val="14"/>
          <w:i w:val="1"/>
          <w:iCs w:val="1"/>
          <w:color w:val="auto"/>
        </w:rPr>
        <w:t>Valuation of Privately-Held-Company Equity Securities Issued 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Compensation </w:t>
      </w:r>
      <w:r>
        <w:rPr>
          <w:rFonts w:ascii="Times New Roman" w:cs="Times New Roman" w:eastAsia="Times New Roman" w:hAnsi="Times New Roman"/>
          <w:sz w:val="14"/>
          <w:szCs w:val="14"/>
          <w:color w:val="auto"/>
        </w:rPr>
        <w:t>(“Practice Aid”). The Practice Aid identifies various available methods for allocating the enterprise value across classes of series of capital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determining the fair value of our common stock at each valuation date. Since our IPO, we have determined the fair market value of our common stock using the closing price of our common stock as reported on the Nasdaq Global Market on the date of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79" w:lineRule="exact"/>
        <w:rPr>
          <w:sz w:val="20"/>
          <w:szCs w:val="20"/>
          <w:color w:val="auto"/>
        </w:rPr>
      </w:pPr>
    </w:p>
    <w:p>
      <w:pPr>
        <w:ind w:right="40" w:firstLine="509"/>
        <w:spacing w:after="0" w:line="290" w:lineRule="auto"/>
        <w:rPr>
          <w:sz w:val="20"/>
          <w:szCs w:val="20"/>
          <w:color w:val="auto"/>
        </w:rPr>
      </w:pPr>
      <w:r>
        <w:rPr>
          <w:rFonts w:ascii="Times New Roman" w:cs="Times New Roman" w:eastAsia="Times New Roman" w:hAnsi="Times New Roman"/>
          <w:sz w:val="14"/>
          <w:szCs w:val="14"/>
          <w:color w:val="auto"/>
        </w:rPr>
        <w:t xml:space="preserve">See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in the notes to our consolidated financial statements included elsewhere in this Annual Report for a description of recent accounting pronouncements applicable to our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Comparison of the years ended December 31, 2024 and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revenue</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81,769</w:t>
            </w:r>
          </w:p>
        </w:tc>
        <w:tc>
          <w:tcPr>
            <w:tcW w:w="0" w:type="dxa"/>
            <w:vAlign w:val="bottom"/>
          </w:tcPr>
          <w:p>
            <w:pPr>
              <w:spacing w:after="0"/>
              <w:rPr>
                <w:sz w:val="1"/>
                <w:szCs w:val="1"/>
                <w:color w:val="auto"/>
              </w:rPr>
            </w:pPr>
          </w:p>
        </w:tc>
      </w:tr>
      <w:tr>
        <w:trPr>
          <w:trHeight w:val="196"/>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125,306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25,422</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38,465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32,291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6,174</w:t>
            </w:r>
          </w:p>
        </w:tc>
        <w:tc>
          <w:tcPr>
            <w:tcW w:w="0" w:type="dxa"/>
            <w:vAlign w:val="bottom"/>
          </w:tcPr>
          <w:p>
            <w:pPr>
              <w:spacing w:after="0"/>
              <w:rPr>
                <w:sz w:val="1"/>
                <w:szCs w:val="1"/>
                <w:color w:val="auto"/>
              </w:rPr>
            </w:pPr>
          </w:p>
        </w:tc>
      </w:tr>
      <w:tr>
        <w:trPr>
          <w:trHeight w:val="192"/>
        </w:trPr>
        <w:tc>
          <w:tcPr>
            <w:tcW w:w="6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163,771</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132,175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31,596</w:t>
            </w:r>
          </w:p>
        </w:tc>
        <w:tc>
          <w:tcPr>
            <w:tcW w:w="0" w:type="dxa"/>
            <w:vAlign w:val="bottom"/>
          </w:tcPr>
          <w:p>
            <w:pPr>
              <w:spacing w:after="0"/>
              <w:rPr>
                <w:sz w:val="1"/>
                <w:szCs w:val="1"/>
                <w:color w:val="auto"/>
              </w:rPr>
            </w:pPr>
          </w:p>
        </w:tc>
      </w:tr>
      <w:tr>
        <w:trPr>
          <w:trHeight w:val="192"/>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47,011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50,173</w:t>
            </w:r>
          </w:p>
        </w:tc>
        <w:tc>
          <w:tcPr>
            <w:tcW w:w="0" w:type="dxa"/>
            <w:vAlign w:val="bottom"/>
          </w:tcPr>
          <w:p>
            <w:pPr>
              <w:spacing w:after="0"/>
              <w:rPr>
                <w:sz w:val="1"/>
                <w:szCs w:val="1"/>
                <w:color w:val="auto"/>
              </w:rPr>
            </w:pPr>
          </w:p>
        </w:tc>
      </w:tr>
      <w:tr>
        <w:trPr>
          <w:trHeight w:val="18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4,256</w:t>
            </w:r>
          </w:p>
        </w:tc>
        <w:tc>
          <w:tcPr>
            <w:tcW w:w="0" w:type="dxa"/>
            <w:vAlign w:val="bottom"/>
          </w:tcPr>
          <w:p>
            <w:pPr>
              <w:spacing w:after="0"/>
              <w:rPr>
                <w:sz w:val="1"/>
                <w:szCs w:val="1"/>
                <w:color w:val="auto"/>
              </w:rPr>
            </w:pPr>
          </w:p>
        </w:tc>
      </w:tr>
      <w:tr>
        <w:trPr>
          <w:trHeight w:val="192"/>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income</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4,256</w:t>
            </w:r>
          </w:p>
        </w:tc>
        <w:tc>
          <w:tcPr>
            <w:tcW w:w="0" w:type="dxa"/>
            <w:vAlign w:val="bottom"/>
          </w:tcPr>
          <w:p>
            <w:pPr>
              <w:spacing w:after="0"/>
              <w:rPr>
                <w:sz w:val="1"/>
                <w:szCs w:val="1"/>
                <w:color w:val="auto"/>
              </w:rPr>
            </w:pPr>
          </w:p>
        </w:tc>
      </w:tr>
      <w:tr>
        <w:trPr>
          <w:trHeight w:val="192"/>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66,485</w:t>
            </w:r>
          </w:p>
        </w:tc>
        <w:tc>
          <w:tcPr>
            <w:tcW w:w="100" w:type="dxa"/>
            <w:vAlign w:val="bottom"/>
          </w:tcPr>
          <w:p>
            <w:pPr>
              <w:spacing w:after="0"/>
              <w:rPr>
                <w:sz w:val="16"/>
                <w:szCs w:val="16"/>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12,056</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54,429</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17,882</w:t>
            </w:r>
          </w:p>
        </w:tc>
        <w:tc>
          <w:tcPr>
            <w:tcW w:w="0" w:type="dxa"/>
            <w:vAlign w:val="bottom"/>
          </w:tcPr>
          <w:p>
            <w:pPr>
              <w:spacing w:after="0"/>
              <w:rPr>
                <w:sz w:val="1"/>
                <w:szCs w:val="1"/>
                <w:color w:val="auto"/>
              </w:rPr>
            </w:pPr>
          </w:p>
        </w:tc>
      </w:tr>
      <w:tr>
        <w:trPr>
          <w:trHeight w:val="198"/>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65,626</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72,311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3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3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91"/>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Direct research and development expenses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ENTR-601-44</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13,109</w:t>
            </w:r>
          </w:p>
        </w:tc>
        <w:tc>
          <w:tcPr>
            <w:tcW w:w="100" w:type="dxa"/>
            <w:vAlign w:val="bottom"/>
          </w:tcPr>
          <w:p>
            <w:pPr>
              <w:spacing w:after="0"/>
              <w:rPr>
                <w:sz w:val="17"/>
                <w:szCs w:val="17"/>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10,043</w:t>
            </w:r>
          </w:p>
        </w:tc>
        <w:tc>
          <w:tcPr>
            <w:tcW w:w="10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ENTR-601-45</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196"/>
        </w:trPr>
        <w:tc>
          <w:tcPr>
            <w:tcW w:w="6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ENTR-601-50</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7,835</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ENTR-601-51</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96"/>
        </w:trPr>
        <w:tc>
          <w:tcPr>
            <w:tcW w:w="63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Collaboration services</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12,074</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preclinical and discovery</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0" w:type="dxa"/>
            <w:vAlign w:val="bottom"/>
          </w:tcPr>
          <w:p>
            <w:pPr>
              <w:spacing w:after="0"/>
              <w:rPr>
                <w:sz w:val="1"/>
                <w:szCs w:val="1"/>
                <w:color w:val="auto"/>
              </w:rPr>
            </w:pPr>
          </w:p>
        </w:tc>
      </w:tr>
      <w:tr>
        <w:trPr>
          <w:trHeight w:val="196"/>
        </w:trPr>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Unallocated research and development expenses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Personnel related (including stock-based compensation)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Facility related and other</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29,655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25,580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125,306</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99,884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0" w:firstLine="509"/>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were $125.3 million for the year ended December 31, 2024, compared to $99.9 million for the year ended December 31, 2023. The increase of $25.4 million in research and development expenses was primarily attributable to:</w:t>
      </w:r>
    </w:p>
    <w:p>
      <w:pPr>
        <w:spacing w:after="0" w:line="124" w:lineRule="exact"/>
        <w:rPr>
          <w:sz w:val="20"/>
          <w:szCs w:val="20"/>
          <w:color w:val="auto"/>
        </w:rPr>
      </w:pPr>
    </w:p>
    <w:p>
      <w:pPr>
        <w:ind w:left="520" w:right="420" w:hanging="260"/>
        <w:spacing w:after="0" w:line="287" w:lineRule="auto"/>
        <w:tabs>
          <w:tab w:leader="none" w:pos="51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$10.8 million in direct research and development costs primarily driven by additional activities performed to advance our DMD programs and discovery work for future product candidates;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right="20" w:hanging="260"/>
        <w:spacing w:after="0" w:line="287" w:lineRule="auto"/>
        <w:tabs>
          <w:tab w:leader="none" w:pos="51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10.5 million in personnel related costs driven by increased headcount in our research and development function, inclusive of stock-based compensation expense of $7.8 million and $6.2 million for the years ended December 31, 2024 and 2023, respectively; and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$4.1 million in facility related and other costs to support our expanding operations.</w:t>
      </w:r>
    </w:p>
    <w:p>
      <w:pPr>
        <w:spacing w:after="0" w:line="179"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We expect that our research and development expenses will increase as we advance ENTR-601-44 and ENTR-601-45 through clinical trials, progress ENTR-601-50 and ENTR-601-51 through preclinical development and into clinical trials, and continue to perform discovery work for future product candidates.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1" w:lineRule="exact"/>
        <w:rPr>
          <w:sz w:val="20"/>
          <w:szCs w:val="20"/>
          <w:color w:val="auto"/>
        </w:rPr>
      </w:pPr>
    </w:p>
    <w:p>
      <w:pPr>
        <w:ind w:right="660" w:firstLine="509"/>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for the year ended December 31, 2024 were $38.5 million, compared to $32.3 million for the year ended December 31, 2023. The increase of $6.2 million was primarily attributable to the following:</w:t>
      </w:r>
    </w:p>
    <w:p>
      <w:pPr>
        <w:spacing w:after="0" w:line="124" w:lineRule="exact"/>
        <w:rPr>
          <w:sz w:val="20"/>
          <w:szCs w:val="20"/>
          <w:color w:val="auto"/>
        </w:rPr>
      </w:pPr>
    </w:p>
    <w:p>
      <w:pPr>
        <w:ind w:left="520" w:right="20" w:hanging="260"/>
        <w:spacing w:after="0" w:line="287" w:lineRule="auto"/>
        <w:tabs>
          <w:tab w:leader="none" w:pos="5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$5.9 million increase in personnel-related costs, primarily as a result of the increase in headcount in our general and administrative function, inclusive of stock-based compensation expense of $10.1 million and $6.9 million for the years ended December 31, 2024 and 2023,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Other Income</w:t>
      </w:r>
    </w:p>
    <w:p>
      <w:pPr>
        <w:spacing w:after="0" w:line="18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Total interest and other income was $19.5 million for the year ended December 31, 2024, compared to $15.2 million of interest and other income for the year ended December 31, 2023. This increase is primarily driven by higher interest rates and larger investments in debt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Provision for Income Taxes</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Company recorded income tax expense of $0.9 million for the year ended December 31, 2024 and income tax expense of $18.7 million for the year ended December 31, 2023. The income tax expense recorded for the year ended December 31, 2024 was driven largely by the current tax liability associated with the $75.0 million payment for the achievement of the clinical advancement milestone for VX-670 and $1.7 million in related interest owed to taxing authorities pursuant to Section 453A. The income tax expense recorded for the year ended December 31, 2023 was driven largely by the current tax liability associated with the tax recognition of the upfront payment received pursuant to the Vertex Agreement and the capitalization of research and development expenses under Section 174. For both periods, a significant portion of the taxable income related to the collaboration payments was offset by current year expenses and prior year accumulated losses.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Since our inception in 2016, we have incurred significant operating losses. As of December 31, 2024 and 2023, we had an accumulated deficit of $129.3 million and $195.0 million, respectively. We expect to generate operating losses and negative operating cash flows for the foreseeable future as we advance our platform and EEV therapeutic candidates. Since our inception, we have raised over $850.0 million of gross proceeds from sales of stock to leading biotechnology investors and from the Vertex Agreement. As of December 31, 2024, we had cash, cash equivalents and marketable securities of $420.0 million.</w:t>
      </w:r>
    </w:p>
    <w:p>
      <w:pPr>
        <w:spacing w:after="0" w:line="140"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In September 2023, we entered into a sales agreement (“Sales Agreement”) with Cowen and Company, LLC (“Cowen”) under which we may, from time to time, issue and sell shares of our common stock having aggregate sales proceeds of up to $150.0 million, in a series of one or more ATM equity offerings (the “2023 ATM Program”). Cowen is not required to sell any specific share amounts but acts as the Company’s sales agent, using commercially reasonable efforts consistent with its normal trading and sales practices. Pursuant to the Sales Agreement, shares will be sold pursuant to our shelf registration statement on Form S-3 (File No. 333-268099) filed with the SEC on November 1, 2022, including the base prospectus contained therein, as declared effective by the SEC on November 7, 2022. Our common stock will be sold at prevailing market prices at the time of the sale, and as a result, prices may vary. As of December 31, 2024, we have not sold any shares of common stock under the ATM program.</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In June 2024, we entered into a securities purchase agreement with a limited number of investors relating to a registered direct offering (the “June 2024 Offering”) of 3,367,003 shares of our common stock at a purchase price of $14.85 per share and, in lieu of common stock to certain investors who so chose, pre-funded warrants (the “Pre-Funded Warrants”) to purchase 3,367,003 shares of our common stock at a purchase price of $14.8499 per Pre-Funded Warrant, which represents the price per share at which the shares of common stock were sold to the investors in the June 2024 Offering, minus $0.0001, which is the exercise price of each Pre-Funded Warrant. The June 2024 Offering was made pursuant to the shelf registration statement on Form S-3 (File No. 333-268099) previously filed with the SEC on November 1, 2022 and declared effective by the SEC on November 7, 2022. The aggregate net proceeds from the sale of common stock and Pre-Funded Warrants in the June 2024 Offering were approximately $99.6 million, after deducting offering expenses payable by us. We will receive nominal proceeds, if any, from the exercise of the Pre-Funded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cash flows for each of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6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139,803</w:t>
            </w:r>
          </w:p>
        </w:tc>
      </w:tr>
      <w:tr>
        <w:trPr>
          <w:trHeight w:val="196"/>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(27,798)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(138,395)</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102,964</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w:t>
            </w:r>
          </w:p>
        </w:tc>
      </w:tr>
      <w:tr>
        <w:trPr>
          <w:trHeight w:val="198"/>
        </w:trPr>
        <w:tc>
          <w:tcPr>
            <w:tcW w:w="8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33,609</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22,445</w:t>
            </w:r>
          </w:p>
        </w:tc>
      </w:tr>
      <w:tr>
        <w:trPr>
          <w:trHeight w:val="20"/>
        </w:trPr>
        <w:tc>
          <w:tcPr>
            <w:tcW w:w="80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1"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2024, net cash used in operating activities was $41.6 million, and was driven by our net income of $65.6 million, net cash used in changes in our operating assets and liabilities of $118.9 million, adjustments for non-cash expenses relating to stock-based compensation expense of $17.9 million and depreciation expense of $3.8 million, and adjustments for non-cash income relating to accretion of premiums and discounts on marketable securities of $10.0 million.</w:t>
      </w:r>
    </w:p>
    <w:p>
      <w:pPr>
        <w:spacing w:after="0" w:line="136" w:lineRule="exact"/>
        <w:rPr>
          <w:sz w:val="20"/>
          <w:szCs w:val="20"/>
          <w:color w:val="auto"/>
        </w:rPr>
      </w:pPr>
    </w:p>
    <w:p>
      <w:pPr>
        <w:jc w:val="both"/>
        <w:ind w:right="300" w:firstLine="509"/>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net cash provided by operating activities was $139.8 million, and was driven by our net loss of $6.7 million, net cash provided by changes in our operating assets and liabilities of $136.3 million, adjustments for non-cash expenses relating to stock-based compensation expense of $13.1 million and depreciation expense of $2.8 million, and adjustments for non-cash income related to net amortization of premiums and discounts of $5.7 million on marketable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81"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$27.8 million for the year ended December 31, 2024, and was driven by $437.7 million in purchases of marketable securities and $3.2 million in purchases of property and equipment, which were partially offset by $413.1 million from the maturities of marketable securities.</w:t>
      </w:r>
    </w:p>
    <w:p>
      <w:pPr>
        <w:spacing w:after="0" w:line="124"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$138.4 million for the year ended December 31, 2023, and was driven by $407.2 million in purchases of marketable securities and $5.6 million from purchases of property and equipment,, which were partially offset by $274.4 million from the maturities of marketable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70" w:lineRule="exact"/>
        <w:rPr>
          <w:sz w:val="20"/>
          <w:szCs w:val="20"/>
          <w:color w:val="auto"/>
        </w:rPr>
      </w:pPr>
    </w:p>
    <w:p>
      <w:pPr>
        <w:ind w:right="260" w:firstLine="509"/>
        <w:spacing w:after="0" w:line="271" w:lineRule="auto"/>
        <w:rPr>
          <w:sz w:val="20"/>
          <w:szCs w:val="20"/>
          <w:color w:val="auto"/>
        </w:rPr>
      </w:pPr>
      <w:r>
        <w:rPr>
          <w:rFonts w:ascii="Times New Roman" w:cs="Times New Roman" w:eastAsia="Times New Roman" w:hAnsi="Times New Roman"/>
          <w:sz w:val="14"/>
          <w:szCs w:val="14"/>
          <w:color w:val="auto"/>
        </w:rPr>
        <w:t>Net cash provided by financing activities was $103.0 million for the year ended December 31, 2024, consisting of $99.6 million in net proceeds from sales of our common stock and pre-funded warrants, $2.8 million proceeds from stock option exercises and $0.6 million from the issuance of common stock under our 2021 Employee Stock Purchase Plan (the “ESPP”).</w:t>
      </w:r>
    </w:p>
    <w:p>
      <w:pPr>
        <w:spacing w:after="0" w:line="135"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was $21.0 million for the year ended December 31, 2023, consisting of $19.4 million in net proceeds from sales of our common stock in connection with the Vertex Agreement, $1.2 million of proceeds from stock option exercises and $0.4 million from the issuance of common stock under the ESPP.</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We expect to incur significant expenses and operating losses for the foreseeable future as we advance the preclinical and, if successful, the clinical development of our programs. In addition, we expect to incur additional costs associated with operating as a public company. Our operating expenses and future funding requirements are expected to increase substantially as we continue to advance our portfolio of programs. Based on our current operating plans, we believe that our cash, cash equivalents and marketable securities as of December 31, 2024 will be sufficient to fund our operations into the second quarter of 2027. We have based this estimate on assumptions that may prove to be wrong, and we could utilize our available capital resources sooner than we expect.</w:t>
      </w:r>
    </w:p>
    <w:p>
      <w:pPr>
        <w:spacing w:after="0" w:line="140"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research, development and commercialization of our candidates, we are unable to estimate the exact amount of our working capital requirements. Our future capital requirements will depend on many factors, including costs associated with:</w:t>
      </w:r>
    </w:p>
    <w:p>
      <w:pPr>
        <w:spacing w:after="0" w:line="124" w:lineRule="exact"/>
        <w:rPr>
          <w:sz w:val="20"/>
          <w:szCs w:val="20"/>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continuation of our current research programs and our preclinical development of therapeutic candidates from our current research programs;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identify additional research programs and additional therapeutic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advancing our existing and future therapeutic candidates into clinical development;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initiating preclinical studies and clinical trials for any therapeutic candidates we identify and develop or expand development of existing programs into additional indications;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expanding, enforcing, defending and protecting our intellectual property portfolio and providing reimbursement of third-party expenses related to our patent portfolio;</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manufacturing for our therapeutic candidates and commercial manufacturing if any therapeutic candidate is approved;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clinical and commercial supply for the development and manufacture of our therapeutic candidates;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regulatory and marketing approvals for any of our therapeutic candidates that we develop, if any;</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identify, establish and maintain additional collaborations and license agreements, and the success of those collaborations and license agreements;</w:t>
      </w:r>
    </w:p>
    <w:p>
      <w:pPr>
        <w:spacing w:after="0" w:line="178"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establishing a sales, marketing and distribution infrastructure to commercialize any platforms for which we may obtain marketing approval, either by ourselves or in collaboration with others;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generating revenue from commercial sales of therapeutic candidates we may develop for which we receive marketing approval;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additional personnel including research and development, clinical and commercial personnel;</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adding operational, financial and management information systems and personnel, including personnel to support our product development;</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sufficient market acceptance, coverage and adequate reimbursement from third-party payors and adequate market share and revenue for any approved products;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acquiring or in-licensing products, intellectual property and technologies;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costs of operating as a public company and recent increases in inflationary rates.</w:t>
      </w:r>
    </w:p>
    <w:p>
      <w:pPr>
        <w:spacing w:after="0" w:line="179"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Until such time, if ever, as we can generate substantial product revenue to support our cost structure, we expect to finance our cash needs through a combination of equity offerings, debt financings, license and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and other similar arrangements. To the extent that we raise additional capital through the sale of equity or convertible debt securities, the ownership interest of our stockholders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therapeutic candidates or grant licenses on terms that may not be favorable to us and/or may reduce the value of our common stock. If we are unable to raise additional funds when needed, we may be required to delay, limit, reduce or terminate our product development or future commercialization efforts or grant rights to develop and market our therapeutic candidates even if we would otherwise prefer to develop and market such therapeutic candidates ourselves.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 Commitments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IDB Lease</w:t>
      </w:r>
    </w:p>
    <w:p>
      <w:pPr>
        <w:spacing w:after="0" w:line="20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We have a noncancellable operating lease of approximately 81,229 square feet of office and laboratory space at One Design Center Place in Boston, Massachusetts ("IDB Lease"). The term of the IDB lease is approximately 10 years and commenced in February 2023. The initial fixed rental rate is $0.5 million per month, which is for a 12 month period during which the base rent is payable for 65,000 square feet, and will increase 3% per annum thereafter for the entire 81,229 square feet leased.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IDB Sublease</w:t>
      </w:r>
    </w:p>
    <w:p>
      <w:pPr>
        <w:spacing w:after="0" w:line="191"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The Company subleases a portion of the office and laboratory space leased under the IDB Lease to a third-party. The term of the sublease commenced in April 2023. The sublease term is 3 years. The initial fixed rental rate is approximately $0.2 million per month and will increase 3% per annum thereafter.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6 Tide Street Lease</w:t>
      </w:r>
    </w:p>
    <w:p>
      <w:pPr>
        <w:spacing w:after="0" w:line="191"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We have a noncancellable operating lease of 23,189 square feet of office and laboratory space at 6 Tide Street in Boston, Massachusetts. The term for the lease will end on November 30, 2025. The fixed rental rate is $0.4 million per month for the remainder of the lease term.</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For additional information about our lease commitments, see Note 11,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to our consolidated financial statements included elsewhere in this Annual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Agreements</w:t>
      </w:r>
    </w:p>
    <w:p>
      <w:pPr>
        <w:spacing w:after="0" w:line="19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 xml:space="preserve">We have also entered into a license agreement (“OSIF License Agreement”) with Ohio State Innovation Foundation (“OSIF”), an affiliate of The Ohio State University (“OSU”), under which we are obligated to make specific milestone and royalty payments. The payment obligations under this agreement are contingent upon future events, such as our achievement of specified development, regulatory and commercial milestones, or generating product sales. For additional information about our OSIF License Agreement and amounts that could become payable in the future under such agreements, see “Business—Intellectual property— License agreement with The Ohio State University” and </w:t>
      </w:r>
      <w:r>
        <w:rPr>
          <w:rFonts w:ascii="Times New Roman" w:cs="Times New Roman" w:eastAsia="Times New Roman" w:hAnsi="Times New Roman"/>
          <w:sz w:val="14"/>
          <w:szCs w:val="14"/>
          <w:i w:val="1"/>
          <w:iCs w:val="1"/>
          <w:color w:val="auto"/>
        </w:rPr>
        <w:t>Note 10</w:t>
      </w:r>
      <w:r>
        <w:rPr>
          <w:rFonts w:ascii="Times New Roman" w:cs="Times New Roman" w:eastAsia="Times New Roman" w:hAnsi="Times New Roman"/>
          <w:sz w:val="14"/>
          <w:szCs w:val="14"/>
          <w:color w:val="auto"/>
        </w:rPr>
        <w:t>, Commitments and Contingencies, to our consolidated financial statements included elsewhere in this Annual Report.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Funding Commitments</w:t>
      </w:r>
    </w:p>
    <w:p>
      <w:pPr>
        <w:spacing w:after="0" w:line="191"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CROs, third-party manufacturers, and other third parties for preclinical research studies and testing and manufacturing services. These contracts do not contain minimum purchase commitments and are cancellable by us upon prior written notice. Payments due upon cancellation consist only of payments for services provided or expenses incurred, including non-cancelable obligations of our service providers, up to the date of cancellation.</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181" w:lineRule="exact"/>
        <w:rPr>
          <w:sz w:val="20"/>
          <w:szCs w:val="20"/>
          <w:color w:val="auto"/>
        </w:rPr>
      </w:pPr>
    </w:p>
    <w:p>
      <w:pPr>
        <w:ind w:right="140" w:firstLine="509"/>
        <w:spacing w:after="0" w:line="264" w:lineRule="auto"/>
        <w:rPr>
          <w:sz w:val="20"/>
          <w:szCs w:val="20"/>
          <w:color w:val="auto"/>
        </w:rPr>
      </w:pPr>
      <w:r>
        <w:rPr>
          <w:rFonts w:ascii="Times New Roman" w:cs="Times New Roman" w:eastAsia="Times New Roman" w:hAnsi="Times New Roman"/>
          <w:sz w:val="14"/>
          <w:szCs w:val="14"/>
          <w:color w:val="auto"/>
        </w:rPr>
        <w:t>We are an “emerging growth company”, or “EGC”, under the Jumpstart Our Business Startups Act of 2012 (the “JOBS Act”). Section 107 of the JOBS Act provides that an EGC can take advantage of the extended transition period provided in Section 7(a)(2)(B) of the Securities Act of 1933, as amended, for complying with new or revised accounting standards. Thus, an EGC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an EGC, we may, and intend to, take advantage of certain exemptions and reduced reporting requirements under the JOBS Act. Subject to certain conditions, as an EGC:</w:t>
      </w:r>
    </w:p>
    <w:p>
      <w:pPr>
        <w:spacing w:after="0" w:line="179" w:lineRule="exact"/>
        <w:rPr>
          <w:sz w:val="20"/>
          <w:szCs w:val="20"/>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present only two years of audited financial statements and only two years of related Management’s Discussion and Analysis of Financial Condition and Results of Operations;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avail ourselves of the exemption from providing an auditor’s attestation report on our system of internal controls over financial reporting pursuant to Section 404(b) of the Sarbanes-Oxley Act of 2002, as amended (the “Sarbanes-Oxley Act”);</w:t>
      </w:r>
    </w:p>
    <w:p>
      <w:pPr>
        <w:spacing w:after="0" w:line="124"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avail ourselves of the exemption from complying with any requirement that may be adopted by the Public Company Accounting Oversight Board (“PCAOB”) regarding mandatory audit firm rotation or a supplement to the auditor’s report providing additional information about the audit and the financial statements, known as the auditor discussion and analysis;</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provide reduced disclosure about our executive compensation arrangements; and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require nonbinding advisory votes on executive compensation or stockholder approval of any golden parachute payments.</w:t>
      </w:r>
    </w:p>
    <w:p>
      <w:pPr>
        <w:spacing w:after="0" w:line="179"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We will remain an EGC until the earliest to occur of (i) the last day of the fiscal year following the fifth anniversary of the completion of our IPO, (ii) the last day of the fiscal year in which we have total annual gross revenues of $1.235 billion or more, (iii) the date on which we have issued more than $1.0 billion in non-convertible debt during the previous rolling three-year period or (iv) the date on which we are deemed to be a large accelerated filer under the Securities Exchange Act of 1934, as amended (the “Exchange Act”).</w:t>
      </w:r>
    </w:p>
    <w:p>
      <w:pPr>
        <w:spacing w:after="0" w:line="125"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Based on the market value of our common stock held by our non-affiliates as of the last business day of the fiscal quarter ended June 30, 2024, we no longer qualify as a “smaller reporting company” as defined in the Exchange Act, effective December 31, 2024. Therefore, beginning with our Quarterly Report on Form 10-Q for the fiscal quarter ending March 31, 2025, we will no longer be eligible to rely on the reduced disclosure and reporting requirements applicable to smaller reporting companies, while still applying the scaled disclosure requirements for smaller reporting companies in this Annual Report.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0" w:lineRule="exact"/>
        <w:rPr>
          <w:sz w:val="20"/>
          <w:szCs w:val="20"/>
          <w:color w:val="auto"/>
        </w:rPr>
      </w:pPr>
    </w:p>
    <w:p>
      <w:pPr>
        <w:ind w:right="280" w:firstLine="509"/>
        <w:spacing w:after="0" w:line="254" w:lineRule="auto"/>
        <w:rPr>
          <w:sz w:val="20"/>
          <w:szCs w:val="20"/>
          <w:color w:val="auto"/>
        </w:rPr>
      </w:pPr>
      <w:r>
        <w:rPr>
          <w:rFonts w:ascii="Times New Roman" w:cs="Times New Roman" w:eastAsia="Times New Roman" w:hAnsi="Times New Roman"/>
          <w:sz w:val="14"/>
          <w:szCs w:val="14"/>
          <w:color w:val="auto"/>
        </w:rPr>
        <w:t>As of December 31, 2024, we no longer qualify as a smaller reporting company. However, in accordance with Item 10(f)(2)(i) of Regulation S-K, we are permitted to apply the scaled disclosure requirements for smaller reporting companies in this Annual Report and are not required to provide the information required under this item. We will be transitioning to the disclosure</w:t>
      </w:r>
    </w:p>
    <w:p>
      <w:pPr>
        <w:spacing w:after="0"/>
        <w:rPr>
          <w:sz w:val="20"/>
          <w:szCs w:val="20"/>
          <w:color w:val="auto"/>
        </w:rPr>
      </w:pPr>
      <w:r>
        <w:rPr>
          <w:rFonts w:ascii="Times New Roman" w:cs="Times New Roman" w:eastAsia="Times New Roman" w:hAnsi="Times New Roman"/>
          <w:sz w:val="14"/>
          <w:szCs w:val="14"/>
          <w:color w:val="auto"/>
        </w:rPr>
        <w:t>requirements applicable to non-smaller reporting companies beginning with our Quarterly Report on Form 10-Q for the fiscal quarter ending March 31, 2025</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507" w:right="3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61"/>
        </w:trPr>
        <w:tc>
          <w:tcPr>
            <w:tcW w:w="92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Table of Contents</w:t>
            </w:r>
          </w:p>
        </w:tc>
        <w:tc>
          <w:tcPr>
            <w:tcW w:w="2040" w:type="dxa"/>
            <w:vAlign w:val="bottom"/>
          </w:tcPr>
          <w:p>
            <w:pPr>
              <w:spacing w:after="0"/>
              <w:rPr>
                <w:sz w:val="13"/>
                <w:szCs w:val="13"/>
                <w:color w:val="auto"/>
              </w:rPr>
            </w:pPr>
          </w:p>
        </w:tc>
      </w:tr>
      <w:tr>
        <w:trPr>
          <w:trHeight w:val="20"/>
        </w:trPr>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818"/>
        </w:trPr>
        <w:tc>
          <w:tcPr>
            <w:tcW w:w="92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2040" w:type="dxa"/>
            <w:vAlign w:val="bottom"/>
          </w:tcPr>
          <w:p>
            <w:pPr>
              <w:spacing w:after="0"/>
              <w:rPr>
                <w:sz w:val="24"/>
                <w:szCs w:val="24"/>
                <w:color w:val="auto"/>
              </w:rPr>
            </w:pPr>
          </w:p>
        </w:tc>
      </w:tr>
      <w:tr>
        <w:trPr>
          <w:trHeight w:val="340"/>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04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91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Report of Ernst &amp; Young LLP, Independent Registered Public Accounting Firm </w:t>
            </w:r>
            <w:r>
              <w:rPr>
                <w:rFonts w:ascii="Times New Roman" w:cs="Times New Roman" w:eastAsia="Times New Roman" w:hAnsi="Times New Roman"/>
                <w:sz w:val="14"/>
                <w:szCs w:val="14"/>
                <w:color w:val="000000"/>
              </w:rPr>
              <w:t>(PCAOB ID: 42)</w:t>
            </w:r>
          </w:p>
        </w:tc>
        <w:tc>
          <w:tcPr>
            <w:tcW w:w="2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121</w:t>
            </w:r>
          </w:p>
        </w:tc>
      </w:tr>
      <w:tr>
        <w:trPr>
          <w:trHeight w:val="182"/>
        </w:trPr>
        <w:tc>
          <w:tcPr>
            <w:tcW w:w="60" w:type="dxa"/>
            <w:vAlign w:val="bottom"/>
          </w:tcPr>
          <w:p>
            <w:pPr>
              <w:spacing w:after="0"/>
              <w:rPr>
                <w:sz w:val="15"/>
                <w:szCs w:val="15"/>
                <w:color w:val="auto"/>
              </w:rPr>
            </w:pPr>
          </w:p>
        </w:tc>
        <w:tc>
          <w:tcPr>
            <w:tcW w:w="1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2860" w:type="dxa"/>
            <w:vAlign w:val="bottom"/>
            <w:tcBorders>
              <w:top w:val="single" w:sz="8" w:color="0000FF"/>
            </w:tcBorders>
            <w:gridSpan w:val="5"/>
          </w:tcPr>
          <w:p>
            <w:pPr>
              <w:spacing w:after="0"/>
              <w:rPr>
                <w:sz w:val="15"/>
                <w:szCs w:val="15"/>
                <w:color w:val="auto"/>
              </w:rPr>
            </w:pPr>
          </w:p>
        </w:tc>
        <w:tc>
          <w:tcPr>
            <w:tcW w:w="4680" w:type="dxa"/>
            <w:vAlign w:val="bottom"/>
          </w:tcPr>
          <w:p>
            <w:pPr>
              <w:spacing w:after="0"/>
              <w:rPr>
                <w:sz w:val="15"/>
                <w:szCs w:val="15"/>
                <w:color w:val="auto"/>
              </w:rPr>
            </w:pPr>
          </w:p>
        </w:tc>
        <w:tc>
          <w:tcPr>
            <w:tcW w:w="2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122</w:t>
            </w:r>
          </w:p>
        </w:tc>
      </w:tr>
      <w:tr>
        <w:trPr>
          <w:trHeight w:val="182"/>
        </w:trPr>
        <w:tc>
          <w:tcPr>
            <w:tcW w:w="60" w:type="dxa"/>
            <w:vAlign w:val="bottom"/>
          </w:tcPr>
          <w:p>
            <w:pPr>
              <w:spacing w:after="0"/>
              <w:rPr>
                <w:sz w:val="15"/>
                <w:szCs w:val="15"/>
                <w:color w:val="auto"/>
              </w:rPr>
            </w:pPr>
          </w:p>
        </w:tc>
        <w:tc>
          <w:tcPr>
            <w:tcW w:w="91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Income (Loss</w:t>
            </w:r>
            <w:r>
              <w:rPr>
                <w:rFonts w:ascii="Times New Roman" w:cs="Times New Roman" w:eastAsia="Times New Roman" w:hAnsi="Times New Roman"/>
                <w:sz w:val="14"/>
                <w:szCs w:val="14"/>
                <w:color w:val="000000"/>
              </w:rPr>
              <w:t>)</w:t>
            </w:r>
          </w:p>
        </w:tc>
        <w:tc>
          <w:tcPr>
            <w:tcW w:w="2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123</w:t>
            </w:r>
          </w:p>
        </w:tc>
      </w:tr>
      <w:tr>
        <w:trPr>
          <w:trHeight w:val="182"/>
        </w:trPr>
        <w:tc>
          <w:tcPr>
            <w:tcW w:w="60" w:type="dxa"/>
            <w:vAlign w:val="bottom"/>
          </w:tcPr>
          <w:p>
            <w:pPr>
              <w:spacing w:after="0"/>
              <w:rPr>
                <w:sz w:val="15"/>
                <w:szCs w:val="15"/>
                <w:color w:val="auto"/>
              </w:rPr>
            </w:pPr>
          </w:p>
        </w:tc>
        <w:tc>
          <w:tcPr>
            <w:tcW w:w="41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5000" w:type="dxa"/>
            <w:vAlign w:val="bottom"/>
            <w:gridSpan w:val="2"/>
          </w:tcPr>
          <w:p>
            <w:pPr>
              <w:spacing w:after="0"/>
              <w:rPr>
                <w:sz w:val="15"/>
                <w:szCs w:val="15"/>
                <w:color w:val="auto"/>
              </w:rPr>
            </w:pPr>
          </w:p>
        </w:tc>
        <w:tc>
          <w:tcPr>
            <w:tcW w:w="2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124</w:t>
            </w:r>
          </w:p>
        </w:tc>
      </w:tr>
      <w:tr>
        <w:trPr>
          <w:trHeight w:val="182"/>
        </w:trPr>
        <w:tc>
          <w:tcPr>
            <w:tcW w:w="6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520" w:type="dxa"/>
            <w:vAlign w:val="bottom"/>
            <w:tcBorders>
              <w:top w:val="single" w:sz="8" w:color="0000FF"/>
            </w:tcBorders>
            <w:gridSpan w:val="2"/>
          </w:tcPr>
          <w:p>
            <w:pPr>
              <w:spacing w:after="0"/>
              <w:rPr>
                <w:sz w:val="15"/>
                <w:szCs w:val="15"/>
                <w:color w:val="auto"/>
              </w:rPr>
            </w:pPr>
          </w:p>
        </w:tc>
        <w:tc>
          <w:tcPr>
            <w:tcW w:w="6400" w:type="dxa"/>
            <w:vAlign w:val="bottom"/>
            <w:gridSpan w:val="3"/>
          </w:tcPr>
          <w:p>
            <w:pPr>
              <w:spacing w:after="0"/>
              <w:rPr>
                <w:sz w:val="15"/>
                <w:szCs w:val="15"/>
                <w:color w:val="auto"/>
              </w:rPr>
            </w:pPr>
          </w:p>
        </w:tc>
        <w:tc>
          <w:tcPr>
            <w:tcW w:w="2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125</w:t>
            </w:r>
          </w:p>
        </w:tc>
      </w:tr>
      <w:tr>
        <w:trPr>
          <w:trHeight w:val="182"/>
        </w:trPr>
        <w:tc>
          <w:tcPr>
            <w:tcW w:w="60" w:type="dxa"/>
            <w:vAlign w:val="bottom"/>
          </w:tcPr>
          <w:p>
            <w:pPr>
              <w:spacing w:after="0"/>
              <w:rPr>
                <w:sz w:val="15"/>
                <w:szCs w:val="15"/>
                <w:color w:val="auto"/>
              </w:rPr>
            </w:pPr>
          </w:p>
        </w:tc>
        <w:tc>
          <w:tcPr>
            <w:tcW w:w="918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0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127</w:t>
            </w:r>
          </w:p>
        </w:tc>
      </w:tr>
      <w:tr>
        <w:trPr>
          <w:trHeight w:val="913"/>
        </w:trPr>
        <w:tc>
          <w:tcPr>
            <w:tcW w:w="80" w:type="dxa"/>
            <w:vAlign w:val="bottom"/>
            <w:gridSpan w:val="2"/>
          </w:tcPr>
          <w:p>
            <w:pPr>
              <w:spacing w:after="0"/>
              <w:rPr>
                <w:sz w:val="24"/>
                <w:szCs w:val="24"/>
                <w:color w:val="auto"/>
              </w:rPr>
            </w:pPr>
          </w:p>
        </w:tc>
        <w:tc>
          <w:tcPr>
            <w:tcW w:w="2460" w:type="dxa"/>
            <w:vAlign w:val="bottom"/>
            <w:tcBorders>
              <w:top w:val="single" w:sz="8" w:color="0000FF"/>
            </w:tcBorders>
            <w:gridSpan w:val="4"/>
          </w:tcPr>
          <w:p>
            <w:pPr>
              <w:spacing w:after="0"/>
              <w:rPr>
                <w:sz w:val="24"/>
                <w:szCs w:val="24"/>
                <w:color w:val="auto"/>
              </w:rPr>
            </w:pPr>
          </w:p>
        </w:tc>
        <w:tc>
          <w:tcPr>
            <w:tcW w:w="6700" w:type="dxa"/>
            <w:vAlign w:val="bottom"/>
            <w:gridSpan w:val="4"/>
          </w:tcPr>
          <w:p>
            <w:pPr>
              <w:jc w:val="right"/>
              <w:ind w:right="3480"/>
              <w:spacing w:after="0"/>
              <w:rPr>
                <w:sz w:val="20"/>
                <w:szCs w:val="20"/>
                <w:color w:val="auto"/>
              </w:rPr>
            </w:pPr>
            <w:r>
              <w:rPr>
                <w:rFonts w:ascii="Times New Roman" w:cs="Times New Roman" w:eastAsia="Times New Roman" w:hAnsi="Times New Roman"/>
                <w:sz w:val="14"/>
                <w:szCs w:val="14"/>
                <w:color w:val="auto"/>
              </w:rPr>
              <w:t>120</w:t>
            </w:r>
          </w:p>
        </w:tc>
        <w:tc>
          <w:tcPr>
            <w:tcW w:w="2040" w:type="dxa"/>
            <w:vAlign w:val="bottom"/>
          </w:tcPr>
          <w:p>
            <w:pPr>
              <w:spacing w:after="0"/>
              <w:rPr>
                <w:sz w:val="24"/>
                <w:szCs w:val="24"/>
                <w:color w:val="auto"/>
              </w:rPr>
            </w:pPr>
          </w:p>
        </w:tc>
      </w:tr>
      <w:tr>
        <w:trPr>
          <w:trHeight w:val="76"/>
        </w:trPr>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4680" w:type="dxa"/>
            <w:vAlign w:val="bottom"/>
            <w:tcBorders>
              <w:bottom w:val="single" w:sz="8" w:color="9A9A9A"/>
            </w:tcBorders>
          </w:tcPr>
          <w:p>
            <w:pPr>
              <w:spacing w:after="0"/>
              <w:rPr>
                <w:sz w:val="6"/>
                <w:szCs w:val="6"/>
                <w:color w:val="auto"/>
              </w:rPr>
            </w:pPr>
          </w:p>
        </w:tc>
        <w:tc>
          <w:tcPr>
            <w:tcW w:w="20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98"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To the Stockholders and the Board of Directors of Entrada Therapeutics, Inc.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Opinion on the Financial Statements</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333333"/>
        </w:rPr>
        <w:t>We have audited the accompanying consolidated balance sheets of Entrada Therapeutics, Inc. (the Compan</w:t>
      </w:r>
      <w:r>
        <w:rPr>
          <w:rFonts w:ascii="Times New Roman" w:cs="Times New Roman" w:eastAsia="Times New Roman" w:hAnsi="Times New Roman"/>
          <w:sz w:val="14"/>
          <w:szCs w:val="14"/>
          <w:color w:val="000000"/>
        </w:rPr>
        <w:t>y</w:t>
      </w:r>
      <w:r>
        <w:rPr>
          <w:rFonts w:ascii="Times New Roman" w:cs="Times New Roman" w:eastAsia="Times New Roman" w:hAnsi="Times New Roman"/>
          <w:sz w:val="14"/>
          <w:szCs w:val="14"/>
          <w:color w:val="333333"/>
        </w:rPr>
        <w:t>) as of December 31, 2024 and 2023, the related consolidated statements of operations and comprehensive income (loss),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Basis for Opinion</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333333"/>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340"/>
        <w:spacing w:after="0" w:line="264" w:lineRule="auto"/>
        <w:rPr>
          <w:sz w:val="20"/>
          <w:szCs w:val="20"/>
          <w:color w:val="auto"/>
        </w:rPr>
      </w:pPr>
      <w:r>
        <w:rPr>
          <w:rFonts w:ascii="Times New Roman" w:cs="Times New Roman" w:eastAsia="Times New Roman" w:hAnsi="Times New Roman"/>
          <w:sz w:val="14"/>
          <w:szCs w:val="14"/>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333333"/>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We have served as the Company’s auditor since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February 27, 2025</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ENTRADA THERAPEUTICS,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Pr>
          <w:p>
            <w:pPr>
              <w:spacing w:after="0"/>
              <w:rPr>
                <w:sz w:val="12"/>
                <w:szCs w:val="12"/>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83"/>
        </w:trPr>
        <w:tc>
          <w:tcPr>
            <w:tcW w:w="802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r>
      <w:tr>
        <w:trPr>
          <w:trHeight w:val="17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8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67,602</w:t>
            </w: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318,787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284,367</w:t>
            </w:r>
          </w:p>
        </w:tc>
      </w:tr>
      <w:tr>
        <w:trPr>
          <w:trHeight w:val="21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Collaboration receivable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w:t>
            </w:r>
          </w:p>
        </w:tc>
      </w:tr>
      <w:tr>
        <w:trPr>
          <w:trHeight w:val="212"/>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11,924</w:t>
            </w:r>
          </w:p>
        </w:tc>
      </w:tr>
      <w:tr>
        <w:trPr>
          <w:trHeight w:val="192"/>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440,039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369,771</w:t>
            </w: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11,191</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3,950</w:t>
            </w:r>
          </w:p>
        </w:tc>
      </w:tr>
      <w:tr>
        <w:trPr>
          <w:trHeight w:val="20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assets, operating leases</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81,490</w:t>
            </w:r>
          </w:p>
        </w:tc>
      </w:tr>
      <w:tr>
        <w:trPr>
          <w:trHeight w:val="21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r>
      <w:tr>
        <w:trPr>
          <w:trHeight w:val="171"/>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526,321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469,192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53"/>
        </w:trPr>
        <w:tc>
          <w:tcPr>
            <w:tcW w:w="802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8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w:t>
            </w: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11,325</w:t>
            </w:r>
          </w:p>
        </w:tc>
      </w:tr>
      <w:tr>
        <w:trPr>
          <w:trHeight w:val="21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4,024</w:t>
            </w: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obligations, current portion</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7,909</w:t>
            </w:r>
          </w:p>
        </w:tc>
      </w:tr>
      <w:tr>
        <w:trPr>
          <w:trHeight w:val="21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 current portion</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132,261</w:t>
            </w:r>
          </w:p>
        </w:tc>
      </w:tr>
      <w:tr>
        <w:trPr>
          <w:trHeight w:val="192"/>
        </w:trPr>
        <w:tc>
          <w:tcPr>
            <w:tcW w:w="8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158,796</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portion</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60,321</w:t>
            </w:r>
          </w:p>
        </w:tc>
      </w:tr>
      <w:tr>
        <w:trPr>
          <w:trHeight w:val="212"/>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7,715</w:t>
            </w:r>
          </w:p>
        </w:tc>
      </w:tr>
      <w:tr>
        <w:trPr>
          <w:trHeight w:val="192"/>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97,643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226,832</w:t>
            </w:r>
          </w:p>
        </w:tc>
      </w:tr>
      <w:tr>
        <w:trPr>
          <w:trHeight w:val="17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10)</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
        </w:trPr>
        <w:tc>
          <w:tcPr>
            <w:tcW w:w="8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76"/>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par value $0.0001; 150,000,000 shares authorized; 37,585,944 shares issued and 37,574,538 shares outstanding as of</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5"/>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31, 2024 and 33,461,771 shares issued and 33,437,296 shares outstanding as of December 31, 2023</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2"/>
        </w:trPr>
        <w:tc>
          <w:tcPr>
            <w:tcW w:w="80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4"/>
                <w:szCs w:val="14"/>
                <w:color w:val="auto"/>
              </w:rPr>
              <w:t>Additional paid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 capital</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558,061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437,132</w:t>
            </w:r>
          </w:p>
        </w:tc>
      </w:tr>
      <w:tr>
        <w:trPr>
          <w:trHeight w:val="201"/>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21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(194,970)</w:t>
            </w:r>
          </w:p>
        </w:tc>
      </w:tr>
      <w:tr>
        <w:trPr>
          <w:trHeight w:val="192"/>
        </w:trPr>
        <w:tc>
          <w:tcPr>
            <w:tcW w:w="8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428,678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242,360</w:t>
            </w:r>
          </w:p>
        </w:tc>
      </w:tr>
      <w:tr>
        <w:trPr>
          <w:trHeight w:val="196"/>
        </w:trPr>
        <w:tc>
          <w:tcPr>
            <w:tcW w:w="8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526,321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469,192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ENTRADA THERAPEUTICS,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 (LOSS)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80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revenue</w:t>
            </w: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129,013</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125,306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99,884</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38,465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32,291</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163,771</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132,175</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47,011</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w:t>
            </w:r>
          </w:p>
        </w:tc>
        <w:tc>
          <w:tcPr>
            <w:tcW w:w="0" w:type="dxa"/>
            <w:vAlign w:val="bottom"/>
          </w:tcPr>
          <w:p>
            <w:pPr>
              <w:spacing w:after="0"/>
              <w:rPr>
                <w:sz w:val="1"/>
                <w:szCs w:val="1"/>
                <w:color w:val="auto"/>
              </w:rPr>
            </w:pPr>
          </w:p>
        </w:tc>
      </w:tr>
      <w:tr>
        <w:trPr>
          <w:trHeight w:val="18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0" w:type="dxa"/>
            <w:vAlign w:val="bottom"/>
          </w:tcPr>
          <w:p>
            <w:pPr>
              <w:spacing w:after="0"/>
              <w:rPr>
                <w:sz w:val="1"/>
                <w:szCs w:val="1"/>
                <w:color w:val="auto"/>
              </w:rPr>
            </w:pPr>
          </w:p>
        </w:tc>
      </w:tr>
      <w:tr>
        <w:trPr>
          <w:trHeight w:val="192"/>
        </w:trPr>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income</w:t>
            </w:r>
          </w:p>
        </w:tc>
        <w:tc>
          <w:tcPr>
            <w:tcW w:w="9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19,474</w:t>
            </w: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15,218</w:t>
            </w:r>
          </w:p>
        </w:tc>
        <w:tc>
          <w:tcPr>
            <w:tcW w:w="0" w:type="dxa"/>
            <w:vAlign w:val="bottom"/>
          </w:tcPr>
          <w:p>
            <w:pPr>
              <w:spacing w:after="0"/>
              <w:rPr>
                <w:sz w:val="1"/>
                <w:szCs w:val="1"/>
                <w:color w:val="auto"/>
              </w:rPr>
            </w:pPr>
          </w:p>
        </w:tc>
      </w:tr>
      <w:tr>
        <w:trPr>
          <w:trHeight w:val="192"/>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9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66,485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12,056</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0" w:type="dxa"/>
            <w:vAlign w:val="bottom"/>
          </w:tcPr>
          <w:p>
            <w:pPr>
              <w:spacing w:after="0"/>
              <w:rPr>
                <w:sz w:val="1"/>
                <w:szCs w:val="1"/>
                <w:color w:val="auto"/>
              </w:rPr>
            </w:pPr>
          </w:p>
        </w:tc>
      </w:tr>
      <w:tr>
        <w:trPr>
          <w:trHeight w:val="192"/>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65,626</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share, basic</w:t>
            </w: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 diluted</w:t>
            </w: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common shares outstanding, basic</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37,306,363</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33,050,319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common shares outstanding, diluted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20" w:type="dxa"/>
            <w:vAlign w:val="bottom"/>
            <w:vMerge w:val="continue"/>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39,003,169</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33,050,319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Unrealized (loss) gain on marketable securities, net of tax of $0</w:t>
            </w: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0" w:type="dxa"/>
            <w:vAlign w:val="bottom"/>
          </w:tcPr>
          <w:p>
            <w:pPr>
              <w:spacing w:after="0"/>
              <w:rPr>
                <w:sz w:val="1"/>
                <w:szCs w:val="1"/>
                <w:color w:val="auto"/>
              </w:rPr>
            </w:pPr>
          </w:p>
        </w:tc>
      </w:tr>
      <w:tr>
        <w:trPr>
          <w:trHeight w:val="192"/>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65,388</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(4,433)</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ENTRADA THERAPEUTICS, INC.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120" w:type="dxa"/>
            <w:vAlign w:val="bottom"/>
          </w:tcPr>
          <w:p>
            <w:pPr>
              <w:spacing w:after="0"/>
              <w:rPr>
                <w:sz w:val="10"/>
                <w:szCs w:val="10"/>
                <w:color w:val="auto"/>
              </w:rPr>
            </w:pPr>
          </w:p>
        </w:tc>
        <w:tc>
          <w:tcPr>
            <w:tcW w:w="1900" w:type="dxa"/>
            <w:vAlign w:val="bottom"/>
            <w:gridSpan w:val="5"/>
            <w:vMerge w:val="restart"/>
          </w:tcPr>
          <w:p>
            <w:pPr>
              <w:ind w:left="58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4120" w:type="dxa"/>
            <w:vAlign w:val="bottom"/>
          </w:tcPr>
          <w:p>
            <w:pPr>
              <w:spacing w:after="0"/>
              <w:rPr>
                <w:sz w:val="5"/>
                <w:szCs w:val="5"/>
                <w:color w:val="auto"/>
              </w:rPr>
            </w:pPr>
          </w:p>
        </w:tc>
        <w:tc>
          <w:tcPr>
            <w:tcW w:w="190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restart"/>
          </w:tcPr>
          <w:p>
            <w:pPr>
              <w:jc w:val="center"/>
              <w:ind w:right="160"/>
              <w:spacing w:after="0" w:line="80" w:lineRule="exact"/>
              <w:rPr>
                <w:sz w:val="20"/>
                <w:szCs w:val="20"/>
                <w:color w:val="auto"/>
              </w:rPr>
            </w:pPr>
            <w:r>
              <w:rPr>
                <w:rFonts w:ascii="Times New Roman" w:cs="Times New Roman" w:eastAsia="Times New Roman" w:hAnsi="Times New Roman"/>
                <w:sz w:val="9"/>
                <w:szCs w:val="9"/>
                <w:b w:val="1"/>
                <w:bCs w:val="1"/>
                <w:color w:val="auto"/>
              </w:rPr>
              <w:t>Comprehensive Income</w:t>
            </w: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gridSpan w:val="2"/>
            <w:vMerge w:val="restart"/>
          </w:tcPr>
          <w:p>
            <w:pPr>
              <w:ind w:left="20"/>
              <w:spacing w:after="0" w:line="115" w:lineRule="exact"/>
              <w:rPr>
                <w:sz w:val="20"/>
                <w:szCs w:val="20"/>
                <w:color w:val="auto"/>
              </w:rPr>
            </w:pPr>
            <w:r>
              <w:rPr>
                <w:rFonts w:ascii="Times New Roman" w:cs="Times New Roman" w:eastAsia="Times New Roman" w:hAnsi="Times New Roman"/>
                <w:sz w:val="10"/>
                <w:szCs w:val="10"/>
                <w:b w:val="1"/>
                <w:bCs w:val="1"/>
                <w:color w:val="auto"/>
              </w:rPr>
              <w:t>Additional Paid</w:t>
            </w:r>
            <w:r>
              <w:rPr>
                <w:rFonts w:ascii="MS PGothic" w:cs="MS PGothic" w:eastAsia="MS PGothic" w:hAnsi="MS PGothic"/>
                <w:sz w:val="10"/>
                <w:szCs w:val="10"/>
                <w:color w:val="auto"/>
                <w:strike w:val="1"/>
              </w:rPr>
              <w:t>‑</w:t>
            </w:r>
            <w:r>
              <w:rPr>
                <w:rFonts w:ascii="Times New Roman" w:cs="Times New Roman" w:eastAsia="Times New Roman" w:hAnsi="Times New Roman"/>
                <w:sz w:val="10"/>
                <w:szCs w:val="10"/>
                <w:b w:val="1"/>
                <w:bCs w:val="1"/>
                <w:color w:val="auto"/>
              </w:rPr>
              <w:t>in Capital</w:t>
            </w:r>
          </w:p>
        </w:tc>
        <w:tc>
          <w:tcPr>
            <w:tcW w:w="1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120" w:type="dxa"/>
            <w:vAlign w:val="bottom"/>
          </w:tcPr>
          <w:p>
            <w:pPr>
              <w:spacing w:after="0"/>
              <w:rPr>
                <w:sz w:val="12"/>
                <w:szCs w:val="12"/>
                <w:color w:val="auto"/>
              </w:rPr>
            </w:pP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2"/>
                <w:szCs w:val="12"/>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12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60" w:type="dxa"/>
            <w:vAlign w:val="bottom"/>
          </w:tcPr>
          <w:p>
            <w:pPr>
              <w:spacing w:after="0"/>
              <w:rPr>
                <w:sz w:val="12"/>
                <w:szCs w:val="12"/>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w w:val="96"/>
              </w:rPr>
              <w:t>Total Stockholders’ Equity</w:t>
            </w:r>
          </w:p>
        </w:tc>
        <w:tc>
          <w:tcPr>
            <w:tcW w:w="0" w:type="dxa"/>
            <w:vAlign w:val="bottom"/>
          </w:tcPr>
          <w:p>
            <w:pPr>
              <w:spacing w:after="0"/>
              <w:rPr>
                <w:sz w:val="1"/>
                <w:szCs w:val="1"/>
                <w:color w:val="auto"/>
              </w:rPr>
            </w:pPr>
          </w:p>
        </w:tc>
      </w:tr>
      <w:tr>
        <w:trPr>
          <w:trHeight w:val="179"/>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31,394,767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402,893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(188,285)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212,554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120" w:type="dxa"/>
            <w:vAlign w:val="bottom"/>
            <w:vMerge w:val="continue"/>
          </w:tcPr>
          <w:p>
            <w:pPr>
              <w:spacing w:after="0"/>
              <w:rPr>
                <w:sz w:val="9"/>
                <w:szCs w:val="9"/>
                <w:color w:val="auto"/>
              </w:rPr>
            </w:pPr>
          </w:p>
        </w:tc>
        <w:tc>
          <w:tcPr>
            <w:tcW w:w="88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214,078</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2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1,187</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200" w:type="dxa"/>
            <w:vAlign w:val="bottom"/>
            <w:gridSpan w:val="2"/>
          </w:tcPr>
          <w:p>
            <w:pPr>
              <w:jc w:val="right"/>
              <w:ind w:right="80"/>
              <w:spacing w:after="0" w:line="112"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200" w:type="dxa"/>
            <w:vAlign w:val="bottom"/>
          </w:tcPr>
          <w:p>
            <w:pPr>
              <w:jc w:val="right"/>
              <w:spacing w:after="0" w:line="112" w:lineRule="exact"/>
              <w:rPr>
                <w:sz w:val="20"/>
                <w:szCs w:val="20"/>
                <w:color w:val="auto"/>
              </w:rPr>
            </w:pPr>
            <w:r>
              <w:rPr>
                <w:rFonts w:ascii="Times New Roman" w:cs="Times New Roman" w:eastAsia="Times New Roman" w:hAnsi="Times New Roman"/>
                <w:sz w:val="10"/>
                <w:szCs w:val="10"/>
                <w:color w:val="auto"/>
              </w:rPr>
              <w:t>1,187</w:t>
            </w:r>
          </w:p>
        </w:tc>
        <w:tc>
          <w:tcPr>
            <w:tcW w:w="0" w:type="dxa"/>
            <w:vAlign w:val="bottom"/>
          </w:tcPr>
          <w:p>
            <w:pPr>
              <w:spacing w:after="0"/>
              <w:rPr>
                <w:sz w:val="1"/>
                <w:szCs w:val="1"/>
                <w:color w:val="auto"/>
              </w:rPr>
            </w:pPr>
          </w:p>
        </w:tc>
      </w:tr>
      <w:tr>
        <w:trPr>
          <w:trHeight w:val="17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in connection with the Vertex Agreement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1,618,613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19,407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19,407</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Vesting of early exercised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33,416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0" w:type="dxa"/>
            <w:vAlign w:val="bottom"/>
          </w:tcPr>
          <w:p>
            <w:pPr>
              <w:spacing w:after="0"/>
              <w:rPr>
                <w:sz w:val="1"/>
                <w:szCs w:val="1"/>
                <w:color w:val="auto"/>
              </w:rPr>
            </w:pPr>
          </w:p>
        </w:tc>
      </w:tr>
      <w:tr>
        <w:trPr>
          <w:trHeight w:val="17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138,361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common stock under the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38,061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443</w:t>
            </w:r>
          </w:p>
        </w:tc>
        <w:tc>
          <w:tcPr>
            <w:tcW w:w="0" w:type="dxa"/>
            <w:vAlign w:val="bottom"/>
          </w:tcPr>
          <w:p>
            <w:pPr>
              <w:spacing w:after="0"/>
              <w:rPr>
                <w:sz w:val="1"/>
                <w:szCs w:val="1"/>
                <w:color w:val="auto"/>
              </w:rPr>
            </w:pPr>
          </w:p>
        </w:tc>
      </w:tr>
      <w:tr>
        <w:trPr>
          <w:trHeight w:val="179"/>
        </w:trPr>
        <w:tc>
          <w:tcPr>
            <w:tcW w:w="4120" w:type="dxa"/>
            <w:vAlign w:val="bottom"/>
            <w:shd w:val="clear" w:color="auto" w:fill="CCEEFF"/>
          </w:tcPr>
          <w:p>
            <w:pPr>
              <w:ind w:left="20"/>
              <w:spacing w:after="0" w:line="127" w:lineRule="exact"/>
              <w:rPr>
                <w:sz w:val="20"/>
                <w:szCs w:val="20"/>
                <w:color w:val="auto"/>
              </w:rPr>
            </w:pPr>
            <w:r>
              <w:rPr>
                <w:rFonts w:ascii="Times New Roman" w:cs="Times New Roman" w:eastAsia="Times New Roman" w:hAnsi="Times New Roman"/>
                <w:sz w:val="11"/>
                <w:szCs w:val="11"/>
                <w:color w:val="auto"/>
              </w:rPr>
              <w:t>Stock</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based compensation</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13,111</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13,111</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2,252</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(6,685)</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(6,685)</w:t>
            </w:r>
          </w:p>
        </w:tc>
        <w:tc>
          <w:tcPr>
            <w:tcW w:w="0" w:type="dxa"/>
            <w:vAlign w:val="bottom"/>
          </w:tcPr>
          <w:p>
            <w:pPr>
              <w:spacing w:after="0"/>
              <w:rPr>
                <w:sz w:val="1"/>
                <w:szCs w:val="1"/>
                <w:color w:val="auto"/>
              </w:rPr>
            </w:pPr>
          </w:p>
        </w:tc>
      </w:tr>
      <w:tr>
        <w:trPr>
          <w:trHeight w:val="159"/>
        </w:trPr>
        <w:tc>
          <w:tcPr>
            <w:tcW w:w="4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2023</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33,437,296</w:t>
            </w: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437,132</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(194,970)</w:t>
            </w: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242,360</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377,669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2,782</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Vesting of early exercised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13,069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0" w:type="dxa"/>
            <w:vAlign w:val="bottom"/>
          </w:tcPr>
          <w:p>
            <w:pPr>
              <w:spacing w:after="0"/>
              <w:rPr>
                <w:sz w:val="1"/>
                <w:szCs w:val="1"/>
                <w:color w:val="auto"/>
              </w:rPr>
            </w:pPr>
          </w:p>
        </w:tc>
      </w:tr>
      <w:tr>
        <w:trPr>
          <w:trHeight w:val="17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333,537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common stock under the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45,964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574</w:t>
            </w:r>
          </w:p>
        </w:tc>
        <w:tc>
          <w:tcPr>
            <w:tcW w:w="0" w:type="dxa"/>
            <w:vAlign w:val="bottom"/>
          </w:tcPr>
          <w:p>
            <w:pPr>
              <w:spacing w:after="0"/>
              <w:rPr>
                <w:sz w:val="1"/>
                <w:szCs w:val="1"/>
                <w:color w:val="auto"/>
              </w:rPr>
            </w:pPr>
          </w:p>
        </w:tc>
      </w:tr>
      <w:tr>
        <w:trPr>
          <w:trHeight w:val="15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and pre-funded warrants in registered direct offering, net of</w:t>
            </w: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costs of $392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3,367,003</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99,607</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99,608</w:t>
            </w:r>
          </w:p>
        </w:tc>
        <w:tc>
          <w:tcPr>
            <w:tcW w:w="0" w:type="dxa"/>
            <w:vAlign w:val="bottom"/>
          </w:tcPr>
          <w:p>
            <w:pPr>
              <w:spacing w:after="0"/>
              <w:rPr>
                <w:sz w:val="1"/>
                <w:szCs w:val="1"/>
                <w:color w:val="auto"/>
              </w:rPr>
            </w:pPr>
          </w:p>
        </w:tc>
      </w:tr>
      <w:tr>
        <w:trPr>
          <w:trHeight w:val="170"/>
        </w:trPr>
        <w:tc>
          <w:tcPr>
            <w:tcW w:w="412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Stock</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based compensation</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17,915</w:t>
            </w:r>
          </w:p>
        </w:tc>
        <w:tc>
          <w:tcPr>
            <w:tcW w:w="0" w:type="dxa"/>
            <w:vAlign w:val="bottom"/>
          </w:tcPr>
          <w:p>
            <w:pPr>
              <w:spacing w:after="0"/>
              <w:rPr>
                <w:sz w:val="1"/>
                <w:szCs w:val="1"/>
                <w:color w:val="auto"/>
              </w:rPr>
            </w:pPr>
          </w:p>
        </w:tc>
      </w:tr>
      <w:tr>
        <w:trPr>
          <w:trHeight w:val="17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(238)</w:t>
            </w:r>
          </w:p>
        </w:tc>
        <w:tc>
          <w:tcPr>
            <w:tcW w:w="0" w:type="dxa"/>
            <w:vAlign w:val="bottom"/>
          </w:tcPr>
          <w:p>
            <w:pPr>
              <w:spacing w:after="0"/>
              <w:rPr>
                <w:sz w:val="1"/>
                <w:szCs w:val="1"/>
                <w:color w:val="auto"/>
              </w:rPr>
            </w:pPr>
          </w:p>
        </w:tc>
      </w:tr>
      <w:tr>
        <w:trPr>
          <w:trHeight w:val="160"/>
        </w:trPr>
        <w:tc>
          <w:tcPr>
            <w:tcW w:w="4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3"/>
                <w:szCs w:val="13"/>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65,626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65,626</w:t>
            </w:r>
          </w:p>
        </w:tc>
        <w:tc>
          <w:tcPr>
            <w:tcW w:w="0" w:type="dxa"/>
            <w:vAlign w:val="bottom"/>
          </w:tcPr>
          <w:p>
            <w:pPr>
              <w:spacing w:after="0"/>
              <w:rPr>
                <w:sz w:val="1"/>
                <w:szCs w:val="1"/>
                <w:color w:val="auto"/>
              </w:rPr>
            </w:pPr>
          </w:p>
        </w:tc>
      </w:tr>
      <w:tr>
        <w:trPr>
          <w:trHeight w:val="18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37,574,538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558,061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(129,344)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428,678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of Contents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8"/>
        </w:trPr>
        <w:tc>
          <w:tcPr>
            <w:tcW w:w="1000" w:type="dxa"/>
            <w:vAlign w:val="bottom"/>
            <w:tcBorders>
              <w:top w:val="single" w:sz="8" w:color="auto"/>
            </w:tcBorders>
          </w:tcPr>
          <w:p>
            <w:pPr>
              <w:spacing w:after="0"/>
              <w:rPr>
                <w:sz w:val="24"/>
                <w:szCs w:val="24"/>
                <w:color w:val="auto"/>
              </w:rPr>
            </w:pPr>
          </w:p>
        </w:tc>
        <w:tc>
          <w:tcPr>
            <w:tcW w:w="7020" w:type="dxa"/>
            <w:vAlign w:val="bottom"/>
          </w:tcPr>
          <w:p>
            <w:pPr>
              <w:jc w:val="center"/>
              <w:ind w:left="2209"/>
              <w:spacing w:after="0"/>
              <w:rPr>
                <w:sz w:val="20"/>
                <w:szCs w:val="20"/>
                <w:color w:val="auto"/>
              </w:rPr>
            </w:pPr>
            <w:r>
              <w:rPr>
                <w:rFonts w:ascii="Times New Roman" w:cs="Times New Roman" w:eastAsia="Times New Roman" w:hAnsi="Times New Roman"/>
                <w:sz w:val="14"/>
                <w:szCs w:val="14"/>
                <w:b w:val="1"/>
                <w:bCs w:val="1"/>
                <w:color w:val="auto"/>
              </w:rPr>
              <w:t>ENTRADA THERAPEUTICS, INC.</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0" w:type="dxa"/>
            <w:vAlign w:val="bottom"/>
          </w:tcPr>
          <w:p>
            <w:pPr>
              <w:spacing w:after="0"/>
              <w:rPr>
                <w:sz w:val="24"/>
                <w:szCs w:val="24"/>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w w:val="99"/>
              </w:rPr>
              <w:t>CONSOLIDATED STATEMENTS OF CASH FLOWS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0" w:type="dxa"/>
            <w:vAlign w:val="bottom"/>
          </w:tcPr>
          <w:p>
            <w:pPr>
              <w:spacing w:after="0"/>
              <w:rPr>
                <w:sz w:val="24"/>
                <w:szCs w:val="24"/>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0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4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000" w:type="dxa"/>
            <w:vAlign w:val="bottom"/>
            <w:tcBorders>
              <w:bottom w:val="single" w:sz="8" w:color="CCEEFF"/>
            </w:tcBorders>
          </w:tcPr>
          <w:p>
            <w:pPr>
              <w:spacing w:after="0"/>
              <w:rPr>
                <w:sz w:val="18"/>
                <w:szCs w:val="18"/>
                <w:color w:val="auto"/>
              </w:rPr>
            </w:pPr>
          </w:p>
        </w:tc>
        <w:tc>
          <w:tcPr>
            <w:tcW w:w="70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65,626</w:t>
            </w:r>
          </w:p>
        </w:tc>
        <w:tc>
          <w:tcPr>
            <w:tcW w:w="100" w:type="dxa"/>
            <w:vAlign w:val="bottom"/>
          </w:tcPr>
          <w:p>
            <w:pPr>
              <w:spacing w:after="0"/>
              <w:rPr>
                <w:sz w:val="17"/>
                <w:szCs w:val="17"/>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(6,685)</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Depreciation expense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2,841</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w:t>
            </w:r>
          </w:p>
        </w:tc>
        <w:tc>
          <w:tcPr>
            <w:tcW w:w="0" w:type="dxa"/>
            <w:vAlign w:val="bottom"/>
          </w:tcPr>
          <w:p>
            <w:pPr>
              <w:spacing w:after="0"/>
              <w:rPr>
                <w:sz w:val="1"/>
                <w:szCs w:val="1"/>
                <w:color w:val="auto"/>
              </w:rPr>
            </w:pPr>
          </w:p>
        </w:tc>
      </w:tr>
      <w:tr>
        <w:trPr>
          <w:trHeight w:val="201"/>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amortization of premium (accretion of discount) on marketable securities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Collaboration receivable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w:t>
            </w: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8,622</w:t>
            </w:r>
          </w:p>
        </w:tc>
        <w:tc>
          <w:tcPr>
            <w:tcW w:w="0" w:type="dxa"/>
            <w:vAlign w:val="bottom"/>
          </w:tcPr>
          <w:p>
            <w:pPr>
              <w:spacing w:after="0"/>
              <w:rPr>
                <w:sz w:val="1"/>
                <w:szCs w:val="1"/>
                <w:color w:val="auto"/>
              </w:rPr>
            </w:pPr>
          </w:p>
        </w:tc>
      </w:tr>
      <w:tr>
        <w:trPr>
          <w:trHeight w:val="196"/>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Right-of-use assets, operating leases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11,989</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non-current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(11,563)</w:t>
            </w:r>
          </w:p>
        </w:tc>
        <w:tc>
          <w:tcPr>
            <w:tcW w:w="0" w:type="dxa"/>
            <w:vAlign w:val="bottom"/>
          </w:tcPr>
          <w:p>
            <w:pPr>
              <w:spacing w:after="0"/>
              <w:rPr>
                <w:sz w:val="1"/>
                <w:szCs w:val="1"/>
                <w:color w:val="auto"/>
              </w:rPr>
            </w:pPr>
          </w:p>
        </w:tc>
      </w:tr>
      <w:tr>
        <w:trPr>
          <w:trHeight w:val="196"/>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0" w:type="dxa"/>
            <w:vAlign w:val="bottom"/>
          </w:tcPr>
          <w:p>
            <w:pPr>
              <w:spacing w:after="0"/>
              <w:rPr>
                <w:sz w:val="1"/>
                <w:szCs w:val="1"/>
                <w:color w:val="auto"/>
              </w:rPr>
            </w:pPr>
          </w:p>
        </w:tc>
      </w:tr>
      <w:tr>
        <w:trPr>
          <w:trHeight w:val="196"/>
        </w:trPr>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Income taxes payable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(119,809)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139,976</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(9,023)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(11,862)</w:t>
            </w:r>
          </w:p>
        </w:tc>
        <w:tc>
          <w:tcPr>
            <w:tcW w:w="0" w:type="dxa"/>
            <w:vAlign w:val="bottom"/>
          </w:tcPr>
          <w:p>
            <w:pPr>
              <w:spacing w:after="0"/>
              <w:rPr>
                <w:sz w:val="1"/>
                <w:szCs w:val="1"/>
                <w:color w:val="auto"/>
              </w:rPr>
            </w:pPr>
          </w:p>
        </w:tc>
      </w:tr>
      <w:tr>
        <w:trPr>
          <w:trHeight w:val="198"/>
        </w:trPr>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(41,557)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139,803</w:t>
            </w:r>
          </w:p>
        </w:tc>
        <w:tc>
          <w:tcPr>
            <w:tcW w:w="0" w:type="dxa"/>
            <w:vAlign w:val="bottom"/>
          </w:tcPr>
          <w:p>
            <w:pPr>
              <w:spacing w:after="0"/>
              <w:rPr>
                <w:sz w:val="1"/>
                <w:szCs w:val="1"/>
                <w:color w:val="auto"/>
              </w:rPr>
            </w:pPr>
          </w:p>
        </w:tc>
      </w:tr>
      <w:tr>
        <w:trPr>
          <w:trHeight w:val="17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(437,717)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(407,207)</w:t>
            </w: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413,077</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274,426</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(27,798)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(138,395)</w:t>
            </w:r>
          </w:p>
        </w:tc>
        <w:tc>
          <w:tcPr>
            <w:tcW w:w="0" w:type="dxa"/>
            <w:vAlign w:val="bottom"/>
          </w:tcPr>
          <w:p>
            <w:pPr>
              <w:spacing w:after="0"/>
              <w:rPr>
                <w:sz w:val="1"/>
                <w:szCs w:val="1"/>
                <w:color w:val="auto"/>
              </w:rPr>
            </w:pPr>
          </w:p>
        </w:tc>
      </w:tr>
      <w:tr>
        <w:trPr>
          <w:trHeight w:val="187"/>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Proceeds from issuance of common stock and pre-funded warrants in registered direct offering, net of issuance costs paid</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99,608</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Proceeds from issuance of common stock in connection with the Vertex Agreement</w:t>
            </w: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19,407</w:t>
            </w: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Proceeds from issuance of common stock under the employee stock purchase plan</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102,964</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19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33,609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22,445</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71,552</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49,107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year</w:t>
            </w:r>
          </w:p>
        </w:tc>
        <w:tc>
          <w:tcPr>
            <w:tcW w:w="980" w:type="dxa"/>
            <w:vAlign w:val="bottom"/>
            <w:tcBorders>
              <w:bottom w:val="single" w:sz="8" w:color="auto"/>
            </w:tcBorders>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105,161</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disclosures: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02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liabilities</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77,584</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Right-of-use assets surrendered as part of lease modification</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9,445</w:t>
            </w: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Transfer of deposits for equipment from operating to investing cash flows</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Vesting of options early exercised subject to repurchase</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91"/>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9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00" w:type="dxa"/>
            <w:vAlign w:val="bottom"/>
          </w:tcPr>
          <w:p>
            <w:pPr>
              <w:spacing w:after="0"/>
              <w:rPr>
                <w:sz w:val="16"/>
                <w:szCs w:val="16"/>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14,717</w:t>
            </w:r>
          </w:p>
        </w:tc>
        <w:tc>
          <w:tcPr>
            <w:tcW w:w="0" w:type="dxa"/>
            <w:vAlign w:val="bottom"/>
          </w:tcPr>
          <w:p>
            <w:pPr>
              <w:spacing w:after="0"/>
              <w:rPr>
                <w:sz w:val="1"/>
                <w:szCs w:val="1"/>
                <w:color w:val="auto"/>
              </w:rPr>
            </w:pPr>
          </w:p>
        </w:tc>
      </w:tr>
      <w:tr>
        <w:trPr>
          <w:trHeight w:val="902"/>
        </w:trPr>
        <w:tc>
          <w:tcPr>
            <w:tcW w:w="8020" w:type="dxa"/>
            <w:vAlign w:val="bottom"/>
            <w:gridSpan w:val="2"/>
          </w:tcPr>
          <w:p>
            <w:pPr>
              <w:jc w:val="center"/>
              <w:ind w:left="3209"/>
              <w:spacing w:after="0"/>
              <w:rPr>
                <w:sz w:val="20"/>
                <w:szCs w:val="20"/>
                <w:color w:val="auto"/>
              </w:rPr>
            </w:pPr>
            <w:r>
              <w:rPr>
                <w:rFonts w:ascii="Times New Roman" w:cs="Times New Roman" w:eastAsia="Times New Roman" w:hAnsi="Times New Roman"/>
                <w:sz w:val="14"/>
                <w:szCs w:val="14"/>
                <w:color w:val="auto"/>
              </w:rPr>
              <w:t>125</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9A9A9A"/>
            </w:tcBorders>
          </w:tcPr>
          <w:p>
            <w:pPr>
              <w:spacing w:after="0"/>
              <w:rPr>
                <w:sz w:val="6"/>
                <w:szCs w:val="6"/>
                <w:color w:val="auto"/>
              </w:rPr>
            </w:pPr>
          </w:p>
        </w:tc>
        <w:tc>
          <w:tcPr>
            <w:tcW w:w="70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498"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79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507" w:right="144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ENTRADA THERAPEUTICS,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Nature of the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w:t>
      </w:r>
    </w:p>
    <w:p>
      <w:pPr>
        <w:spacing w:after="0" w:line="181"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Entrada Therapeutics, Inc. (“Entrada” or the “Company”) is a clinical-stage biopharmaceutical company aiming to transform the lives of patients by establishing a new class of medicines which engage intracellular targets that have long been considered inaccessible. The Company’s Endosomal Escape Vehicle (“EEV™”)-therapeutics are designed to enable the efficient delivery of a wide range of therapeutics into a variety of organs and tissues, resulting in an improved therapeutic index. The Company was incorporated in Delaware on September 22, 2016 and its principal offices are located in Boston, Massachusetts.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 and Capital Resources</w:t>
      </w:r>
    </w:p>
    <w:p>
      <w:pPr>
        <w:spacing w:after="0" w:line="18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4"/>
          <w:szCs w:val="14"/>
          <w:color w:val="auto"/>
        </w:rPr>
        <w:t>Since its inception, the Company has devoted substantially all of its resources to its research and development efforts relating to its proprietary, highly versatile and modular EEV platform (“EEV Platform”), advancing development of its portfolio of programs and general and administrative support for these operations, including raising capital. The Company is subject to risks and uncertainties common to earlier-stage companies in the biotechnology industry, including, but not limited to, technical risks associated with the successful research, development and manufacturing of therapeutic candidates, development by competitors of new technological innovations, dependence on key personnel, protection of proprietary technology, compliance with government regulations, and the ability to secure additional capital to fund operations. Therapeutic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and infrastructure. Even if the Company’s product development efforts are successful, it is uncertain when, if ever, the Company will realize revenue from product sales.</w:t>
      </w:r>
    </w:p>
    <w:p>
      <w:pPr>
        <w:spacing w:after="0" w:line="14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 xml:space="preserve">In accordance with Accounting Standards Codification (“ASC”) 205-40, </w:t>
      </w:r>
      <w:r>
        <w:rPr>
          <w:rFonts w:ascii="Times New Roman" w:cs="Times New Roman" w:eastAsia="Times New Roman" w:hAnsi="Times New Roman"/>
          <w:sz w:val="14"/>
          <w:szCs w:val="14"/>
          <w:i w:val="1"/>
          <w:iCs w:val="1"/>
          <w:color w:val="auto"/>
        </w:rPr>
        <w:t>Going Concern</w:t>
      </w:r>
      <w:r>
        <w:rPr>
          <w:rFonts w:ascii="Times New Roman" w:cs="Times New Roman" w:eastAsia="Times New Roman" w:hAnsi="Times New Roman"/>
          <w:sz w:val="14"/>
          <w:szCs w:val="14"/>
          <w:color w:val="auto"/>
        </w:rPr>
        <w:t>, the Company evaluated whether there are conditions and events, considered in the aggregate, that raise substantial doubt about its ability to continue as a going concern within one year after the date that the consolidated financial statements are issued. Since its inception, the Company has incurred significant net losses. As of December 31, 2024, the Company had an accumulated deficit of $129.3 million. To date, the Company has funded its operations primarily through the sale of equity securities and collaboration payments. Other than the recognition of revenue related to collaboration payments, the Company expects to continue to generate operating losses and negative operating cash flows for the foreseeable future.</w:t>
      </w:r>
    </w:p>
    <w:p>
      <w:pPr>
        <w:spacing w:after="0" w:line="14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The Company expects that its cash, cash equivalents and marketable securities of $420.0 million as of December 31, 2024 will be sufficient to fund its operations and capital expenditure requirements for at least the next twelve months from the date of issuance of these consolidated financial statements. The Company will need additional financing to support its continuing operations and pursue its business strategy and may pursue additional cash resources through a combination of equity offerings, debt financings, collaborations, strategic alliances, licensing, or other arrangements. The Company may be unable to raise additional funds or enter into such other agreements when needed or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4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June 2024, the Company entered into a securities purchase agreement with a limited number of investors relating to a registered direct offering (the “June 2024 Offering”) of 3,367,003 shares of the Company’s common stock at a purchase price of $14.85 per share and, in lieu of common stock to certain investors who so chose, pre-funded warrants (the “Pre-Funded Warrants”) to purchase 3,367,003 shares of Common Stock at a purchase price of $14.8499 per Pre-Funded Warrant, which represents the price per share at which the shares of common stock were sold to the investors in the June 2024 Offering, minus $0.0001, which is the exercise price of each Pre-Funded Warrant. The June 2024 Offering was made pursuant to the shelf registration statement on Form S-3 (File No. 333-268099) previously filed by the Company with the Securities and Exchange Commission (the “SEC”) on November 1, 2022 and declared effective by the SEC 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November 7, 2022. The aggregate net proceeds from the sale of common stock and Pre-Funded Warrants in the June 2024 Offering were approximately $99.6 million, after deducting offering expenses payable by the Company. The Company will receive nominal proceeds, if any, from the exercise of the Pre-Funded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reflect the operations of the Company and have been prepared in conformity with generally accepted accounting principles in the United States of America (“GAAP”). Any reference in these notes to applicable guidance is meant to refer to the authoritative GAAP as found in the ASC and Accounting Standards Update (“ASU”) of the Financial Accounting Standards Board (“FASB”).</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81"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those of the Company and its wholly-owned subsidiary.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ind w:right="120" w:firstLine="509"/>
        <w:spacing w:after="0" w:line="259" w:lineRule="auto"/>
        <w:rPr>
          <w:sz w:val="20"/>
          <w:szCs w:val="20"/>
          <w:color w:val="auto"/>
        </w:rPr>
      </w:pPr>
      <w:r>
        <w:rPr>
          <w:rFonts w:ascii="Times New Roman" w:cs="Times New Roman" w:eastAsia="Times New Roman" w:hAnsi="Times New Roman"/>
          <w:sz w:val="14"/>
          <w:szCs w:val="14"/>
          <w:color w:val="auto"/>
        </w:rPr>
        <w:t>The preparation of the Company’s consolidated financial statements in conformity with GAAP requires management to make estimates and assumptions that affect the reported amounts of assets, liabilities, revenue and expenses,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estimates related to revenue recognition, accrual and prepayment of research and development expenses, the valuation of stock-based compensation and income taxes.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1" w:lineRule="exact"/>
        <w:rPr>
          <w:sz w:val="20"/>
          <w:szCs w:val="20"/>
          <w:color w:val="auto"/>
        </w:rPr>
      </w:pPr>
    </w:p>
    <w:p>
      <w:pPr>
        <w:ind w:right="120" w:firstLine="509"/>
        <w:spacing w:after="0" w:line="264" w:lineRule="auto"/>
        <w:rPr>
          <w:sz w:val="20"/>
          <w:szCs w:val="20"/>
          <w:color w:val="auto"/>
        </w:rPr>
      </w:pPr>
      <w:r>
        <w:rPr>
          <w:rFonts w:ascii="Times New Roman" w:cs="Times New Roman" w:eastAsia="Times New Roman" w:hAnsi="Times New Roman"/>
          <w:sz w:val="14"/>
          <w:szCs w:val="14"/>
          <w:color w:val="auto"/>
        </w:rPr>
        <w:t>Substantially all of the Company's revenue to date has been generated from the Company's Strategic Collaboration and License Agreement with Vertex, which closed in February 2023 and was amended in October 2023 (“Vertex Agreement”), and falls within the scope of ASC Topic 606, “Revenue from Contracts with Customers” ("ASC 606"), under which the Company licensed rights to VX-670 and performs research and development services. The terms of this arrangement include a non-refundable upfront payment, reimbursement for research and development costs; development, regulatory, and commercial milestone payments; and royalties on net sales of licensed products.</w:t>
      </w:r>
    </w:p>
    <w:p>
      <w:pPr>
        <w:spacing w:after="0" w:line="14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to which it is entitled in exchange for the goods or services it transfers to the customer.</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For contracts within the scope of ASC 606, the Company assesses the goods or services promised within each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separate performance obligations. The identification of material rights requires judgments related to the determination of the value of the underlying license relative to the option exercise price, including assumptions about technical feasibility and the probability of developing a candidate that would be subject to the option rights. The exercise of a material right is accounted for as a contract modification for accounting purposes.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promised goods or services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manufacturing and commercialization capabilities of the collaboration partner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w:t>
      </w:r>
    </w:p>
    <w:p>
      <w:pPr>
        <w:spacing w:after="0" w:line="149"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 estimates the transaction price based on the amount expected to be received for transferring the promised goods or services in the contract. The consideration may include fixed consideration or variable consideration. For contracts within the scope of ASC 606 that contain elements within the scope of a different ASC Topic, the Company excludes the fair value of such elements from the transaction price.</w:t>
      </w:r>
    </w:p>
    <w:p>
      <w:pPr>
        <w:spacing w:after="0" w:line="13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as a change in estimate.</w:t>
      </w:r>
    </w:p>
    <w:p>
      <w:pPr>
        <w:spacing w:after="0" w:line="14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If an arrangement includes development or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in the period in which the Company deems the milestone to be probable. Milestone payments that are not within the Company’s control or a customer's control, such as regulatory approvals, are generally not considered probable of being achieved until those approvals are received.</w:t>
      </w:r>
    </w:p>
    <w:p>
      <w:pPr>
        <w:spacing w:after="0" w:line="14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transaction price is allocated to the identified performance obligations in proportion to their standalone selling prices (“SSP”) on a relative SSP basis. SSP is determined at contract inception and is not updated to reflect changes between contract inception and when the performance obligations are satisfied. Determining the SSP for performance obligations may require significant judgment. In developing the SSP for a performance obligation, the Company considers applicable market conditions and relevant entity-specific factors, including factors that were contemplated in negotiating the agreement with the customer and estimated costs.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143" w:lineRule="exact"/>
        <w:rPr>
          <w:sz w:val="20"/>
          <w:szCs w:val="20"/>
          <w:color w:val="auto"/>
        </w:rPr>
      </w:pPr>
    </w:p>
    <w:p>
      <w:pPr>
        <w:ind w:right="300" w:firstLine="509"/>
        <w:spacing w:after="0" w:line="264" w:lineRule="auto"/>
        <w:rPr>
          <w:sz w:val="20"/>
          <w:szCs w:val="20"/>
          <w:color w:val="auto"/>
        </w:rPr>
      </w:pPr>
      <w:r>
        <w:rPr>
          <w:rFonts w:ascii="Times New Roman" w:cs="Times New Roman" w:eastAsia="Times New Roman" w:hAnsi="Times New Roman"/>
          <w:sz w:val="14"/>
          <w:szCs w:val="14"/>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Up-front and milestone payments are recorded as deferred revenue upon receipt or when due until the Company performs its obligations under these arrangements.</w:t>
      </w:r>
    </w:p>
    <w:p>
      <w:pPr>
        <w:spacing w:after="0" w:line="140"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Amounts are recorded as a collaboration receivable when the Company's right to consideration is unconditional. To date, the Company has not recorded any credit losses on its collaboration receivables.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The Company then recognizes the revenue allocated to each performance as (or when) each performance obligation is satisfied, either at a point in time or over time. Any over time recognition is based on the use of an output or input method.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 and Off-Balance Sheet Risk</w:t>
      </w:r>
    </w:p>
    <w:p>
      <w:pPr>
        <w:spacing w:after="0" w:line="181"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significant concentration of credit risk consist primarily of cash, cash equivalents, restricted cash and marketable securities.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and the Company has not experienced any losses on these deposits. The Company’s marketable securities primarily consist of corporate bonds and U.S. government agency securities and treasuries, and potentially subject the Company to concentrations of credit risk. Our cash management and investment policy limits investment instruments to investment-grade securities with the objective to preserve capital and to maintain liquidity until the funds can be used in business operations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no off-balance sheet risk, such as foreign exchange contracts, option contracts, or other foreign-hedging arrangements.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81"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 remaining maturity of 90 days or less at the date of purchase to be cash equivalents. At December 31, 2024 and 2023 cash and cash equivalents include standard checking accounts and money market account funds that invest primarily in U.S. government-backed securities and treasuries.</w:t>
      </w:r>
    </w:p>
    <w:p>
      <w:pPr>
        <w:spacing w:after="0" w:line="114" w:lineRule="exact"/>
        <w:rPr>
          <w:sz w:val="20"/>
          <w:szCs w:val="20"/>
          <w:color w:val="auto"/>
        </w:rPr>
      </w:pPr>
    </w:p>
    <w:p>
      <w:pPr>
        <w:jc w:val="both"/>
        <w:ind w:right="200" w:firstLine="509"/>
        <w:spacing w:after="0" w:line="262" w:lineRule="auto"/>
        <w:rPr>
          <w:sz w:val="20"/>
          <w:szCs w:val="20"/>
          <w:color w:val="auto"/>
        </w:rPr>
      </w:pPr>
      <w:r>
        <w:rPr>
          <w:rFonts w:ascii="Times New Roman" w:cs="Times New Roman" w:eastAsia="Times New Roman" w:hAnsi="Times New Roman"/>
          <w:sz w:val="14"/>
          <w:szCs w:val="14"/>
          <w:color w:val="auto"/>
        </w:rPr>
        <w:t>As of December 31, 2024 and 2023, restricted cash represents collateral provided for a letter of credit issued as a security deposit in connection with the Company’s lease of its corporate facilities located at One Design Center Place, Boston, Massachusetts. A reconciliation of the cash, cash equivalents, and restricted cash reported within the balance sheet that sum to the total of the same amounts shown in the statement of cash flows is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2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8"/>
        </w:trPr>
        <w:tc>
          <w:tcPr>
            <w:tcW w:w="82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8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101,211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67,602</w:t>
            </w:r>
          </w:p>
        </w:tc>
      </w:tr>
      <w:tr>
        <w:trPr>
          <w:trHeight w:val="18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3,950</w:t>
            </w:r>
          </w:p>
        </w:tc>
      </w:tr>
      <w:tr>
        <w:trPr>
          <w:trHeight w:val="196"/>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181"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Investments in marketable securities are classified as available-for-sale. Available-for-sale securities are measured and reported at fair value using quoted prices in active markets for similar securities. Unrealized gains and losses on available-for-sale securities are reported as a separate component of stockholders’ equity. Premiums or discounts from par value are amortized or accreted to investment income and/or expense over the life of the underlying investment. All of the Company’s marketable securities are available to the Company for use in current operations. As a result, the Company classified all of these securities as current assets even though the stated maturity of some individual securities may be one year or more beyond the balance sheet date. Realized gains and losses are determined using the specific identification method and are included in interest and other income in our consolidated statement of operations.</w:t>
      </w:r>
    </w:p>
    <w:p>
      <w:pPr>
        <w:spacing w:after="0" w:line="14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Company assesses impairment for its marketable securities under the available-for-sale debt security impairment model in ASC 326 as of each reporting date. Based on the model, we determine if a portion of any decline in fair value below carrying value is the result of a credit loss. The Company records credit losses in the consolidated statements of operations and comprehensive loss as credit loss expense within interest and other income, which is limited to the difference between the fair value and the amortized cost of the security. To date, the Company has not recorded any credit losses on its available-for-sale debt securities.</w:t>
      </w:r>
    </w:p>
    <w:p>
      <w:pPr>
        <w:spacing w:after="0" w:line="149" w:lineRule="exact"/>
        <w:rPr>
          <w:sz w:val="20"/>
          <w:szCs w:val="20"/>
          <w:color w:val="auto"/>
        </w:rPr>
      </w:pPr>
    </w:p>
    <w:p>
      <w:pPr>
        <w:jc w:val="both"/>
        <w:ind w:right="140" w:firstLine="509"/>
        <w:spacing w:after="0" w:line="254" w:lineRule="auto"/>
        <w:rPr>
          <w:sz w:val="20"/>
          <w:szCs w:val="20"/>
          <w:color w:val="auto"/>
        </w:rPr>
      </w:pPr>
      <w:r>
        <w:rPr>
          <w:rFonts w:ascii="Times New Roman" w:cs="Times New Roman" w:eastAsia="Times New Roman" w:hAnsi="Times New Roman"/>
          <w:sz w:val="14"/>
          <w:szCs w:val="14"/>
          <w:color w:val="auto"/>
        </w:rPr>
        <w:t>Accrued interest receivable related to the Company's available-for-sale debt securities is presented within prepaid expenses and other current assets on the Company's consolidated balance sheets. The Company has elected the practical expedient available to exclude accrued interest receivable from both the fair value and the amortized cost basis of available-for-sale debt securities for the purposes of identifying and measuring any impairment. The Company writes off</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marketable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79"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 xml:space="preserve">ASC Topic 820,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assets or liability and are developed based on the best information available under the circumstances. ASC 820 identifies fair value as the price that would be received to sell an asset or paid to transfer a liability, in an orderly transaction between market participants at the measurement date.</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a basis for considering market participant assumptions in fair value measurements, ASC 820 establishes a three-tiered value hierarchy that distinguishes between the following:</w:t>
      </w:r>
    </w:p>
    <w:p>
      <w:pPr>
        <w:spacing w:after="0" w:line="179" w:lineRule="exact"/>
        <w:rPr>
          <w:sz w:val="20"/>
          <w:szCs w:val="20"/>
          <w:color w:val="auto"/>
        </w:rPr>
      </w:pPr>
    </w:p>
    <w:p>
      <w:pPr>
        <w:ind w:left="520" w:hanging="260"/>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in active markets for identical assets or liabilities.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24"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24"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spacing w:after="0" w:line="136"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Company evaluates transfers between levels at the end of each reporting period. There were no transfers of financial instruments between levels during the years ended December 31, 2024 and 2023. The carrying amounts of accounts payable and accrued expenses approximate their fair values due to their short-term nature.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expense is recognized using the straight line method over the estimated useful life of each asset 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Borders>
              <w:bottom w:val="single" w:sz="8" w:color="CCEEFF"/>
            </w:tcBorders>
          </w:tcPr>
          <w:p>
            <w:pPr>
              <w:spacing w:after="0"/>
              <w:rPr>
                <w:sz w:val="16"/>
                <w:szCs w:val="16"/>
                <w:color w:val="auto"/>
              </w:rPr>
            </w:pPr>
          </w:p>
        </w:tc>
        <w:tc>
          <w:tcPr>
            <w:tcW w:w="5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5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5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years</w:t>
            </w:r>
          </w:p>
        </w:tc>
      </w:tr>
      <w:tr>
        <w:trPr>
          <w:trHeight w:val="207"/>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5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years</w:t>
            </w:r>
          </w:p>
        </w:tc>
      </w:tr>
      <w:tr>
        <w:trPr>
          <w:trHeight w:val="191"/>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Lesser of estimated useful life or remaining lease term</w:t>
            </w:r>
          </w:p>
        </w:tc>
      </w:tr>
    </w:tbl>
    <w:p>
      <w:pPr>
        <w:spacing w:after="0" w:line="240"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Costs for capital assets not yet placed into service are capitalized as construction-in-progress and depreciated once placed into service. Upon retirement or sale, the cost of assets disposed of and the related accumulated depreciation are removed from the accounts and any resulting gain or loss is included in other income (expense), net. Expenditures for repairs and maintenance that do not improve or extend the life of the respective assets are expensed in operations as incurred.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firstLine="509"/>
        <w:spacing w:after="0" w:line="270" w:lineRule="auto"/>
        <w:rPr>
          <w:sz w:val="20"/>
          <w:szCs w:val="20"/>
          <w:color w:val="auto"/>
        </w:rPr>
      </w:pPr>
      <w:r>
        <w:rPr>
          <w:rFonts w:ascii="Times New Roman" w:cs="Times New Roman" w:eastAsia="Times New Roman" w:hAnsi="Times New Roman"/>
          <w:sz w:val="14"/>
          <w:szCs w:val="14"/>
          <w:color w:val="auto"/>
        </w:rPr>
        <w:t>At the inception of a lease arrangement, the Company determines whether the arrangement is or contains a lease based on the unique facts and circumstances present in the arrangement. Leases with a term greater than one year are recognized on the balance sheet as right-of-use assets and current and non-current lease liabilities, as applicable. The Company has elected not to recognize leases with an original term of one year or less on the balance sheet.</w:t>
      </w:r>
    </w:p>
    <w:p>
      <w:pPr>
        <w:spacing w:after="0" w:line="13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To estimate its incremental borrowing rate, a credit rating applicable to the Company is estimated using a synthetic credit rating analysis since the Company does not currently have a rating agency-based credit rating. Prospectively, the Company adjusts the right-of-use assets for straight-line rent expense or any incentives received and remeasures the lease liability at the net present value using the same incremental borrowing rate that was in effect as of the lease commencement or transition date. Lease expense for lease payments is recognized on a straight-line basis over the assigned lease term.</w:t>
      </w:r>
    </w:p>
    <w:p>
      <w:pPr>
        <w:spacing w:after="0" w:line="14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Assumptions made by the Company at the commencement date are re-evaluated upon occurrence of certain events, including a lease modification. Changes to the terms and conditions of a lease that result in a change in the scope of or the consideration for the lease result in a lease modification. A lease modification that grants the lessee an additional right of use not included in the original lease and when lease payments increase commensurate with the standalone price for the additional right of use is treated as a separate contract. When a lease modification results in a separate contract, it is accounted for in the same manner as a new lease. For any lease modifications that aren't accounted for as separate contracts, the Company remeasures its right-of-use assets and lease liabilities as of the modification date. The Company assesses its right-of-use assets for impairment in a manner consistent with its assessment for long-lived assets held and used in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181"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4"/>
          <w:szCs w:val="14"/>
          <w:color w:val="auto"/>
        </w:rPr>
        <w:t>The Company evaluates its long-lived assets, which consist primarily of property and equipment,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There were no impairment losses recognized during the years ended December 31, 2024 and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181"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Company capitalizes incremental legal, professional accounting and other third-party fees that are incurred in the course of preparing for a financing as other non-current assets until the offering is consummated. At the time of the completion of the offering, the costs are reclassified as a reduction of the proceeds of the financing as part of additional paid-in-capital. Should the offering be terminated, deferred offering costs are charged to operations during the period in which the offering is terminated.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Contingencies</w:t>
      </w:r>
    </w:p>
    <w:p>
      <w:pPr>
        <w:spacing w:after="0" w:line="170"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 xml:space="preserve">The Company records liabilities for legal and other contingencies when information available to the Company indicates that it is probable that a liability has been incurred and the amount of loss can be reasonably estimated. At each reporting period, management evaluates whether or not a potential loss amount, or a potential range of loss meets the requirements for disclosure under ASC 450,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including whether a range of loss is reasonably estimable. Legal costs in connection with legal and other contingencies are expensed as costs are incurred. No liabilities for legal and other contingencies were accrued as of December 31, 2024 and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8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In the ordinary course of business, the Company may provide indemnification of varying scope and terms to vendors, lessors, contract research organizations (“CROs”),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Warrants</w:t>
      </w:r>
    </w:p>
    <w:p>
      <w:pPr>
        <w:spacing w:after="0" w:line="181"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Company’s common stock warrants are evaluated pursuant to ASC 480, Distinguishing Liabilities from Equity (“ASC 480”), and ASC 815, Derivatives and Hedging (“ASC 815”). The Company classifies its freestanding warrants as (i) liabilities, if the warrant terms allow settlement of the warrant exercise in cash, or (ii) equity, if the warrant terms only allow settlement in shares of common stock. Please refer to Note 7 below for the application to the Company’s pre-funded warrant.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Research and development costs are charged to expense as incurred. Research and development costs consist of direct and allocated costs incurred in performing research and development activities, including salaries and bonuses, stock-based compensation, employee benefits, facilities costs, third-party license fees related to technology with no alternative future use, laboratory supplies, depreciation, manufacturing expenses, preclinical expenses, clinical expenses, consulting and other contracted services.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Company has entered into various research and development related contracts with third parties. These agreements are cancellable with prior written notice, and related fees are recorded as research and development expenses as incurred. Payments for these agreements are based on the terms of the individual contracts, which may differ from the pattern of costs incurred, and payments made in advance of performance are reflected in the accompanying consolidated balance sheets as prepaid and other assets or accrued liabilities. When evaluating the adequacy of the accrued liabilities and prepaid expenses, the Company analyzes progress of the studies, including the phase or completion of events, invoices received and contracted costs. Significant judgments and estimates are made in determining the accrued and prepaid balances at the end of any reporting period. Actual results could differ from the Company’s estimates.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Costs</w:t>
      </w:r>
    </w:p>
    <w:p>
      <w:pPr>
        <w:spacing w:after="0" w:line="18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1"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has granted stock options, restricted stock units (“RSUs”) and performance stock units (“PSUs”) pursuant to its 2021 Stock Option and Incentive Plan (the “2021 Plan”) and 2016 Stock Incentive Plan (the “2016 Plan”)</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Grants are awarded to employees and non-employees, including the Company’s board of directors.</w:t>
      </w:r>
    </w:p>
    <w:p>
      <w:pPr>
        <w:spacing w:after="0" w:line="122"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its stock-based compensation in accordance with ASC Topic 718, </w:t>
      </w:r>
      <w:r>
        <w:rPr>
          <w:rFonts w:ascii="Times New Roman" w:cs="Times New Roman" w:eastAsia="Times New Roman" w:hAnsi="Times New Roman"/>
          <w:sz w:val="14"/>
          <w:szCs w:val="14"/>
          <w:i w:val="1"/>
          <w:iCs w:val="1"/>
          <w:color w:val="auto"/>
        </w:rPr>
        <w:t>Compensation-Stock Compensation</w:t>
      </w:r>
      <w:r>
        <w:rPr>
          <w:rFonts w:ascii="Times New Roman" w:cs="Times New Roman" w:eastAsia="Times New Roman" w:hAnsi="Times New Roman"/>
          <w:sz w:val="14"/>
          <w:szCs w:val="14"/>
          <w:color w:val="auto"/>
        </w:rPr>
        <w:t xml:space="preserve"> (ASC 718). ASC 718 requires all stock-based payments to employees, non-employees and directors, to be recognized as expense in the consolidated statements of operations based on their grant date fair values. The Company estimates the fair value of stock options granted using the Black-Scholes option-pricing model (“Black-Scholes”) for stock option grants to both employees and non-employees. The fair value of the Company’s common stock is used to determine the fair value of RSUs and PSUs.</w:t>
      </w:r>
    </w:p>
    <w:p>
      <w:pPr>
        <w:spacing w:after="0" w:line="140"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Company’s stock-based compensation awards are subject to service-based vesting conditions. Compensation expense related to stock option awards and RSUs awards with only service-based vesting is recognized over the requisite service period, which is generally the vesting period, on a straight-line basis. For PSUs, which also contain performance-based vesting criteria, the Company recognizes stock-based compensation expense over the requisite service period using the accelerated attribution method once achievement is probable.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Black-Scholes requires inputs based on certain subjective assumptions, including (i) the expected stock price volatility, (ii) the expected term of the award, (iii) the risk-free interest rate and</w:t>
      </w:r>
    </w:p>
    <w:p>
      <w:pPr>
        <w:spacing w:after="0" w:line="23" w:lineRule="exact"/>
        <w:rPr>
          <w:sz w:val="20"/>
          <w:szCs w:val="20"/>
          <w:color w:val="auto"/>
        </w:rPr>
      </w:pPr>
    </w:p>
    <w:p>
      <w:pPr>
        <w:ind w:right="80" w:firstLine="5"/>
        <w:spacing w:after="0" w:line="255" w:lineRule="auto"/>
        <w:tabs>
          <w:tab w:leader="none" w:pos="2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dividends. The Company determines the expected volatility using the historical volatility of a peer group of comparable publicly traded companies with comparable characteristics and with historical share price information that approximates the expected term of the stock-based awards. The Company uses the simplified method as prescribed by the SEC Staff Accounting Bulletin No. 107, Share-Based Payment, to calculate the expected term for options granted to employees and non-employees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48"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4"/>
          <w:szCs w:val="14"/>
          <w:color w:val="auto"/>
        </w:rPr>
        <w:t xml:space="preserve">Prior to the Company’s IPO, there was no public market for its common stock, and consequently, the estimated fair value of its common stock was determined by the board of directors as of the date of each option grant, with input from management, considering third-party valuations of its common stock as well as its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4"/>
          <w:szCs w:val="14"/>
          <w:i w:val="1"/>
          <w:iCs w:val="1"/>
          <w:color w:val="auto"/>
        </w:rPr>
        <w:t>Valuation of Privately-Held-Company Equity Securities Issued as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Compensation </w:t>
      </w:r>
      <w:r>
        <w:rPr>
          <w:rFonts w:ascii="Times New Roman" w:cs="Times New Roman" w:eastAsia="Times New Roman" w:hAnsi="Times New Roman"/>
          <w:sz w:val="14"/>
          <w:szCs w:val="14"/>
          <w:color w:val="auto"/>
        </w:rPr>
        <w:t>(“Practice Aid”). The Practice Aid identifies various available methods for allocating the enterprise value across classes of series of capital stock in determining the fair value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common stock at each valuation date.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Subsequent to the Company’s IPO, the fair value of the common stock underlying the stock-based awards is the closing price of the Company’s common stock on the date of grant.</w:t>
      </w:r>
    </w:p>
    <w:p>
      <w:pPr>
        <w:spacing w:after="0" w:line="179"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 xml:space="preserve">Income taxes are recorded in accordance with FASB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which provides for deferred taxes using an asset and liability approach. 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The Company recognizes interest and penalties owed to taxing authorities as part of the provision for income taxes.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per Share</w:t>
      </w:r>
    </w:p>
    <w:p>
      <w:pPr>
        <w:spacing w:after="0" w:line="18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shares assuming the dilutive effect of common stock equivalents. The weighted-average common shares outstanding used in the basic and diluted net income (loss) per share calculation includes the Pre-Funded Warrants issued in connection with the Company’s registered direct offering in June 2024 as the Pre-Funded Warrants are exercisable for nominal cash consideration.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2023, as the Company recorded a net loss, there is no difference between basic and diluted net loss per share since the effect of common stock equivalents would be antidilutive and are, therefore, excluded from the diluted net loss per share calculation.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Income (Loss)</w:t>
      </w:r>
    </w:p>
    <w:p>
      <w:pPr>
        <w:spacing w:after="0" w:line="181" w:lineRule="exact"/>
        <w:rPr>
          <w:sz w:val="20"/>
          <w:szCs w:val="20"/>
          <w:color w:val="auto"/>
        </w:rPr>
      </w:pPr>
    </w:p>
    <w:p>
      <w:pPr>
        <w:ind w:right="620" w:firstLine="509"/>
        <w:spacing w:after="0" w:line="287" w:lineRule="auto"/>
        <w:rPr>
          <w:sz w:val="20"/>
          <w:szCs w:val="20"/>
          <w:color w:val="auto"/>
        </w:rPr>
      </w:pPr>
      <w:r>
        <w:rPr>
          <w:rFonts w:ascii="Times New Roman" w:cs="Times New Roman" w:eastAsia="Times New Roman" w:hAnsi="Times New Roman"/>
          <w:sz w:val="14"/>
          <w:szCs w:val="14"/>
          <w:color w:val="auto"/>
        </w:rPr>
        <w:t>Comprehensive income (loss) includes net income (loss) and other comprehensive (loss) income. Other comprehensive (loss) income consists of unrealized gains and losses on our marketable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w:t>
      </w:r>
    </w:p>
    <w:p>
      <w:pPr>
        <w:spacing w:after="0" w:line="18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 Company qualifies as an “emerging growth company” or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consolidated financial statements may not be comparable to companies that comply with public company FASB standards’ effective 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ASU No. 2023-07, Segment Reporting (Topic 280)</w:t>
      </w:r>
    </w:p>
    <w:p>
      <w:pPr>
        <w:spacing w:after="0" w:line="179"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4"/>
          <w:szCs w:val="14"/>
          <w:color w:val="auto"/>
        </w:rPr>
        <w:t xml:space="preserve">In November 2023, the FASB issued </w:t>
      </w:r>
      <w:r>
        <w:rPr>
          <w:rFonts w:ascii="Times New Roman" w:cs="Times New Roman" w:eastAsia="Times New Roman" w:hAnsi="Times New Roman"/>
          <w:sz w:val="14"/>
          <w:szCs w:val="14"/>
          <w:i w:val="1"/>
          <w:iCs w:val="1"/>
          <w:color w:val="auto"/>
        </w:rPr>
        <w:t>ASU No. 2023-07, Segment Reporting (Topic 280) (“ASU 2023-07”)</w:t>
      </w:r>
      <w:r>
        <w:rPr>
          <w:rFonts w:ascii="Times New Roman" w:cs="Times New Roman" w:eastAsia="Times New Roman" w:hAnsi="Times New Roman"/>
          <w:sz w:val="14"/>
          <w:szCs w:val="14"/>
          <w:color w:val="auto"/>
        </w:rPr>
        <w:t>. The guidance in ASU 2023-07 expands prior reportable segment disclosure requirements by requiring entities to disclose significant segment expenses that are regularly provided to the Chief Operating Decision Maker (“CODM”) and details of how the CODM uses financial reporting to assess their segment’s performance. The enhanced disclosure requirements apply to all public entities that are required to report segment information, including those with</w:t>
      </w:r>
    </w:p>
    <w:p>
      <w:pPr>
        <w:spacing w:after="0" w:line="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4"/>
          <w:szCs w:val="14"/>
          <w:color w:val="auto"/>
        </w:rPr>
        <w:t xml:space="preserve">only one reportable segment. The guidance is effective for fiscal years beginning after December 15, 2023 and interim periods within fiscal years beginning after December 15, 2024, with early adoption permitted. The ASU is required to be applied retrospectively upon adoption. The Company adopted ASU 2023-07 during the year ended December 31,2024. See Note 15,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Reporting, </w:t>
      </w:r>
      <w:r>
        <w:rPr>
          <w:rFonts w:ascii="Times New Roman" w:cs="Times New Roman" w:eastAsia="Times New Roman" w:hAnsi="Times New Roman"/>
          <w:sz w:val="14"/>
          <w:szCs w:val="14"/>
          <w:color w:val="auto"/>
        </w:rPr>
        <w:t>for the Company's disclosures pursuant to this ASU.</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FASB or other standard-setting bodies that the Company adopts as of the specified effective date. The Company qualifies as an EGC as defined in the JOBS Act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 Unless otherwise discussed, the Company believes that the impact of recently issued standards that are not yet effective will not have a material impact on its consolidated financial statements and disclosures.</w:t>
      </w:r>
    </w:p>
    <w:p>
      <w:pPr>
        <w:spacing w:after="0" w:line="144"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which is intended to provide enhancements to annual income tax disclosures. In particular, the standard will require more detailed information in the income tax rate reconciliation, as well as the disclosure of income taxes paid disaggregated by jurisdiction, among other enhancements. The standard is effective for years beginning after December 15, 2024, and early adoption is permitted. The Company is currently evaluating the impact of the standard on the presentation of its consolidated financial statements and footnotes.</w:t>
      </w:r>
    </w:p>
    <w:p>
      <w:pPr>
        <w:spacing w:after="0" w:line="138" w:lineRule="exact"/>
        <w:rPr>
          <w:sz w:val="20"/>
          <w:szCs w:val="20"/>
          <w:color w:val="auto"/>
        </w:rPr>
      </w:pPr>
    </w:p>
    <w:p>
      <w:pPr>
        <w:ind w:right="60" w:firstLine="509"/>
        <w:spacing w:after="0" w:line="290" w:lineRule="auto"/>
        <w:rPr>
          <w:sz w:val="20"/>
          <w:szCs w:val="20"/>
          <w:color w:val="auto"/>
        </w:rPr>
      </w:pPr>
      <w:r>
        <w:rPr>
          <w:rFonts w:ascii="Times New Roman" w:cs="Times New Roman" w:eastAsia="Times New Roman" w:hAnsi="Times New Roman"/>
          <w:sz w:val="14"/>
          <w:szCs w:val="14"/>
          <w:color w:val="auto"/>
        </w:rPr>
        <w:t xml:space="preserve">In November 2024, the FASB issued </w:t>
      </w:r>
      <w:r>
        <w:rPr>
          <w:rFonts w:ascii="Times New Roman" w:cs="Times New Roman" w:eastAsia="Times New Roman" w:hAnsi="Times New Roman"/>
          <w:sz w:val="14"/>
          <w:szCs w:val="14"/>
          <w:i w:val="1"/>
          <w:iCs w:val="1"/>
          <w:color w:val="auto"/>
        </w:rPr>
        <w:t>ASU 2024-03, Income Statement – Reporting Comprehensive Income – Expense Disaggregation Disclosures</w:t>
      </w:r>
      <w:r>
        <w:rPr>
          <w:rFonts w:ascii="Times New Roman" w:cs="Times New Roman" w:eastAsia="Times New Roman" w:hAnsi="Times New Roman"/>
          <w:sz w:val="14"/>
          <w:szCs w:val="14"/>
          <w:color w:val="auto"/>
        </w:rPr>
        <w:t>. The ASU requires a public business entity to provide disaggregated disclosures of certain categories of expenses on an annual and interim basis including purchases of inventory, employee compensation,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depreciation, and intangible asset amortization for each income statement line item that contains those expenses. This ASU is effective for annual reporting periods beginning after December 15, 2026, and interim periods within annual reporting periods beginning after December 15, 2027, with early adoption permitted. The Company is currently evaluating the impact of the standard on the presentation of its consolidated financial statements and footnotes.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Marketable Securities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summary of the Company's marketable securities at December 31, 2024 and December 31, 2023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6"/>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6"/>
                <w:szCs w:val="16"/>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300" w:type="dxa"/>
            <w:vAlign w:val="bottom"/>
          </w:tcPr>
          <w:p>
            <w:pPr>
              <w:spacing w:after="0"/>
              <w:rPr>
                <w:sz w:val="16"/>
                <w:szCs w:val="16"/>
                <w:color w:val="auto"/>
              </w:rPr>
            </w:pP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148,673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148,868</w:t>
            </w:r>
          </w:p>
        </w:tc>
      </w:tr>
      <w:tr>
        <w:trPr>
          <w:trHeight w:val="18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58,210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58,312</w:t>
            </w:r>
          </w:p>
        </w:tc>
      </w:tr>
      <w:tr>
        <w:trPr>
          <w:trHeight w:val="17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securities with a maturity of one year or less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207,180</w:t>
            </w:r>
          </w:p>
        </w:tc>
      </w:tr>
      <w:tr>
        <w:trPr>
          <w:trHeight w:val="212"/>
        </w:trPr>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105,145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104,760</w:t>
            </w: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6,847</w:t>
            </w:r>
          </w:p>
        </w:tc>
      </w:tr>
      <w:tr>
        <w:trPr>
          <w:trHeight w:val="171"/>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securities with a maturity of greater than one year</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111,946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111,607</w:t>
            </w: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318,829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318,787</w:t>
            </w: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6"/>
        </w:trPr>
        <w:tc>
          <w:tcPr>
            <w:tcW w:w="4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(41)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235,586</w:t>
            </w: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25,437</w:t>
            </w:r>
          </w:p>
        </w:tc>
      </w:tr>
      <w:tr>
        <w:trPr>
          <w:trHeight w:val="171"/>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securities with a maturity of one year or less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260,966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(70)</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261,023</w:t>
            </w:r>
          </w:p>
        </w:tc>
      </w:tr>
      <w:tr>
        <w:trPr>
          <w:trHeight w:val="212"/>
        </w:trPr>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15,582</w:t>
            </w:r>
          </w:p>
        </w:tc>
      </w:tr>
      <w:tr>
        <w:trPr>
          <w:trHeight w:val="18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3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7,762</w:t>
            </w:r>
          </w:p>
        </w:tc>
      </w:tr>
      <w:tr>
        <w:trPr>
          <w:trHeight w:val="171"/>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securities with a maturity of greater than one year</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23,206</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bottom w:val="single" w:sz="8" w:color="auto"/>
            </w:tcBorders>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23,344</w:t>
            </w:r>
          </w:p>
        </w:tc>
      </w:tr>
      <w:tr>
        <w:trPr>
          <w:trHeight w:val="17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available-for-sale securities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284,172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4"/>
                <w:szCs w:val="14"/>
                <w:color w:val="auto"/>
              </w:rPr>
            </w:pPr>
          </w:p>
        </w:tc>
        <w:tc>
          <w:tcPr>
            <w:tcW w:w="1420" w:type="dxa"/>
            <w:vAlign w:val="bottom"/>
            <w:tcBorders>
              <w:bottom w:val="single" w:sz="8" w:color="auto"/>
            </w:tcBorders>
          </w:tcPr>
          <w:p>
            <w:pPr>
              <w:jc w:val="right"/>
              <w:ind w:right="126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(70)</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284,367</w:t>
            </w: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As of December 31, 2024, the Company had 15 marketable securities with a total fair market value of $99.3 million in an unrealized loss position. As of December 31, 2023, the Company had 20 marketable securities with a total fair market value of $101.7 million in an unrealized loss position.</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Company believes that any unrealized losses associated with the decline in value of its securities are temporary and primarily related to the change in market interest rates since purchase. The Company believes that it is more likely than not that it will be able to hold its debt securities to maturity and that there was no material change in the credit risk of the above instruments since January 1, 2024. Therefore, the Company anticipates a full recovery of the amortized cost basis of its debt securities at maturity and no allowance for credit losses was recognized.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December 31, 2024 and December 31, 2023, $1.8 million and $1.7 million, respectively, of accrued interest receivable was included in prepaid expenses and other current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81"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tables present the Company’s fair value hierarchy for its assets and liabilities that are measured at fair value on a recurring basis and indicate the level within the fair value hierarchy of the valuation techniques the Company utilized to determine such fair value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80" w:type="dxa"/>
            <w:vAlign w:val="bottom"/>
            <w:gridSpan w:val="4"/>
          </w:tcPr>
          <w:p>
            <w:pPr>
              <w:jc w:val="center"/>
              <w:ind w:left="296"/>
              <w:spacing w:after="0"/>
              <w:rPr>
                <w:sz w:val="20"/>
                <w:szCs w:val="20"/>
                <w:color w:val="auto"/>
              </w:rPr>
            </w:pPr>
            <w:r>
              <w:rPr>
                <w:rFonts w:ascii="Times New Roman" w:cs="Times New Roman" w:eastAsia="Times New Roman" w:hAnsi="Times New Roman"/>
                <w:sz w:val="11"/>
                <w:szCs w:val="11"/>
                <w:b w:val="1"/>
                <w:bCs w:val="1"/>
                <w:color w:val="auto"/>
              </w:rPr>
              <w:t>Fair Value Measurements at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49"/>
        </w:trPr>
        <w:tc>
          <w:tcPr>
            <w:tcW w:w="5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20" w:type="dxa"/>
            <w:vAlign w:val="bottom"/>
            <w:gridSpan w:val="3"/>
          </w:tcPr>
          <w:p>
            <w:pPr>
              <w:jc w:val="center"/>
              <w:ind w:right="53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0"/>
        </w:trPr>
        <w:tc>
          <w:tcPr>
            <w:tcW w:w="5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50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91"/>
        </w:trPr>
        <w:tc>
          <w:tcPr>
            <w:tcW w:w="50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Cash equivalents:</w:t>
            </w:r>
            <w:r>
              <w:rPr>
                <w:rFonts w:ascii="Times New Roman" w:cs="Times New Roman" w:eastAsia="Times New Roman" w:hAnsi="Times New Roman"/>
                <w:sz w:val="18"/>
                <w:szCs w:val="18"/>
                <w:color w:val="auto"/>
                <w:vertAlign w:val="superscript"/>
              </w:rPr>
              <w:t>(1)</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100,711</w:t>
            </w:r>
          </w:p>
        </w:tc>
        <w:tc>
          <w:tcPr>
            <w:tcW w:w="80" w:type="dxa"/>
            <w:vAlign w:val="bottom"/>
          </w:tcPr>
          <w:p>
            <w:pPr>
              <w:spacing w:after="0"/>
              <w:rPr>
                <w:sz w:val="17"/>
                <w:szCs w:val="17"/>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100,711</w:t>
            </w: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9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253,628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253,628</w:t>
            </w:r>
          </w:p>
        </w:tc>
      </w:tr>
      <w:tr>
        <w:trPr>
          <w:trHeight w:val="202"/>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65,159</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65,159</w:t>
            </w:r>
          </w:p>
        </w:tc>
      </w:tr>
      <w:tr>
        <w:trPr>
          <w:trHeight w:val="19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100,711</w:t>
            </w:r>
          </w:p>
        </w:tc>
        <w:tc>
          <w:tcPr>
            <w:tcW w:w="80" w:type="dxa"/>
            <w:vAlign w:val="bottom"/>
          </w:tcPr>
          <w:p>
            <w:pPr>
              <w:spacing w:after="0"/>
              <w:rPr>
                <w:sz w:val="17"/>
                <w:szCs w:val="17"/>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318,787</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419,498</w:t>
            </w: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77"/>
        </w:trPr>
        <w:tc>
          <w:tcPr>
            <w:tcW w:w="5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4"/>
          </w:tcPr>
          <w:p>
            <w:pPr>
              <w:jc w:val="center"/>
              <w:ind w:left="296"/>
              <w:spacing w:after="0"/>
              <w:rPr>
                <w:sz w:val="20"/>
                <w:szCs w:val="20"/>
                <w:color w:val="auto"/>
              </w:rPr>
            </w:pPr>
            <w:r>
              <w:rPr>
                <w:rFonts w:ascii="Times New Roman" w:cs="Times New Roman" w:eastAsia="Times New Roman" w:hAnsi="Times New Roman"/>
                <w:sz w:val="11"/>
                <w:szCs w:val="11"/>
                <w:b w:val="1"/>
                <w:bCs w:val="1"/>
                <w:color w:val="auto"/>
              </w:rPr>
              <w:t>Fair Value Measurements at</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49"/>
        </w:trPr>
        <w:tc>
          <w:tcPr>
            <w:tcW w:w="5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20" w:type="dxa"/>
            <w:vAlign w:val="bottom"/>
            <w:gridSpan w:val="3"/>
          </w:tcPr>
          <w:p>
            <w:pPr>
              <w:jc w:val="center"/>
              <w:ind w:right="53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30"/>
        </w:trPr>
        <w:tc>
          <w:tcPr>
            <w:tcW w:w="5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1"/>
        </w:trPr>
        <w:tc>
          <w:tcPr>
            <w:tcW w:w="50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91"/>
        </w:trPr>
        <w:tc>
          <w:tcPr>
            <w:tcW w:w="50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Cash equivalents: </w:t>
            </w:r>
            <w:r>
              <w:rPr>
                <w:rFonts w:ascii="Times New Roman" w:cs="Times New Roman" w:eastAsia="Times New Roman" w:hAnsi="Times New Roman"/>
                <w:sz w:val="18"/>
                <w:szCs w:val="18"/>
                <w:color w:val="auto"/>
                <w:vertAlign w:val="superscript"/>
              </w:rPr>
              <w:t>(1)</w:t>
            </w: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Money market funds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67,102</w:t>
            </w:r>
          </w:p>
        </w:tc>
        <w:tc>
          <w:tcPr>
            <w:tcW w:w="80" w:type="dxa"/>
            <w:vAlign w:val="bottom"/>
          </w:tcPr>
          <w:p>
            <w:pPr>
              <w:spacing w:after="0"/>
              <w:rPr>
                <w:sz w:val="17"/>
                <w:szCs w:val="17"/>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67,102</w:t>
            </w:r>
          </w:p>
        </w:tc>
      </w:tr>
      <w:tr>
        <w:trPr>
          <w:trHeight w:val="20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6"/>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 and treasuries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251,168</w:t>
            </w:r>
          </w:p>
        </w:tc>
        <w:tc>
          <w:tcPr>
            <w:tcW w:w="80" w:type="dxa"/>
            <w:vAlign w:val="bottom"/>
          </w:tcPr>
          <w:p>
            <w:pPr>
              <w:spacing w:after="0"/>
              <w:rPr>
                <w:sz w:val="17"/>
                <w:szCs w:val="17"/>
                <w:color w:val="auto"/>
              </w:rPr>
            </w:pP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251,168</w:t>
            </w:r>
          </w:p>
        </w:tc>
      </w:tr>
      <w:tr>
        <w:trPr>
          <w:trHeight w:val="202"/>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9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33,199</w:t>
            </w:r>
          </w:p>
        </w:tc>
        <w:tc>
          <w:tcPr>
            <w:tcW w:w="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33,199</w:t>
            </w:r>
          </w:p>
        </w:tc>
      </w:tr>
      <w:tr>
        <w:trPr>
          <w:trHeight w:val="198"/>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67,102</w:t>
            </w:r>
          </w:p>
        </w:tc>
        <w:tc>
          <w:tcPr>
            <w:tcW w:w="80" w:type="dxa"/>
            <w:vAlign w:val="bottom"/>
          </w:tcPr>
          <w:p>
            <w:pPr>
              <w:spacing w:after="0"/>
              <w:rPr>
                <w:sz w:val="17"/>
                <w:szCs w:val="17"/>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284,367</w:t>
            </w:r>
          </w:p>
        </w:tc>
        <w:tc>
          <w:tcPr>
            <w:tcW w:w="80" w:type="dxa"/>
            <w:vAlign w:val="bottom"/>
          </w:tcPr>
          <w:p>
            <w:pPr>
              <w:spacing w:after="0"/>
              <w:rPr>
                <w:sz w:val="17"/>
                <w:szCs w:val="17"/>
                <w:color w:val="auto"/>
              </w:rPr>
            </w:pPr>
          </w:p>
        </w:tc>
        <w:tc>
          <w:tcPr>
            <w:tcW w:w="1120" w:type="dxa"/>
            <w:vAlign w:val="bottom"/>
          </w:tcPr>
          <w:p>
            <w:pPr>
              <w:jc w:val="right"/>
              <w:ind w:right="95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351,469</w:t>
            </w:r>
          </w:p>
        </w:tc>
      </w:tr>
      <w:tr>
        <w:trPr>
          <w:trHeight w:val="20"/>
        </w:trPr>
        <w:tc>
          <w:tcPr>
            <w:tcW w:w="5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260" w:right="340" w:hanging="255"/>
        <w:spacing w:after="0" w:line="300" w:lineRule="auto"/>
        <w:tabs>
          <w:tab w:leader="none" w:pos="254"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cash equivalent amounts above do not include $0.5 million of cash related to checking accounts included in cash and cash equivalents as of December 31, 2024 and December 31, 2023. These amounts are excluded as no valuation is needed for cash in checking accounts.</w:t>
      </w:r>
    </w:p>
    <w:p>
      <w:pPr>
        <w:spacing w:after="0" w:line="13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Money market funds are classified within Level 1 of the fair value hierarchy because they are valued using quoted market prices in active markets. The Company measures its debt securities at fair value on a recurring basis using inputs that are observable or can be corroborated by observable market data and classifies those instruments within Level 2 of the fair value hierarchy.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Property and Equipment, Net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Property and equipment, net consisted of the following at December 31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12,596</w:t>
            </w:r>
          </w:p>
        </w:tc>
      </w:tr>
      <w:tr>
        <w:trPr>
          <w:trHeight w:val="20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1,859</w:t>
            </w:r>
          </w:p>
        </w:tc>
      </w:tr>
      <w:tr>
        <w:trPr>
          <w:trHeight w:val="19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17,114</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(5,923)</w:t>
            </w: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2024 and 2023 was $3.8 million and $2.8 million, respectively.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Accrued Expenses and Other Current Liabilities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at December 31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6,660</w:t>
            </w:r>
          </w:p>
        </w:tc>
      </w:tr>
      <w:tr>
        <w:trPr>
          <w:trHeight w:val="201"/>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External research and development expenses</w:t>
            </w:r>
          </w:p>
        </w:tc>
        <w:tc>
          <w:tcPr>
            <w:tcW w:w="10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w:t>
            </w:r>
          </w:p>
        </w:tc>
      </w:tr>
      <w:tr>
        <w:trPr>
          <w:trHeight w:val="20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professional service expenses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r>
      <w:tr>
        <w:trPr>
          <w:trHeight w:val="196"/>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223"/>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11,325</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Common Stock and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81"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4"/>
          <w:szCs w:val="14"/>
          <w:color w:val="auto"/>
        </w:rPr>
        <w:t>As of both December 31, 2024 and December 31, 2023, the Company’s certificate of incorporation, as amended and restated effective upon the completion of the IPO, and amended from time to time, authorized the Company to issue 150,000,000 shares of common stock, par value $0.0001 per share. The holders of common stock are entitled to one vote for each share held on all matters submitted to a vote of the stockholders. The holders of common stock do not have any cumulative voting rights. Holders of common stock are entitled to receive ratably any dividends declared by the board of directors out of funds legally available for that purpose, subject to any preferential dividend rights of any outstanding preferred stock. Common stock has no preemptive rights, conversion rights or other subscription rights or redemption or sinking fund provisions. In the event of liquidation, dissolution or winding up, holders of common stock will be entitled to share ratably in all assets remaining after payment of all debts and other liabilities and any liquidation preference of any outstanding preferred stock.</w:t>
      </w:r>
    </w:p>
    <w:p>
      <w:pPr>
        <w:spacing w:after="0" w:line="146"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 xml:space="preserve">In February 2023, in connection with the closing of the Vertex Agreement, the Company and Vertex also closed their Stock Purchase Agreement for the sale and issuance of 1,618,613 shares of Entrada's common stock (the “Shares”) to Vertex for an aggregate purchase price of approximately $26.3 million or $16.26 per share. See Note 12, </w:t>
      </w:r>
      <w:r>
        <w:rPr>
          <w:rFonts w:ascii="Times New Roman" w:cs="Times New Roman" w:eastAsia="Times New Roman" w:hAnsi="Times New Roman"/>
          <w:sz w:val="14"/>
          <w:szCs w:val="14"/>
          <w:i w:val="1"/>
          <w:iCs w:val="1"/>
          <w:color w:val="auto"/>
        </w:rPr>
        <w:t>Collaboration and License Agreements</w:t>
      </w:r>
      <w:r>
        <w:rPr>
          <w:rFonts w:ascii="Times New Roman" w:cs="Times New Roman" w:eastAsia="Times New Roman" w:hAnsi="Times New Roman"/>
          <w:sz w:val="14"/>
          <w:szCs w:val="14"/>
          <w:color w:val="auto"/>
        </w:rPr>
        <w:t>, for further discussion of the Company's accounting for the shares sold in connection with the closing of the Vertex Agreement.</w:t>
      </w:r>
    </w:p>
    <w:p>
      <w:pPr>
        <w:spacing w:after="0" w:line="136"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In September 2023, the Company entered into a sales agreement (the “Sales Agreement”) with Cowen and Company, LLC, acting as the Company's agent and/or principal (the “Sales Agent”), with respect to an "at the market offering" program under which the Company may, from time to time, at its sole discretion, issue and sell shares of its common stock having an aggregate offering price of up to $150.0 million through the Sales Agent. During the year ended December 31, 2024, there have been no sales of common stock pursuant to the Sales Agreement.</w:t>
      </w:r>
    </w:p>
    <w:p>
      <w:pPr>
        <w:spacing w:after="0" w:line="13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4"/>
          <w:szCs w:val="14"/>
          <w:color w:val="auto"/>
        </w:rPr>
        <w:t>In June 2024, the Company entered into a securities purchase agreement with a limited number of investors relating to a registered direct offering (the “June 2024 Offering”) of 3,367,003 shares of the Company’s common stock at a purchase price of $14.85 per share and, in lieu of common stock to certain investors who so chose, pre-funded warrants (the “Pre-Funded Warrants”) to purchase 3,367,003 shares of common stock at a purchase price of $14.8499 per Pre-Funded Warrant, which represents the price per share at which the shares of common stock were sold to the investors in the June 2024 Offering, minus $0.0001, which is the exercise price of each Pre-Funded Warrant. The June 2024 Offering was made pursuant to the shelf registration statement on Form S-3 (File No. 333-268099) previously filed by the Company with the Securities and Exchange Commission (the “SEC”) on November 1, 2022 and declared effective by the SEC on November 7, 2022. The aggregate net proceeds from the sale of common stock and Pre-Funded Warrants in the June 2024 Offering were approximately $99.6 million, after deducting offering expenses payable by the Company. The Company will receive nominal proceeds, if any, from the exercise of the Pre-Funded Warrants.</w:t>
      </w:r>
    </w:p>
    <w:p>
      <w:pPr>
        <w:spacing w:after="0" w:line="147" w:lineRule="exact"/>
        <w:rPr>
          <w:sz w:val="20"/>
          <w:szCs w:val="20"/>
          <w:color w:val="auto"/>
        </w:rPr>
      </w:pPr>
    </w:p>
    <w:p>
      <w:pPr>
        <w:ind w:right="200" w:firstLine="509"/>
        <w:spacing w:after="0" w:line="249" w:lineRule="auto"/>
        <w:rPr>
          <w:sz w:val="20"/>
          <w:szCs w:val="20"/>
          <w:color w:val="auto"/>
        </w:rPr>
      </w:pPr>
      <w:r>
        <w:rPr>
          <w:rFonts w:ascii="Times New Roman" w:cs="Times New Roman" w:eastAsia="Times New Roman" w:hAnsi="Times New Roman"/>
          <w:sz w:val="14"/>
          <w:szCs w:val="14"/>
          <w:color w:val="auto"/>
        </w:rPr>
        <w:t>The Pre-Funded Warrants were evaluated pursuant to ASC 480 and ASC 815. The Company classified the Pre-Funded Warrants as a component of permanent stockholders’ equity within additional paid-in capital and were recorded at the issuance date at fair value. The Pre-Funded Warrants are equity classified because they are freestanding financial instruments that are legally detachable and separately exercisable, are immediately exercisable, do not embody an obligation for the Company to repurchase its common shares, permit the holders to receive a fixed number of common shares upon exercise, are indexed to the Company’s common stock and meet the equity classification criteria. The Company valued the Pre-Funded Warrants at issuance, concluding their sales price approximated their fair value.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Shares Reserved for Future Issuance under Equity Compensation Plans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reserved the following shares of common stock for future issuance under equity compensation plans at December 31: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20" w:type="dxa"/>
            <w:vAlign w:val="bottom"/>
          </w:tcPr>
          <w:p>
            <w:pPr>
              <w:spacing w:after="0"/>
              <w:rPr>
                <w:sz w:val="13"/>
                <w:szCs w:val="13"/>
                <w:color w:val="auto"/>
              </w:rPr>
            </w:pPr>
          </w:p>
        </w:tc>
        <w:tc>
          <w:tcPr>
            <w:tcW w:w="72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8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outstanding stock options</w:t>
            </w:r>
          </w:p>
        </w:tc>
        <w:tc>
          <w:tcPr>
            <w:tcW w:w="9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5,336,407</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5,414,360</w:t>
            </w:r>
          </w:p>
        </w:tc>
      </w:tr>
      <w:tr>
        <w:trPr>
          <w:trHeight w:val="196"/>
        </w:trPr>
        <w:tc>
          <w:tcPr>
            <w:tcW w:w="8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Vesting of outstanding restricted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1,968,374</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1,268,461</w:t>
            </w:r>
          </w:p>
        </w:tc>
      </w:tr>
      <w:tr>
        <w:trPr>
          <w:trHeight w:val="207"/>
        </w:trPr>
        <w:tc>
          <w:tcPr>
            <w:tcW w:w="8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outstanding performance stock units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438,500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awards under the 2021</w:t>
            </w:r>
          </w:p>
        </w:tc>
        <w:tc>
          <w:tcPr>
            <w:tcW w:w="7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Option and Incentive Plan</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1,264,247</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1,697,832</w:t>
            </w:r>
          </w:p>
        </w:tc>
      </w:tr>
      <w:tr>
        <w:trPr>
          <w:trHeight w:val="20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Future awards under the 2021</w:t>
            </w: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1,128,095</w:t>
            </w:r>
          </w:p>
        </w:tc>
        <w:tc>
          <w:tcPr>
            <w:tcW w:w="10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839,539</w:t>
            </w:r>
          </w:p>
        </w:tc>
      </w:tr>
      <w:tr>
        <w:trPr>
          <w:trHeight w:val="192"/>
        </w:trPr>
        <w:tc>
          <w:tcPr>
            <w:tcW w:w="8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shares of authorized common stock reserved for future issuance</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10,135,623</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9,220,192</w:t>
            </w:r>
          </w:p>
        </w:tc>
      </w:tr>
      <w:tr>
        <w:trPr>
          <w:trHeight w:val="20"/>
        </w:trPr>
        <w:tc>
          <w:tcPr>
            <w:tcW w:w="1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81" w:lineRule="exact"/>
        <w:rPr>
          <w:sz w:val="20"/>
          <w:szCs w:val="20"/>
          <w:color w:val="auto"/>
        </w:rPr>
      </w:pPr>
    </w:p>
    <w:p>
      <w:pPr>
        <w:ind w:right="220" w:firstLine="509"/>
        <w:spacing w:after="0" w:line="264" w:lineRule="auto"/>
        <w:rPr>
          <w:sz w:val="20"/>
          <w:szCs w:val="20"/>
          <w:color w:val="auto"/>
        </w:rPr>
      </w:pPr>
      <w:r>
        <w:rPr>
          <w:rFonts w:ascii="Times New Roman" w:cs="Times New Roman" w:eastAsia="Times New Roman" w:hAnsi="Times New Roman"/>
          <w:sz w:val="14"/>
          <w:szCs w:val="14"/>
          <w:color w:val="auto"/>
        </w:rPr>
        <w:t>As of both December 31, 2024 and December 31, 2023, the Company was authorized to issue 10,000,000 shares of undesignated preferred stock, $0.0001 par value,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As of both December 31, 2024 and December 31, 2023, there were no shares of undesignated preferred stock issued or outstanding.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Stock-Based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Plan</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September 2021 the Company’s board of directors adopted, and in October 2021 the Company’s stockholders approved, the 2021 Plan, which became effective as of the date immediately prior to the date of the effectiveness of the registration statement for the IPO. The 2021 Plan allows the board of directors to grant incentive stock options or non-qualified stock options, restricted stock, restricted stock units and other equity awards to the Company’s officers, employees, directors and other key persons. In addition, the 2021 Plan includes a provision that allows for an automatic annual increase of 4% in the number of shares of common stock available for issuance under the 2021 Plan. Upon the adoption of the 2021 Plan, the Company ceased granting awards under the 2016 Plan. The total number of shares of common stock authorized for issuance under the 2021 Plan as of December 31, 2024 was 7,230,834 shares and was 6,336,068 shares as of December 31, 2023.</w:t>
      </w:r>
    </w:p>
    <w:p>
      <w:pPr>
        <w:spacing w:after="0" w:line="143"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As of December 31, 2024, the Company had issued stock options, restricted stock units (“RSUs”), and performance stock units ("PSUs") under the 2021 Plan. Both stock options and RSUs issued are comprised of service-based awards granted to employees and typically vest over a four-year period. PSUs vest upon achievement of certain milestones and continued employment or service thereafter.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2016 Plan</w:t>
      </w:r>
    </w:p>
    <w:p>
      <w:pPr>
        <w:spacing w:after="0" w:line="181"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Prior to the adoption of the 2021 Plan, the 2016 Plan provided for the Company to grant incentive stock options or non-qualified stock options, restricted stock, restricted stock units and other equity awards to employees, directors and consultants of the Company. The 2016 Plan was administered by the board of directors of the Company or, at the discretion of the board of directors, by a committee of the board of directors. The exercise prices, vesting and other restrictions were determined at the discretion of the board of directors, or its committee if so delegated. The 2016 Plan allows for early exercise of all stock option grants if authorized by the board of directors at the time of grant. The shares of common stock issued from the early exercise of stock options are restricted and continue to vest over the original service based vesting condition of the original stock option award. The Company has the option to repurchase any unvested shares at the original purchase price upon any voluntary or involuntary termination.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The 2016 Plan will continue to govern the outstanding equity awards granted thereunder. The total number of shares of common stock authorized for issuance under the 2016 Plan as of December 31, 2024 and 2023 was 1,776,694 shares and 2,044,585 shares, respectively. As of both dates, all shares of common stock authorized for issuance under the 2016 Plan relate to outstanding stock options.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Employee Stock Purchase Plan (the “ESPP”)</w:t>
      </w:r>
    </w:p>
    <w:p>
      <w:pPr>
        <w:spacing w:after="0" w:line="18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 September 2021, the Company’s board of directors adopted, and in October 2021 the Company’s stockholders approved, the ESPP, which became effective as of the date immediately prior to the date of the effectiveness of the registration statement for the IPO. The ESPP is administered by the person or persons appointed by the Company’s board of directors for such purpose. The number of shares of common stock reserved for issuance under the ESPP will automatically increase on January 1st of each year and continuing through and including 2031 by the lesser of (i) 1% of the outstanding number of shares of our common stock of the immediately preceding December 31, (ii) 557,524 shares or (iii) such number of shares as determined by the ESPP administrator. The total number of shares of common stock authorized for issuance under the ESPP as of December 31, 2024 and 2023 was 1,128,095 shares and 839,539 shares, respectively.</w:t>
      </w:r>
    </w:p>
    <w:p>
      <w:pPr>
        <w:spacing w:after="0" w:line="143"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Compensation expense for discounted purchases under the ESPP is measured using the Black-Scholes model to compute the fair value of the lookback provision plus the purchase discount and is recognized as compensation expense over the course of the offering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recognized stock-based compensation expense in the consolidated statements of operations and comprehensive loss, by award type,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9,887</w:t>
            </w:r>
          </w:p>
        </w:tc>
      </w:tr>
      <w:tr>
        <w:trPr>
          <w:trHeight w:val="20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w:t>
            </w:r>
          </w:p>
        </w:tc>
      </w:tr>
      <w:tr>
        <w:trPr>
          <w:trHeight w:val="19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198"/>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13,111</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Stock-based compensation expense recorded as research and development and general and administrative expenses in the consolidated statements of operations and comprehensive loss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6,169</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10,069</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6,942</w:t>
            </w: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17,915</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 Valuation</w:t>
      </w:r>
    </w:p>
    <w:p>
      <w:pPr>
        <w:spacing w:after="0" w:line="181"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presents, on a weighted-average basis, the assumptions used in the Black-Scholes option-pricing model to determine the fair value of stock options granted for the years then ended: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202"/>
        </w:trPr>
        <w:tc>
          <w:tcPr>
            <w:tcW w:w="80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4"/>
                <w:szCs w:val="14"/>
                <w:color w:val="auto"/>
              </w:rPr>
              <w:t>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free interest rate</w:t>
            </w:r>
          </w:p>
        </w:tc>
        <w:tc>
          <w:tcPr>
            <w:tcW w:w="1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4.13%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75%</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20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7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178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6.01</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Early Exercise of Unvested Stock Options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Shares purchased by employees pursuant to the early exercise of stock options are not deemed, for accounting purposes, to be outstanding shares until those shares vest according to their respective vesting schedules. Cash received from employee exercises of unvested options is included in current liabilities on the balance sheet. Amounts recorded are reclassified to common stock and additional paid-in capital as the shares vest. Vesting can occur in the year of exercise and thereafter. There were 1,676 and 14,745 unvested shares related to early exercises of stock options as of December 31, 2024 and December 31, 2023, respectively. In the years ended December 31, 2024 and 2023, the liability associated with the unvested early exercise of stock options was less than $0.1 million and $0.1 million,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 since December 31,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600" w:type="dxa"/>
            <w:vAlign w:val="bottom"/>
            <w:vMerge w:val="restart"/>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ind w:left="40"/>
              <w:spacing w:after="0" w:line="127" w:lineRule="exact"/>
              <w:rPr>
                <w:sz w:val="20"/>
                <w:szCs w:val="20"/>
                <w:color w:val="auto"/>
              </w:rPr>
            </w:pPr>
            <w:r>
              <w:rPr>
                <w:rFonts w:ascii="Times New Roman" w:cs="Times New Roman" w:eastAsia="Times New Roman" w:hAnsi="Times New Roman"/>
                <w:sz w:val="11"/>
                <w:szCs w:val="11"/>
                <w:b w:val="1"/>
                <w:bCs w:val="1"/>
                <w:color w:val="auto"/>
              </w:rPr>
              <w:t>Weighted</w:t>
            </w:r>
            <w:r>
              <w:rPr>
                <w:rFonts w:ascii="MS PGothic" w:cs="MS PGothic" w:eastAsia="MS PGothic" w:hAnsi="MS PGothic"/>
                <w:sz w:val="11"/>
                <w:szCs w:val="11"/>
                <w:color w:val="auto"/>
                <w:strike w:val="1"/>
              </w:rPr>
              <w:t>‑</w:t>
            </w:r>
            <w:r>
              <w:rPr>
                <w:rFonts w:ascii="Times New Roman" w:cs="Times New Roman" w:eastAsia="Times New Roman" w:hAnsi="Times New Roman"/>
                <w:sz w:val="11"/>
                <w:szCs w:val="11"/>
                <w:b w:val="1"/>
                <w:bCs w:val="1"/>
                <w:color w:val="auto"/>
              </w:rPr>
              <w:t>Average Exercise</w:t>
            </w:r>
          </w:p>
        </w:tc>
        <w:tc>
          <w:tcPr>
            <w:tcW w:w="16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1"/>
                <w:szCs w:val="11"/>
                <w:b w:val="1"/>
                <w:bCs w:val="1"/>
                <w:color w:val="auto"/>
              </w:rPr>
              <w:t>Weighted</w:t>
            </w:r>
            <w:r>
              <w:rPr>
                <w:rFonts w:ascii="MS PGothic" w:cs="MS PGothic" w:eastAsia="MS PGothic" w:hAnsi="MS PGothic"/>
                <w:sz w:val="11"/>
                <w:szCs w:val="11"/>
                <w:color w:val="auto"/>
                <w:strike w:val="1"/>
              </w:rPr>
              <w:t>‑</w:t>
            </w:r>
            <w:r>
              <w:rPr>
                <w:rFonts w:ascii="Times New Roman" w:cs="Times New Roman" w:eastAsia="Times New Roman" w:hAnsi="Times New Roman"/>
                <w:sz w:val="11"/>
                <w:szCs w:val="11"/>
                <w:b w:val="1"/>
                <w:bCs w:val="1"/>
                <w:color w:val="auto"/>
              </w:rPr>
              <w:t>Average Remaining</w:t>
            </w:r>
          </w:p>
        </w:tc>
        <w:tc>
          <w:tcPr>
            <w:tcW w:w="100" w:type="dxa"/>
            <w:vAlign w:val="bottom"/>
          </w:tcPr>
          <w:p>
            <w:pPr>
              <w:spacing w:after="0"/>
              <w:rPr>
                <w:sz w:val="14"/>
                <w:szCs w:val="14"/>
                <w:color w:val="auto"/>
              </w:rPr>
            </w:pPr>
          </w:p>
        </w:tc>
        <w:tc>
          <w:tcPr>
            <w:tcW w:w="148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Aggregate Intrinsic Value</w:t>
            </w:r>
            <w:r>
              <w:rPr>
                <w:rFonts w:ascii="Times New Roman" w:cs="Times New Roman" w:eastAsia="Times New Roman" w:hAnsi="Times New Roman"/>
                <w:sz w:val="7"/>
                <w:szCs w:val="7"/>
                <w:b w:val="1"/>
                <w:bCs w:val="1"/>
                <w:color w:val="auto"/>
              </w:rPr>
              <w:t>(2)</w:t>
            </w: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Contractual Term</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00" w:type="dxa"/>
            <w:vAlign w:val="bottom"/>
          </w:tcPr>
          <w:p>
            <w:pPr>
              <w:spacing w:after="0"/>
              <w:rPr>
                <w:sz w:val="13"/>
                <w:szCs w:val="13"/>
                <w:color w:val="auto"/>
              </w:rPr>
            </w:pPr>
          </w:p>
        </w:tc>
        <w:tc>
          <w:tcPr>
            <w:tcW w:w="1480" w:type="dxa"/>
            <w:vAlign w:val="bottom"/>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5,414,360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699,050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Exercised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(399,334)</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5,336,407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31,652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2024</w:t>
            </w:r>
            <w:r>
              <w:rPr>
                <w:rFonts w:ascii="Times New Roman" w:cs="Times New Roman" w:eastAsia="Times New Roman" w:hAnsi="Times New Roman"/>
                <w:sz w:val="18"/>
                <w:szCs w:val="18"/>
                <w:color w:val="auto"/>
                <w:vertAlign w:val="superscript"/>
              </w:rPr>
              <w:t>(1)</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3,664,095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25,930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520" w:hanging="515"/>
        <w:spacing w:after="0"/>
        <w:tabs>
          <w:tab w:leader="none" w:pos="5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represents the number of vested and unvested options exercisable as of December 31, 2024.</w:t>
      </w:r>
    </w:p>
    <w:p>
      <w:pPr>
        <w:spacing w:after="0" w:line="15" w:lineRule="exact"/>
        <w:rPr>
          <w:rFonts w:ascii="Times New Roman" w:cs="Times New Roman" w:eastAsia="Times New Roman" w:hAnsi="Times New Roman"/>
          <w:sz w:val="13"/>
          <w:szCs w:val="13"/>
          <w:color w:val="auto"/>
        </w:rPr>
      </w:pPr>
    </w:p>
    <w:p>
      <w:pPr>
        <w:ind w:left="520" w:right="100" w:hanging="515"/>
        <w:spacing w:after="0" w:line="253" w:lineRule="auto"/>
        <w:tabs>
          <w:tab w:leader="none" w:pos="5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intrinsic value is calculated as the difference between the exercise price of the underlying options and the closing price of the Company's common stock at December 31, 2024 for the options that were in the money as of December 31, 2024.</w:t>
      </w:r>
    </w:p>
    <w:p>
      <w:pPr>
        <w:spacing w:after="0" w:line="14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aggregate intrinsic value of stock options exercised during the years ended December 31, 2024 and 2023 was $3.1 million and $2.1 million, while the company received $2.8 million and $1.2 million in proceeds for the exercise of these options, respectively.</w:t>
      </w:r>
    </w:p>
    <w:p>
      <w:pPr>
        <w:spacing w:after="0" w:line="124"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weighted-average grant-date fair value of stock options granted during the years ended December 31, 2024 and 2023 was $9.69 per share and $9.23 per share, respectively. As of December 31, 2024, there was $14.1 million of unrecognized compensation cost related to unvested stock options, which is expected to be recognized over a weighted-average period of 1.9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(“RSUs”)</w:t>
      </w:r>
    </w:p>
    <w:p>
      <w:pPr>
        <w:spacing w:after="0" w:line="181"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2024, RSUs were granted to employees with vesting conditions based on continued service over time. Accordingly, stock-based compensation expense for such awards is recognized using a straight-line attribution model over the vesting term of each RSU. The fair value of each RSU is based on the closing price of the Company's common stock on the date of grant. For the majority of RSUs, the restricted stock vests over a four-year period, with 25% of the shares vesting on each anniversary of the grant date.</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restricted stock activity during the year ended December 31, 2024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7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16"/>
              <w:spacing w:after="0" w:line="127" w:lineRule="exact"/>
              <w:rPr>
                <w:sz w:val="20"/>
                <w:szCs w:val="20"/>
                <w:color w:val="auto"/>
              </w:rPr>
            </w:pPr>
            <w:r>
              <w:rPr>
                <w:rFonts w:ascii="Times New Roman" w:cs="Times New Roman" w:eastAsia="Times New Roman" w:hAnsi="Times New Roman"/>
                <w:sz w:val="11"/>
                <w:szCs w:val="11"/>
                <w:b w:val="1"/>
                <w:bCs w:val="1"/>
                <w:color w:val="auto"/>
                <w:w w:val="98"/>
              </w:rPr>
              <w:t>Weighted</w:t>
            </w:r>
            <w:r>
              <w:rPr>
                <w:rFonts w:ascii="MS PGothic" w:cs="MS PGothic" w:eastAsia="MS PGothic" w:hAnsi="MS PGothic"/>
                <w:sz w:val="11"/>
                <w:szCs w:val="11"/>
                <w:color w:val="auto"/>
                <w:strike w:val="1"/>
                <w:w w:val="98"/>
              </w:rPr>
              <w:t>‑</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jc w:val="center"/>
              <w:ind w:right="216"/>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50"/>
        </w:trPr>
        <w:tc>
          <w:tcPr>
            <w:tcW w:w="37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216"/>
              <w:spacing w:after="0" w:line="127" w:lineRule="exact"/>
              <w:rPr>
                <w:sz w:val="20"/>
                <w:szCs w:val="20"/>
                <w:color w:val="auto"/>
              </w:rPr>
            </w:pPr>
            <w:r>
              <w:rPr>
                <w:rFonts w:ascii="Times New Roman" w:cs="Times New Roman" w:eastAsia="Times New Roman" w:hAnsi="Times New Roman"/>
                <w:sz w:val="11"/>
                <w:szCs w:val="11"/>
                <w:b w:val="1"/>
                <w:bCs w:val="1"/>
                <w:color w:val="auto"/>
              </w:rPr>
              <w:t>Grant</w:t>
            </w:r>
            <w:r>
              <w:rPr>
                <w:rFonts w:ascii="MS PGothic" w:cs="MS PGothic" w:eastAsia="MS PGothic" w:hAnsi="MS PGothic"/>
                <w:sz w:val="11"/>
                <w:szCs w:val="11"/>
                <w:color w:val="auto"/>
                <w:strike w:val="1"/>
              </w:rPr>
              <w:t>‑</w:t>
            </w:r>
            <w:r>
              <w:rPr>
                <w:rFonts w:ascii="Times New Roman" w:cs="Times New Roman" w:eastAsia="Times New Roman" w:hAnsi="Times New Roman"/>
                <w:sz w:val="11"/>
                <w:szCs w:val="11"/>
                <w:b w:val="1"/>
                <w:bCs w:val="1"/>
                <w:color w:val="auto"/>
              </w:rPr>
              <w:t>Date</w:t>
            </w:r>
          </w:p>
        </w:tc>
        <w:tc>
          <w:tcPr>
            <w:tcW w:w="0" w:type="dxa"/>
            <w:vAlign w:val="bottom"/>
          </w:tcPr>
          <w:p>
            <w:pPr>
              <w:spacing w:after="0"/>
              <w:rPr>
                <w:sz w:val="1"/>
                <w:szCs w:val="1"/>
                <w:color w:val="auto"/>
              </w:rPr>
            </w:pPr>
          </w:p>
        </w:tc>
      </w:tr>
      <w:tr>
        <w:trPr>
          <w:trHeight w:val="158"/>
        </w:trPr>
        <w:tc>
          <w:tcPr>
            <w:tcW w:w="3780" w:type="dxa"/>
            <w:vAlign w:val="bottom"/>
            <w:tcBorders>
              <w:bottom w:val="single" w:sz="8" w:color="CCEEFF"/>
            </w:tcBorders>
          </w:tcPr>
          <w:p>
            <w:pPr>
              <w:spacing w:after="0"/>
              <w:rPr>
                <w:sz w:val="13"/>
                <w:szCs w:val="13"/>
                <w:color w:val="auto"/>
              </w:rPr>
            </w:pPr>
          </w:p>
        </w:tc>
        <w:tc>
          <w:tcPr>
            <w:tcW w:w="444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2023</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1,268,461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0" w:type="dxa"/>
            <w:vAlign w:val="bottom"/>
          </w:tcPr>
          <w:p>
            <w:pPr>
              <w:spacing w:after="0"/>
              <w:rPr>
                <w:sz w:val="1"/>
                <w:szCs w:val="1"/>
                <w:color w:val="auto"/>
              </w:rPr>
            </w:pPr>
          </w:p>
        </w:tc>
      </w:tr>
      <w:tr>
        <w:trPr>
          <w:trHeight w:val="196"/>
        </w:trPr>
        <w:tc>
          <w:tcPr>
            <w:tcW w:w="3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w:t>
            </w:r>
          </w:p>
        </w:tc>
        <w:tc>
          <w:tcPr>
            <w:tcW w:w="5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1,286,740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0" w:type="dxa"/>
            <w:vAlign w:val="bottom"/>
          </w:tcPr>
          <w:p>
            <w:pPr>
              <w:spacing w:after="0"/>
              <w:rPr>
                <w:sz w:val="1"/>
                <w:szCs w:val="1"/>
                <w:color w:val="auto"/>
              </w:rPr>
            </w:pPr>
          </w:p>
        </w:tc>
      </w:tr>
      <w:tr>
        <w:trPr>
          <w:trHeight w:val="207"/>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444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(253,290)</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13.98</w:t>
            </w:r>
          </w:p>
        </w:tc>
        <w:tc>
          <w:tcPr>
            <w:tcW w:w="0" w:type="dxa"/>
            <w:vAlign w:val="bottom"/>
          </w:tcPr>
          <w:p>
            <w:pPr>
              <w:spacing w:after="0"/>
              <w:rPr>
                <w:sz w:val="1"/>
                <w:szCs w:val="1"/>
                <w:color w:val="auto"/>
              </w:rPr>
            </w:pPr>
          </w:p>
        </w:tc>
      </w:tr>
      <w:tr>
        <w:trPr>
          <w:trHeight w:val="218"/>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5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1,968,374</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bottom w:val="single" w:sz="8" w:color="CCEEFF"/>
            </w:tcBorders>
            <w:vMerge w:val="restart"/>
          </w:tcPr>
          <w:p>
            <w:pPr>
              <w:jc w:val="right"/>
              <w:ind w:right="2389"/>
              <w:spacing w:after="0"/>
              <w:rPr>
                <w:sz w:val="20"/>
                <w:szCs w:val="20"/>
                <w:color w:val="auto"/>
              </w:rPr>
            </w:pPr>
            <w:r>
              <w:rPr>
                <w:rFonts w:ascii="Times New Roman" w:cs="Times New Roman" w:eastAsia="Times New Roman" w:hAnsi="Times New Roman"/>
                <w:sz w:val="14"/>
                <w:szCs w:val="14"/>
                <w:color w:val="auto"/>
              </w:rPr>
              <w:t>141</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7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780" w:type="dxa"/>
            <w:vAlign w:val="bottom"/>
            <w:tcBorders>
              <w:bottom w:val="single" w:sz="8" w:color="9A9A9A"/>
            </w:tcBorders>
          </w:tcPr>
          <w:p>
            <w:pPr>
              <w:spacing w:after="0"/>
              <w:rPr>
                <w:sz w:val="6"/>
                <w:szCs w:val="6"/>
                <w:color w:val="auto"/>
              </w:rPr>
            </w:pPr>
          </w:p>
        </w:tc>
        <w:tc>
          <w:tcPr>
            <w:tcW w:w="44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4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$23.0 million of unrecognized stock-based compensation expense related to unvested RSUs, which is expected to be recognized over a weighted-average remaining vesting period of 2.8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Stock Units (“PSUs”)</w:t>
      </w:r>
    </w:p>
    <w:p>
      <w:pPr>
        <w:spacing w:after="0" w:line="1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4"/>
          <w:szCs w:val="14"/>
          <w:color w:val="auto"/>
        </w:rPr>
        <w:t>During the year ended December 31, 2024, the Company granted 438,500 PSUs to employees of the Company at a weighted-average grant date fair value of $14.86 per share. All 438,500 PSUs were outstanding as of December 31, 2024. The PSUs will vest upon achievement of certain clinical milestones and continued employment thereafter. Compensation expense for PSUs is recognized over the requisite service period using the accelerated attribution method once the achievement of the performance condition is deemed probable. If a performance condition is not determined to be probable or is not met, no stock-based compensation expense is recognized. Forfeitures are recognized as a reduction of stock-based compensation expense in the period in which they occur.</w:t>
      </w:r>
    </w:p>
    <w:p>
      <w:pPr>
        <w:spacing w:after="0" w:line="143"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color w:val="auto"/>
        </w:rPr>
        <w:t>As of December 31, 2024, no PSUs were vested and no stock-based compensation expense was recognized as the performance conditions were not deemed probable. As of December 31, 2024, there was $6.5 million of unrecognized stock-based compensation expense related to unvested PSUs.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Income Taxes</w:t>
      </w:r>
    </w:p>
    <w:p>
      <w:pPr>
        <w:spacing w:after="0" w:line="181"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The Company recorded $66.5 million of pre-tax book income for the year ended December 31, 2024 and pre-tax book income of $12.1 million for the year ended December 31, 2023. The Company has no foreign operations.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the income tax expense for the years ended December 31, 2024 and 2023 (in thousands) were: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9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900" w:type="dxa"/>
            <w:vAlign w:val="bottom"/>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14,962</w:t>
            </w:r>
          </w:p>
        </w:tc>
        <w:tc>
          <w:tcPr>
            <w:tcW w:w="0" w:type="dxa"/>
            <w:vAlign w:val="bottom"/>
          </w:tcPr>
          <w:p>
            <w:pPr>
              <w:spacing w:after="0"/>
              <w:rPr>
                <w:sz w:val="1"/>
                <w:szCs w:val="1"/>
                <w:color w:val="auto"/>
              </w:rPr>
            </w:pPr>
          </w:p>
        </w:tc>
      </w:tr>
      <w:tr>
        <w:trPr>
          <w:trHeight w:val="180"/>
        </w:trPr>
        <w:tc>
          <w:tcPr>
            <w:tcW w:w="8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State</w:t>
            </w:r>
          </w:p>
        </w:tc>
        <w:tc>
          <w:tcPr>
            <w:tcW w:w="9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0" w:type="dxa"/>
            <w:vAlign w:val="bottom"/>
          </w:tcPr>
          <w:p>
            <w:pPr>
              <w:spacing w:after="0"/>
              <w:rPr>
                <w:sz w:val="1"/>
                <w:szCs w:val="1"/>
                <w:color w:val="auto"/>
              </w:rPr>
            </w:pPr>
          </w:p>
        </w:tc>
      </w:tr>
      <w:tr>
        <w:trPr>
          <w:trHeight w:val="180"/>
        </w:trPr>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900" w:type="dxa"/>
            <w:vAlign w:val="bottom"/>
          </w:tcPr>
          <w:p>
            <w:pPr>
              <w:spacing w:after="0"/>
              <w:rPr>
                <w:sz w:val="15"/>
                <w:szCs w:val="15"/>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0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current tax provision</w:t>
            </w:r>
          </w:p>
        </w:tc>
        <w:tc>
          <w:tcPr>
            <w:tcW w:w="9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859</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0" w:type="dxa"/>
            <w:vAlign w:val="bottom"/>
          </w:tcPr>
          <w:p>
            <w:pPr>
              <w:spacing w:after="0"/>
              <w:rPr>
                <w:sz w:val="1"/>
                <w:szCs w:val="1"/>
                <w:color w:val="auto"/>
              </w:rPr>
            </w:pPr>
          </w:p>
        </w:tc>
      </w:tr>
      <w:tr>
        <w:trPr>
          <w:trHeight w:val="18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Federal</w:t>
            </w:r>
          </w:p>
        </w:tc>
        <w:tc>
          <w:tcPr>
            <w:tcW w:w="90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0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State</w:t>
            </w:r>
          </w:p>
        </w:tc>
        <w:tc>
          <w:tcPr>
            <w:tcW w:w="900" w:type="dxa"/>
            <w:vAlign w:val="bottom"/>
          </w:tcPr>
          <w:p>
            <w:pPr>
              <w:spacing w:after="0"/>
              <w:rPr>
                <w:sz w:val="15"/>
                <w:szCs w:val="15"/>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0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Foreign</w:t>
            </w:r>
          </w:p>
        </w:tc>
        <w:tc>
          <w:tcPr>
            <w:tcW w:w="90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4"/>
                <w:szCs w:val="14"/>
                <w:color w:val="auto"/>
              </w:rPr>
              <w:t>Total deferred tax provision</w:t>
            </w:r>
          </w:p>
        </w:tc>
        <w:tc>
          <w:tcPr>
            <w:tcW w:w="9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859</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A reconciliation of the U.S. federal statutory income tax rate to the Company’s effective income tax rate is as follows: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7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8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income tax rate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Federal and state research and development tax credits</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Non-deductible stock compensation and non-taxable items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96"/>
        </w:trPr>
        <w:tc>
          <w:tcPr>
            <w:tcW w:w="80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Change in deferred tax asset valuation allowance</w:t>
            </w:r>
          </w:p>
        </w:tc>
        <w:tc>
          <w:tcPr>
            <w:tcW w:w="9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0" w:type="dxa"/>
            <w:vAlign w:val="bottom"/>
          </w:tcPr>
          <w:p>
            <w:pPr>
              <w:spacing w:after="0"/>
              <w:rPr>
                <w:sz w:val="1"/>
                <w:szCs w:val="1"/>
                <w:color w:val="auto"/>
              </w:rPr>
            </w:pPr>
          </w:p>
        </w:tc>
      </w:tr>
      <w:tr>
        <w:trPr>
          <w:trHeight w:val="207"/>
        </w:trPr>
        <w:tc>
          <w:tcPr>
            <w:tcW w:w="8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Federal and State 453A interest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Change in state tax rates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gridSpan w:val="2"/>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4"/>
                <w:szCs w:val="14"/>
                <w:color w:val="auto"/>
              </w:rPr>
              <w:t>142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7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8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Net deferred tax assets as of December 31, 2024 and 2023 consisted of the following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r>
      <w:tr>
        <w:trPr>
          <w:trHeight w:val="160"/>
        </w:trPr>
        <w:tc>
          <w:tcPr>
            <w:tcW w:w="80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9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6"/>
        </w:trPr>
        <w:tc>
          <w:tcPr>
            <w:tcW w:w="8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c>
          <w:tcPr>
            <w:tcW w:w="100" w:type="dxa"/>
            <w:vAlign w:val="bottom"/>
          </w:tcPr>
          <w:p>
            <w:pPr>
              <w:spacing w:after="0"/>
              <w:rPr>
                <w:sz w:val="17"/>
                <w:szCs w:val="17"/>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3,617</w:t>
            </w:r>
          </w:p>
        </w:tc>
      </w:tr>
      <w:tr>
        <w:trPr>
          <w:trHeight w:val="207"/>
        </w:trPr>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and development tax credit carryforwards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2,706</w:t>
            </w:r>
          </w:p>
        </w:tc>
      </w:tr>
      <w:tr>
        <w:trPr>
          <w:trHeight w:val="196"/>
        </w:trPr>
        <w:tc>
          <w:tcPr>
            <w:tcW w:w="8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Intangible assets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w:t>
            </w:r>
          </w:p>
        </w:tc>
      </w:tr>
      <w:tr>
        <w:trPr>
          <w:trHeight w:val="207"/>
        </w:trPr>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Capitalized research and development expenses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32,803</w:t>
            </w:r>
          </w:p>
        </w:tc>
      </w:tr>
      <w:tr>
        <w:trPr>
          <w:trHeight w:val="196"/>
        </w:trPr>
        <w:tc>
          <w:tcPr>
            <w:tcW w:w="8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36,726</w:t>
            </w:r>
          </w:p>
        </w:tc>
      </w:tr>
      <w:tr>
        <w:trPr>
          <w:trHeight w:val="207"/>
        </w:trPr>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Lease liability</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22,581</w:t>
            </w:r>
          </w:p>
        </w:tc>
      </w:tr>
      <w:tr>
        <w:trPr>
          <w:trHeight w:val="196"/>
        </w:trPr>
        <w:tc>
          <w:tcPr>
            <w:tcW w:w="8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 compensation</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r>
      <w:tr>
        <w:trPr>
          <w:trHeight w:val="202"/>
        </w:trPr>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Assets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84,660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102,468</w:t>
            </w:r>
          </w:p>
        </w:tc>
      </w:tr>
      <w:tr>
        <w:trPr>
          <w:trHeight w:val="20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6"/>
        </w:trPr>
        <w:tc>
          <w:tcPr>
            <w:tcW w:w="8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Property and equipment</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w:t>
            </w:r>
          </w:p>
        </w:tc>
      </w:tr>
      <w:tr>
        <w:trPr>
          <w:trHeight w:val="207"/>
        </w:trPr>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Right-of-use asset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(22,237)</w:t>
            </w:r>
          </w:p>
        </w:tc>
      </w:tr>
      <w:tr>
        <w:trPr>
          <w:trHeight w:val="196"/>
        </w:trPr>
        <w:tc>
          <w:tcPr>
            <w:tcW w:w="8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Prepaid expenses</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r>
      <w:tr>
        <w:trPr>
          <w:trHeight w:val="202"/>
        </w:trPr>
        <w:tc>
          <w:tcPr>
            <w:tcW w:w="80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Other liabilities</w:t>
            </w: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deferred liabilities</w:t>
            </w: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(24,562)</w:t>
            </w:r>
          </w:p>
        </w:tc>
      </w:tr>
      <w:tr>
        <w:trPr>
          <w:trHeight w:val="192"/>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Valuation allowance</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(62,938)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(77,906)</w:t>
            </w:r>
          </w:p>
        </w:tc>
      </w:tr>
      <w:tr>
        <w:trPr>
          <w:trHeight w:val="198"/>
        </w:trPr>
        <w:tc>
          <w:tcPr>
            <w:tcW w:w="8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deferred tax assets</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0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The Company recorded income tax expense of $0.9 million for the year ended December 31, 2024 and income tax expense of $18.7 million for the year ended December 31, 2023. The income tax expense recorded for the year ended December 31, 2024 was driven largely by the current tax liability associated with the $75.0 million payment for the achievement of the clinical advancement milestone for VX-670 and $1.7 million in related interest owed to taxing authorities pursuant to Section 453A. The income tax expense recorded for the year ended December 31, 2023 was driven largely by the current tax liability associated with the tax recognition of the upfront payment received pursuant to the Vertex Agreement and the capitalization of research and development expenses under Section 174. For both periods, a significant portion of the taxable income related to the collaboration payments was offset by current year expenses and prior year accumulated losses.</w:t>
      </w:r>
    </w:p>
    <w:p>
      <w:pPr>
        <w:spacing w:after="0" w:line="1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As of December 31, 2024, the Company had federal net operating loss carryforwards of $4.2 million, which may be available to offset future taxable income. None of our federal net operating loss carryforwards will expire, but all are limited in their usage to an annual deduction equal to 80% of annual taxable income. In addition, as of December 31, 2024, the Company had state net operating loss carryforwards of $6.0 million, which may be available to offset future taxable income and expire at various dates beginning in 2036. As of December 31, 2024, the Company also had federal and state research and development tax credit carryforwards of $3.4 million and $1.5 million, respectively, which may be available to reduce future tax liabilities and expire at various dates beginning in 2039 and 2035, respectively.</w:t>
      </w:r>
    </w:p>
    <w:p>
      <w:pPr>
        <w:spacing w:after="0" w:line="14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Utilization of the NOLs and research and development tax credit carryforwards may be subject to a substantial annual limitation under Section 382 due to ownership change limitations that have occurred previously or that could occur in the future in accordance with Section 382, as well as similar state provisions. These ownership changes may limit the amount of NOLs and research and development tax credit carryforwards that can be utilized annually to offset future taxable income and tax, respectively. If a change in control as defined by Section 382 has occurred at any time since the Company’s formation, utilization of its NOLs or research and development tax credit carryforwards would be subject to an annual limitation under Section 382, which is determined by first multiplying the value of the Company’s stock at the time of the ownership change by the applicable long-term tax-exempt rate, which could then be subject to additional adjustments, as required. Any limitation may result in expiration of a portion of the NOLs or research and development tax carryforwards before their utilization. The Company has determined that ownership changes have occurred in the past and that certain NOLs and research and development tax credit carryforwards will be subject to limitation.</w:t>
      </w:r>
    </w:p>
    <w:p>
      <w:pPr>
        <w:spacing w:after="0" w:line="147"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Company has evaluated the positive and negative evidence bearing upon its ability to realize the deferred tax assets, which consist primarily of net operating loss carryforwards and research and development tax credit carryforwards,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capitalized research and development expenses and deferred revenue. Management has considered the Company’s history of cumulative net losses incurred since inception, estimated future taxable income, and prudent and feasible tax planning strategies and has concluded that it is more likely than not that the Company will not realize the benefits of federal and state net deferred tax assets. Accordingly, a full valuation allowance has been established against the net deferred tax assets as of December 31, 2024 and 2023. The Company reevaluates the positive and negative evidence at each reporting period.</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valuation allowance decreased by $15.0 million for the year ended December 31, 2024 and increased by $20.5 million for the year ended December 31, 2023.</w:t>
      </w:r>
    </w:p>
    <w:p>
      <w:pPr>
        <w:spacing w:after="0" w:line="179"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consolidated financial statements is reduced by the largest benefit that has a greater than 50% likelihood of being realized upon the ultimate settlement with the relevant taxing authority. As of December 31, 2024 and 2023, the Company had not recorded any reserves for uncertain tax positions or related interest and penalties.</w:t>
      </w:r>
    </w:p>
    <w:p>
      <w:pPr>
        <w:spacing w:after="0" w:line="140"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In 2017, the Tax Cuts and Jobs Act of 2017 (“2017 Tax Act”) was signed into law. Among other provisions, the 2017 Tax Act requires taxpayers to capitalize and amortize research and experimental (“R&amp;E”) expenditures under Section 174 for tax years beginning after December 31, 2021. As such, the rule noted became effective for the Company during the year ended December 31, 2022 and resulted in the capitalization of certain R&amp;E costs within its tax provision. The Company will amortize such costs for tax purposes over 5 years if the R&amp;E was performed in the United States and over 15 years if the R&amp;E was performed outside the United States.</w:t>
      </w:r>
    </w:p>
    <w:p>
      <w:pPr>
        <w:spacing w:after="0" w:line="140"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The Company files income tax returns as prescribed by the tax laws of the jurisdictions in which it operates. In the normal course of business, the Company is subject to examination by federal and state jurisdictions, where applicable. Due to net operating losses incurred, the Company’s tax returns from inception to date are subject to examination by the taxing authorities.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18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In 2018, the Company entered into a definitive license agreement with Ohio State Innovation Foundation (“OSIF”), an affiliate of The Ohio State University, (“OSIF License Agreement”) in which OSIF granted the Company an exclusive worldwide, sublicensable license to certain intellectual property under certain patent rights to research, develop, and otherwise commercialize a product generated from the licensed intellectual property. The Company is obligated to make milestone payments of up to $2.6 million upon the occurrence of specified research, development, and commercial activities for each of the first three licensed products related to the above technology. In addition, OSIF will receive tiered royalty payments on the applicable licensed program and platform products at a percentage ranging in single-digit royalties of net sales subject to reductions and offsets in certain circumstances, as well as a fee on sublicensed consideration of up to 15% of non-royalty sublicensing consideration.</w:t>
      </w:r>
    </w:p>
    <w:p>
      <w:pPr>
        <w:spacing w:after="0" w:line="146"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 xml:space="preserve">Concurrently with the Company entering into and later amending the Vertex Agreement, the Company entered into a sublicense agreement with Vertex, which was amended in October 2023 (“Sublicense Agreement”). Pursuant to the Sublicense Agreement, the Company granted to Vertex an exclusive sublicense under certain intellectual property licensed to the Company under the OSIF License Agreement. The material terms of the Sublicense Agreement mirror those of the Vertex Agreement, and the payments described in connection with the Vertex Agreement in Note 12, </w:t>
      </w:r>
      <w:r>
        <w:rPr>
          <w:rFonts w:ascii="Times New Roman" w:cs="Times New Roman" w:eastAsia="Times New Roman" w:hAnsi="Times New Roman"/>
          <w:sz w:val="14"/>
          <w:szCs w:val="14"/>
          <w:i w:val="1"/>
          <w:iCs w:val="1"/>
          <w:color w:val="auto"/>
        </w:rPr>
        <w:t>Collaboration and License Agreements</w:t>
      </w:r>
      <w:r>
        <w:rPr>
          <w:rFonts w:ascii="Times New Roman" w:cs="Times New Roman" w:eastAsia="Times New Roman" w:hAnsi="Times New Roman"/>
          <w:sz w:val="14"/>
          <w:szCs w:val="14"/>
          <w:color w:val="auto"/>
        </w:rPr>
        <w:t>, are in consideration for the rights granted under both the Vertex Agreement and Sublicense Agreement.</w:t>
      </w:r>
    </w:p>
    <w:p>
      <w:pPr>
        <w:spacing w:after="0" w:line="140" w:lineRule="exact"/>
        <w:rPr>
          <w:sz w:val="20"/>
          <w:szCs w:val="20"/>
          <w:color w:val="auto"/>
        </w:rPr>
      </w:pPr>
    </w:p>
    <w:p>
      <w:pPr>
        <w:ind w:right="580" w:firstLine="509"/>
        <w:spacing w:after="0" w:line="287" w:lineRule="auto"/>
        <w:rPr>
          <w:sz w:val="20"/>
          <w:szCs w:val="20"/>
          <w:color w:val="auto"/>
        </w:rPr>
      </w:pPr>
      <w:r>
        <w:rPr>
          <w:rFonts w:ascii="Times New Roman" w:cs="Times New Roman" w:eastAsia="Times New Roman" w:hAnsi="Times New Roman"/>
          <w:sz w:val="14"/>
          <w:szCs w:val="14"/>
          <w:color w:val="auto"/>
        </w:rPr>
        <w:t>The Company has paid $4.1 million in total sublicensing fees to OSIF since inception of the OSIF License Agreement. All remaining milestone fees and sublicensing fees were not considered probable as of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Leases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operating lease activity is comprised of non-cancelable facility leases for office and laboratory space in Boston, Massachusetts.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IDB Lease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6"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On March 16, 2022, the Company and IDB 17-19 Drydock Limited Partnership, as landlord (“Landlord), entered into a lease agreement (“IDB Lease”) with respect to approximately 81,229 square feet of office and laboratory space (“Premises”) in Boston, Massachusetts. The initial fixed rental rate is $0.5 million per month, which is for a 12 month period during which the base rent is payable for 65,000 square feet, and will increase 3% per annum thereafter for the entire 81,229 square feet leased.</w:t>
      </w:r>
    </w:p>
    <w:p>
      <w:pPr>
        <w:spacing w:after="0" w:line="131" w:lineRule="exact"/>
        <w:rPr>
          <w:sz w:val="20"/>
          <w:szCs w:val="20"/>
          <w:color w:val="auto"/>
        </w:rPr>
      </w:pPr>
    </w:p>
    <w:p>
      <w:pPr>
        <w:ind w:right="860" w:firstLine="509"/>
        <w:spacing w:after="0" w:line="287" w:lineRule="auto"/>
        <w:rPr>
          <w:sz w:val="20"/>
          <w:szCs w:val="20"/>
          <w:color w:val="auto"/>
        </w:rPr>
      </w:pPr>
      <w:r>
        <w:rPr>
          <w:rFonts w:ascii="Times New Roman" w:cs="Times New Roman" w:eastAsia="Times New Roman" w:hAnsi="Times New Roman"/>
          <w:sz w:val="14"/>
          <w:szCs w:val="14"/>
          <w:color w:val="auto"/>
        </w:rPr>
        <w:t>The accounting commencement date occurred in April 2023 when both the Landlord's build-out and the tenant improvements were substantially completed. On the accounting commencement date, the Company recorded an operating lease right-of-use (“ROU”) asset of $77.6 million and a total lease liability of $63.6 million.</w:t>
      </w:r>
    </w:p>
    <w:p>
      <w:pPr>
        <w:spacing w:after="0" w:line="114"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4"/>
          <w:szCs w:val="14"/>
          <w:color w:val="auto"/>
        </w:rPr>
        <w:t>The IDB Lease has a term of approximately 10 years, unless earlier terminated in accordance with the terms of the IDB Lease. The Company has (i) the option to extend the IDB Lease for an additional period of 5 years, and (ii) a right of first offer on adjacent space to the Premises, subject to the terms and conditions of the IDB Lease. As these options are not reasonably certain of occurring, they have not been included in the initial calculation of the Company's ROU asset upon lease commencement.</w:t>
      </w:r>
    </w:p>
    <w:p>
      <w:pPr>
        <w:spacing w:after="0" w:line="152" w:lineRule="exact"/>
        <w:rPr>
          <w:sz w:val="20"/>
          <w:szCs w:val="20"/>
          <w:color w:val="auto"/>
        </w:rPr>
      </w:pPr>
    </w:p>
    <w:p>
      <w:pPr>
        <w:jc w:val="both"/>
        <w:ind w:right="340" w:firstLine="509"/>
        <w:spacing w:after="0" w:line="262" w:lineRule="auto"/>
        <w:rPr>
          <w:sz w:val="20"/>
          <w:szCs w:val="20"/>
          <w:color w:val="auto"/>
        </w:rPr>
      </w:pPr>
      <w:r>
        <w:rPr>
          <w:rFonts w:ascii="Times New Roman" w:cs="Times New Roman" w:eastAsia="Times New Roman" w:hAnsi="Times New Roman"/>
          <w:sz w:val="14"/>
          <w:szCs w:val="14"/>
          <w:color w:val="auto"/>
        </w:rPr>
        <w:t>Under the terms of the IDB Lease, the Landlord provided an allowance of $19.5 million toward the cost of completing tenant improvements for the Premises. In addition, the Landlord provided an additional contribution of $1.6 million toward the cost of tenant improvements to the Premises, which amount shall be repaid by the Company over the term of the IDB Lease. Such repayments are included in the maturity of the lease liability table below.</w:t>
      </w:r>
    </w:p>
    <w:p>
      <w:pPr>
        <w:spacing w:after="0" w:line="13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Company concluded that the improvements resulting from both the Landlord's build-out and the tenant improvements are the Landlord's assets for accounting purposes. Accordingly, the $13.9 million of costs incurred by the Company related to the tenant improvements in excess of the Landlord's allowance were reclassified from other non-current assets to right-of-use assets upon commencement of the IDB lease and will be recognized as rent expense over the remaining lease term.</w:t>
      </w:r>
    </w:p>
    <w:p>
      <w:pPr>
        <w:spacing w:after="0" w:line="131" w:lineRule="exact"/>
        <w:rPr>
          <w:sz w:val="20"/>
          <w:szCs w:val="20"/>
          <w:color w:val="auto"/>
        </w:rPr>
      </w:pPr>
    </w:p>
    <w:p>
      <w:pPr>
        <w:ind w:right="500" w:firstLine="509"/>
        <w:spacing w:after="0" w:line="271" w:lineRule="auto"/>
        <w:rPr>
          <w:sz w:val="20"/>
          <w:szCs w:val="20"/>
          <w:color w:val="auto"/>
        </w:rPr>
      </w:pPr>
      <w:r>
        <w:rPr>
          <w:rFonts w:ascii="Times New Roman" w:cs="Times New Roman" w:eastAsia="Times New Roman" w:hAnsi="Times New Roman"/>
          <w:sz w:val="14"/>
          <w:szCs w:val="14"/>
          <w:color w:val="auto"/>
        </w:rPr>
        <w:t>In connection with the execution of the IDB Lease, the Company executed a cash-collateralized letter of credit, which may be reduced in the future subject to reduction requirements specified in the IDB Lease therein. The $4.0 million of cash collateralizing the letter of credit is classified as restricted cash on the Company's consolidated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6 Tide Street Lease</w:t>
      </w:r>
    </w:p>
    <w:p>
      <w:pPr>
        <w:spacing w:after="0" w:line="181"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 entered into an operating lease for office and laboratory space at 6 Tide Street in Boston, Massachusetts in February 2020, and entered into subsequent amendments through 2021 to lease additional space (“6 Tide Street Lease”). Such amendments run co-terminus with the original lease.</w:t>
      </w:r>
    </w:p>
    <w:p>
      <w:pPr>
        <w:spacing w:after="0" w:line="124"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During 2023, the Company entered into amendments to the 6 Tide Street Lease pursuant to which the Company surrendered portions of the leased space in exchange for being relieved of its obligation to make lease payments. Upon the lease modification, the Company reassessed its incremental borrowing rate and remeasured the lease liability and right-of-use asset. Subsequent to the amendment, the Company continues to classify the 6 Tide Street Lease as an operating lease.</w:t>
      </w:r>
    </w:p>
    <w:p>
      <w:pPr>
        <w:spacing w:after="0" w:line="136"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As of December 31, 2024, the Company had a total of 23,189 square feet licensed at this facility. The term for the remaining leased space will end on November 30, 2025. The fixed rental payment will be approximately $0.4 million per month for the remainder of the lease term. The Company has the option to extend the remaining leased space for a period of 3 years, or terminate such remaining space leased without penalty provided sufficient notice is given. At the adoption of ASC 842 in January of 2022, the Company concluded that it is not reasonably certain that it will exercise its option to terminate the lease early or exercise its option to extend the leased space.</w:t>
      </w:r>
    </w:p>
    <w:p>
      <w:pPr>
        <w:spacing w:after="0" w:line="140"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Company's security deposit for the 6 Tide Street Lease was $0.4 million, all of which is recorded as a component of other current assets as it is expected to be received with one year of the balance sheet date.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Summary of all lease costs recognized under ASC 842</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components of all operating lease cost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3"/>
        </w:trPr>
        <w:tc>
          <w:tcPr>
            <w:tcW w:w="98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96"/>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15,535</w:t>
            </w:r>
          </w:p>
        </w:tc>
      </w:tr>
      <w:tr>
        <w:trPr>
          <w:trHeight w:val="196"/>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9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507" w:right="319" w:bottom="1440" w:gutter="0" w:footer="0" w:header="0"/>
        </w:sectPr>
      </w:pP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Supplemental information related to all operating leases was as follows:</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34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cash flows used for operating leases (in thousands)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p>
      <w:pPr>
        <w:spacing w:after="0" w:line="2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payments due under all operating leases as of December 31, 2024 were as follows (in thousands):</w:t>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61530" cy="1282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2025</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2027</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82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2029</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Thereafter</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2024</w:t>
      </w:r>
    </w:p>
    <w:p>
      <w:pPr>
        <w:spacing w:after="0" w:line="34" w:lineRule="exact"/>
        <w:rPr>
          <w:sz w:val="20"/>
          <w:szCs w:val="20"/>
          <w:color w:val="auto"/>
        </w:rPr>
      </w:pPr>
    </w:p>
    <w:p>
      <w:pPr>
        <w:ind w:left="1048" w:hanging="1048"/>
        <w:spacing w:after="0"/>
        <w:tabs>
          <w:tab w:leader="none" w:pos="104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14,197</w:t>
      </w:r>
    </w:p>
    <w:p>
      <w:pPr>
        <w:spacing w:after="0" w:line="40" w:lineRule="exact"/>
        <w:rPr>
          <w:rFonts w:ascii="Times New Roman" w:cs="Times New Roman" w:eastAsia="Times New Roman" w:hAnsi="Times New Roman"/>
          <w:sz w:val="14"/>
          <w:szCs w:val="14"/>
          <w:color w:val="auto"/>
        </w:rPr>
      </w:pPr>
    </w:p>
    <w:p>
      <w:pPr>
        <w:ind w:left="92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7.6 years</w:t>
      </w:r>
    </w:p>
    <w:p>
      <w:pPr>
        <w:spacing w:after="0" w:line="40" w:lineRule="exact"/>
        <w:rPr>
          <w:rFonts w:ascii="Times New Roman" w:cs="Times New Roman" w:eastAsia="Times New Roman" w:hAnsi="Times New Roman"/>
          <w:sz w:val="14"/>
          <w:szCs w:val="14"/>
          <w:color w:val="auto"/>
        </w:rPr>
      </w:pPr>
    </w:p>
    <w:p>
      <w:pPr>
        <w:ind w:left="108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8.14%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12,048</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8,826</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9,083</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9,349</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9,622</w:t>
      </w:r>
    </w:p>
    <w:p>
      <w:pPr>
        <w:spacing w:after="0" w:line="4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31,468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21590</wp:posOffset>
            </wp:positionV>
            <wp:extent cx="13811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81125" cy="6985"/>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9092" w:space="720"/>
            <w:col w:w="1468"/>
          </w:cols>
          <w:pgMar w:left="300" w:top="507" w:right="3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80,396</w:t>
            </w:r>
          </w:p>
        </w:tc>
      </w:tr>
      <w:tr>
        <w:trPr>
          <w:trHeight w:val="202"/>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8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(21,189)</w:t>
            </w:r>
          </w:p>
        </w:tc>
      </w:tr>
      <w:tr>
        <w:trPr>
          <w:trHeight w:val="192"/>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Present value of operating lease liabilities</w:t>
            </w:r>
          </w:p>
        </w:tc>
        <w:tc>
          <w:tcPr>
            <w:tcW w:w="88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59,207</w:t>
            </w:r>
          </w:p>
        </w:tc>
      </w:tr>
      <w:tr>
        <w:trPr>
          <w:trHeight w:val="20"/>
        </w:trPr>
        <w:tc>
          <w:tcPr>
            <w:tcW w:w="9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IDB Sublease</w:t>
      </w:r>
    </w:p>
    <w:p>
      <w:pPr>
        <w:spacing w:after="0" w:line="181"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4"/>
          <w:szCs w:val="14"/>
          <w:color w:val="auto"/>
        </w:rPr>
        <w:t>In December 2022, the Company entered into a sublease agreement to sublease a portion of the office and laboratory space leased under the IDB Lease to a third-party (“Subtenant”). The sublease term is 3 years and the Subtenant has an option to extend the lease term for 6 months. The initial fixed rental rate is $0.2 million per month, and will increase 3% per annum thereafter. The Subtenant is obligated to pay its ratable portion of operating expenses during the sublease term. The Company received a letter of credit of $0.5 million in place of a security deposit. As of December 31, 2024, no amounts have been drawn on the letter of credit.</w:t>
      </w:r>
    </w:p>
    <w:p>
      <w:pPr>
        <w:spacing w:after="0" w:line="138"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sublease accounting commencement date occurred in April 2023. During the year ended December 31, 2024, the Company recognized $2.1 million of sublease income. Such amount is recorded as a reduction to rent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Collaboration and License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Vertex Agreement - Overview</w:t>
      </w:r>
    </w:p>
    <w:p>
      <w:pPr>
        <w:spacing w:after="0" w:line="17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The Company and Vertex closed the Vertex Agreement in February 2023, as amended in October 2023, pursuant to which the Company granted Vertex an exclusive worldwide license to research, develop, manufacture and commercialize VX-670, as well as any additional EEV-based therapeutic candidates that may be identified by the Company for the potential treatment of myotonic dystrophy type 1 (“DM1”) in the course of the parties’ global research collaboration. In October 2023, the Company and Vertex amended the Vertex Agreement to clarify a milestone and related payment terms.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4"/>
          <w:szCs w:val="14"/>
          <w:color w:val="auto"/>
        </w:rPr>
        <w:t>The Vertex Agreement provides for a four-year global research collaboration under which Entrada will continue to perform preclinical development of the Company's partnered candidate VX-670 pursuant to the mutually agreed-upon research plan (“Research Plan”). The Research Plan is overseen by a Joint Research Committee (“JRC”) as detailed in the Vertex Agreement. Pursuant to the terms of the Vertex Agreement, the JRC may amend the Research Plan to include additional DM1-related research activities with a goal of identifying other EEV-based therapeutic product candidates for the potential treatment of DM1. Vertex is obligated to reimburse the Company’s research expenses incurred in performing activities under the Research Plan.</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Vertex Agreement, the Company received an upfront payment of $223.7 million, and Vertex made an equity investment of $26.3 million by purchasing 1,618,613 shares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common stock, pursuant to a separate but simultaneously executed stock purchase agreement. Under the terms of the Vertex Agreement, the Company is eligible to receive up to</w:t>
      </w:r>
    </w:p>
    <w:p>
      <w:pPr>
        <w:spacing w:after="0"/>
        <w:rPr>
          <w:sz w:val="20"/>
          <w:szCs w:val="20"/>
          <w:color w:val="auto"/>
        </w:rPr>
      </w:pPr>
      <w:r>
        <w:rPr>
          <w:rFonts w:ascii="Times New Roman" w:cs="Times New Roman" w:eastAsia="Times New Roman" w:hAnsi="Times New Roman"/>
          <w:sz w:val="14"/>
          <w:szCs w:val="14"/>
          <w:color w:val="auto"/>
        </w:rPr>
        <w:t>$485.0 million upon the achievement of certain research, development, regulatory and commercial milestones. The Company will also receive tiered royalties, from the mid to high single digits based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potential future net sales of licensed products as set forth in the Vertex Agreement.</w:t>
      </w:r>
    </w:p>
    <w:p>
      <w:pPr>
        <w:spacing w:after="0" w:line="154" w:lineRule="exact"/>
        <w:rPr>
          <w:sz w:val="20"/>
          <w:szCs w:val="20"/>
          <w:color w:val="auto"/>
        </w:rPr>
      </w:pPr>
    </w:p>
    <w:p>
      <w:pPr>
        <w:jc w:val="both"/>
        <w:ind w:right="200" w:firstLine="509"/>
        <w:spacing w:after="0" w:line="262" w:lineRule="auto"/>
        <w:rPr>
          <w:sz w:val="20"/>
          <w:szCs w:val="20"/>
          <w:color w:val="auto"/>
        </w:rPr>
      </w:pPr>
      <w:r>
        <w:rPr>
          <w:rFonts w:ascii="Times New Roman" w:cs="Times New Roman" w:eastAsia="Times New Roman" w:hAnsi="Times New Roman"/>
          <w:sz w:val="14"/>
          <w:szCs w:val="14"/>
          <w:color w:val="auto"/>
        </w:rPr>
        <w:t>In the fourth quarter of 2023, the Company achieved a milestone pursuant to the Vertex Agreement related to preclinical IND-enabling GLP toxicology studies of VX-670 that triggered a $17.5 million milestone payment, which the Company received in November 2023. In the first quarter of 2024, the Company achieved a milestone related to the clinical advancement of VX-670, which triggered a $75.0 million payment. The Company received this payment in the second quarter of 2024.</w:t>
      </w:r>
    </w:p>
    <w:p>
      <w:pPr>
        <w:spacing w:after="0" w:line="131"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4"/>
          <w:szCs w:val="14"/>
          <w:color w:val="auto"/>
        </w:rPr>
        <w:t>The term of the Vertex Agreement will expire in its entirety upon expiration of the royalty term as set forth in the Vertex Agreement. Vertex may terminate the Vertex Agreement for convenience by providing adequate written notice to the Company. The Company may terminate the Vertex Agreement under certain specified circumstances, including in the event Vertex or any of its affiliates or sublicensees challenges directly or indirectly in a legal or administrative proceeding the patentability, enforceability, or validity of any licensed patent as set forth in the Vertex Agreement. Either party may terminate the Vertex Agreement for an uncured material breach by the other party or upon the bankruptcy or insolvency of the other party. Neither party may assign the agreement without the prior written consent of the other party, except that a party may assign its rights and obligations to an affiliate or third party that acquires all or substantially all of the business or assets to which the Vertex Agreement relates and agrees in writing to be bound by the terms of the Vertex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Vertex Agreement - Accounting Analysis</w:t>
      </w:r>
    </w:p>
    <w:p>
      <w:pPr>
        <w:spacing w:after="0" w:line="170"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The Company determined that the Vertex Agreement should be accounted for in accordance with ASC 606 as Vertex was deemed to be a customer. The Company assessed the promised goods and services under the Vertex Agreement in accordance with ASC 606. At inception, the Vertex Agreement included one performance obligation which was the combination of the exclusive license and the performance of the research activities for VX-670 (“Performance Obligation One”). The Company concluded that the license is not distinct from the research and development services for VX-670 during the research collaboration as Vertex cannot fully exploit the value of the license without receipt of such services. The Company also determined, at inception, that Vertex's ability to engage Entrada to perform work on additional EEV-based therapeutic candidates for the potential treatment of DM1 through the JRC represented customer options. The Company concluded that these customer options do not represent a material right as these services will be reimbursed by Vertex at a price that represents standalone selling price for such services.</w:t>
      </w:r>
    </w:p>
    <w:p>
      <w:pPr>
        <w:spacing w:after="0" w:line="140" w:lineRule="exact"/>
        <w:rPr>
          <w:sz w:val="20"/>
          <w:szCs w:val="20"/>
          <w:color w:val="auto"/>
        </w:rPr>
      </w:pPr>
    </w:p>
    <w:p>
      <w:pPr>
        <w:jc w:val="both"/>
        <w:ind w:right="100" w:firstLine="509"/>
        <w:spacing w:after="0" w:line="262" w:lineRule="auto"/>
        <w:rPr>
          <w:sz w:val="20"/>
          <w:szCs w:val="20"/>
          <w:color w:val="auto"/>
        </w:rPr>
      </w:pPr>
      <w:r>
        <w:rPr>
          <w:rFonts w:ascii="Times New Roman" w:cs="Times New Roman" w:eastAsia="Times New Roman" w:hAnsi="Times New Roman"/>
          <w:sz w:val="14"/>
          <w:szCs w:val="14"/>
          <w:color w:val="auto"/>
        </w:rPr>
        <w:t>In the second quarter of 2023, pursuant to the terms of the agreement, Vertex amended the Research Plan (“The Amended Research Plan”) to engage Entrada to perform work on additional EEV-based therapeutic candidates for the potential treatment of DM1 (“Performance Obligation Two”). Such work is treated as a separate contract for accounting purposes and represents a separate performance obligation as the activities are distinct from the combined license and research activities for VX-670.</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Determination of Transaction Price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At the commencement of the arrangement, the Vertex Agreement had a fixed transaction price of $232.0 million, primarily consisting of the $223.7 million upfront fee plus a premium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$6.9 million related to the 1,618,613 shares sold to Vertex under the Stock Purchase Agreement when measured at fair value on the date of issuance. The shares issued to Vertex pursuant to the Stock</w:t>
      </w:r>
    </w:p>
    <w:p>
      <w:pPr>
        <w:spacing w:after="0"/>
        <w:rPr>
          <w:sz w:val="20"/>
          <w:szCs w:val="20"/>
          <w:color w:val="auto"/>
        </w:rPr>
      </w:pPr>
      <w:r>
        <w:rPr>
          <w:rFonts w:ascii="Times New Roman" w:cs="Times New Roman" w:eastAsia="Times New Roman" w:hAnsi="Times New Roman"/>
          <w:sz w:val="14"/>
          <w:szCs w:val="14"/>
          <w:color w:val="auto"/>
        </w:rPr>
        <w:t>Purchase Agreement were unregistered and therefore considered restricted securities at the time of issuance. As a result, the fair value of the shares issued to Vertex of $19.4 million was calculated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using the closing price of the Company's unrestricted common shares on February 8, 2023, adjusted to reflect a discount for lack of marketability (“DLOM”) due to the shares issued being</w:t>
      </w:r>
    </w:p>
    <w:p>
      <w:pPr>
        <w:spacing w:after="0"/>
        <w:rPr>
          <w:sz w:val="20"/>
          <w:szCs w:val="20"/>
          <w:color w:val="auto"/>
        </w:rPr>
      </w:pPr>
      <w:r>
        <w:rPr>
          <w:rFonts w:ascii="Times New Roman" w:cs="Times New Roman" w:eastAsia="Times New Roman" w:hAnsi="Times New Roman"/>
          <w:sz w:val="14"/>
          <w:szCs w:val="14"/>
          <w:color w:val="auto"/>
        </w:rPr>
        <w:t>unregistered and therefore subject to related sale restrictions.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506"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The Company is also entitled to reimbursement of costs incurred in connection with the delivery of services performed for VX-670 and for additional EEV-based therapeutic candidates under the Amended Research Plan. The Company utilized the most likely amount approach to estimate the expected cost reimbursement. The Company concluded that these amounts do not require a constraint and are included in the transaction price at inception. The Company considers this estimate at each reporting date and updates the estimate based on information available.</w:t>
      </w:r>
    </w:p>
    <w:p>
      <w:pPr>
        <w:spacing w:after="0" w:line="131"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color w:val="auto"/>
        </w:rPr>
        <w:t>In the fourth quarter of 2023, the Company achieved a milestone related to preclinical IND-enabling GLP toxicology studies of VX-670, which triggered a $17.5 million payment that was received in November 2023. Upon the achievement of this milestone, the Company recorded a $7.8 million cumulative catch-up entry to collaboration revenue for the year ended December 31, 2023. In the first quarter of 2024, the Company achieved a milestone related to the clinical advancement of VX-670, which triggered a $75.0 million milestone payment. The Company received this payment in the second quarter of 2024. Upon the achievement of the milestone, the Company recorded a $38.7 million cumulative catch-up entry to collaboration revenue for the year ended December 31, 2024. No additional milestones were deemed probable of being achieved as of December 31, 2024 and, therefore, all remaining milestone payments were fully constrained and excluded from the transaction price as of December 31, 2024. The Company re-evaluates the probability of achievement of development milestones and any related constraint at each period end, and if necessary, adjusts its estimate of the overall transaction price. Any such adjustments are recorded on a cumulative catch-up basis, which would affect collaboration revenue in the period of adjustment.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Allocation and Recognition</w:t>
      </w:r>
    </w:p>
    <w:p>
      <w:pPr>
        <w:spacing w:after="0" w:line="170"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4"/>
          <w:szCs w:val="14"/>
          <w:color w:val="auto"/>
        </w:rPr>
        <w:t>As of December 31, 2024, the transaction price for the combination of the exclusive license and the performance of the research activities for VX-670 primarily consists of (i) the upfront payment, (ii) the equity premium paid by Vertex, (iii) the milestone achieved in the fourth quarter of 2023, (iv) the milestone achieved in the first quarter of 2024 and (v) reimbursement of costs incurred in connection with the delivery of services under the Amended Research Plan associated with VX-670. The transaction price for the work on additional EEV-based therapeutic candidates consists of payments received from Vertex for research activities performed in connection with the delivery of services under the Amended Research Plan associated with such work.</w:t>
      </w:r>
    </w:p>
    <w:p>
      <w:pPr>
        <w:spacing w:after="0" w:line="14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The Company recognizes revenue associated with both performance obligations as the related research and development services are provided using an input method, according to the costs incurred as related to the respective research services and the costs expected to be incurred in the future to satisfy the performance obligations in accordance with the Amended Research Plan. The transfer of control occurs over this time period and, in management’s judgment, is the best measure of progress towards satisfying the performance obligations. The estimated costs associated with the remaining effort required to complete the performance obligations in accordance with the research plans may change, which may materially impact revenue recognition. The Company regularly evaluates and, when necessary, updates the costs associated with the remaining effort pursuant to the performance obligations under the Vertex Agreement and records any necessary adjustment to revenue for the change in estimate.</w:t>
      </w:r>
    </w:p>
    <w:p>
      <w:pPr>
        <w:spacing w:after="0" w:line="152" w:lineRule="exact"/>
        <w:rPr>
          <w:sz w:val="20"/>
          <w:szCs w:val="20"/>
          <w:color w:val="auto"/>
        </w:rPr>
      </w:pPr>
    </w:p>
    <w:p>
      <w:pPr>
        <w:ind w:right="460" w:firstLine="509"/>
        <w:spacing w:after="0" w:line="271" w:lineRule="auto"/>
        <w:rPr>
          <w:sz w:val="20"/>
          <w:szCs w:val="20"/>
          <w:color w:val="auto"/>
        </w:rPr>
      </w:pPr>
      <w:r>
        <w:rPr>
          <w:rFonts w:ascii="Times New Roman" w:cs="Times New Roman" w:eastAsia="Times New Roman" w:hAnsi="Times New Roman"/>
          <w:sz w:val="14"/>
          <w:szCs w:val="14"/>
          <w:color w:val="auto"/>
        </w:rPr>
        <w:t>The amounts received that have not yet been recognized as revenue are deferred on the Company’s consolidated balance sheet and will be recognized over the remaining research and development period until the performance obligation is satisfied. The performance obligations have not been fully satisfied as of December 31, 2024.</w:t>
      </w:r>
    </w:p>
    <w:p>
      <w:pPr>
        <w:spacing w:after="0" w:line="124" w:lineRule="exact"/>
        <w:rPr>
          <w:sz w:val="20"/>
          <w:szCs w:val="20"/>
          <w:color w:val="auto"/>
        </w:rPr>
      </w:pPr>
    </w:p>
    <w:p>
      <w:pPr>
        <w:ind w:right="360" w:firstLine="509"/>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the Company recognized $209.8 million in revenue under the Vertex Agreement, including $15.8 million of cost reimbursements, $70.5 million related to the clinical advancement milestone achieved in the first quarter of 2024, and $123.5 million from amounts in deferred revenue at December 31, 2023.</w:t>
      </w:r>
    </w:p>
    <w:p>
      <w:pPr>
        <w:spacing w:after="0" w:line="114"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For the year ended December 31, 2023, the Company recognized $129.0 million in revenue under the Vertex Agreement, including $17.5 million of cost reimbursements, $7.8 million related to the milestone achieved in the fourth quarter of 2023 related to preclinical IND-enabling GLP toxicology studies of VX-670, and $103.7 million from amounts in deferred revenue at inception of the agreement.</w:t>
      </w:r>
    </w:p>
    <w:p>
      <w:pPr>
        <w:spacing w:after="0" w:line="15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4"/>
          <w:szCs w:val="14"/>
          <w:color w:val="auto"/>
        </w:rPr>
        <w:t>The aggregate amount of the transaction price allocated to the Company’s unsatisfied performance obligations and recorded in deferred revenue at December 31, 2024 is $20.2 million. The Company will recognize the deferred revenue related to the research and development services based on a cost input method, over the remaining term of the research plan.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costs incurred to perform the research activities pursuant to the Vertex Agreement are recorded in research and development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Pierrepont Agreement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In July 2023, the Company and Pierrepont Therapeutics, Inc. (“Pierrepont”) entered into a license agreement (the “Pierrepont Agreement”) to advance the development of PTI-501 (formerly ENTR-501), the Company’s intracellular thymidine phosphorylase enzyme replacement therapy in development for the treatment of mitochondrial neurogastrointestinal encephalomyopathy (“MNGIE”). The Company recognized $1.0 million of revenue related to this agreement for the year ended December 31, 2024 as the underlying performance obligation was satisfied. No revenue was recognized related to this agreement for the year ended December 31, 2023.</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Employee Benefit Plan</w:t>
      </w:r>
    </w:p>
    <w:p>
      <w:pPr>
        <w:spacing w:after="0" w:line="181" w:lineRule="exact"/>
        <w:rPr>
          <w:sz w:val="20"/>
          <w:szCs w:val="20"/>
          <w:color w:val="auto"/>
        </w:rPr>
      </w:pPr>
    </w:p>
    <w:p>
      <w:pPr>
        <w:jc w:val="both"/>
        <w:ind w:right="560" w:firstLine="509"/>
        <w:spacing w:after="0" w:line="270" w:lineRule="auto"/>
        <w:rPr>
          <w:sz w:val="20"/>
          <w:szCs w:val="20"/>
          <w:color w:val="auto"/>
        </w:rPr>
      </w:pPr>
      <w:r>
        <w:rPr>
          <w:rFonts w:ascii="Times New Roman" w:cs="Times New Roman" w:eastAsia="Times New Roman" w:hAnsi="Times New Roman"/>
          <w:sz w:val="14"/>
          <w:szCs w:val="14"/>
          <w:color w:val="auto"/>
        </w:rPr>
        <w:t>The Company has a defined-contribution plan under Section 401(k) of the Code (“401(k) Plan”). The 401(k) Plan covers all employees who meet defined minimum age and service requirements and allows participants to defer a portion of their annual compensation on a pre-tax basis. The Company's contributions were $1.1 million and $0.9 million for the years ended December 31, 2024 and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Net Income (Loss) per Share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Basic and diluted net income (loss) per share attributable to common stockholders was calculated as follows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2"/>
        </w:trPr>
        <w:tc>
          <w:tcPr>
            <w:tcW w:w="80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65,626</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(6,685)</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9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02"/>
        </w:trPr>
        <w:tc>
          <w:tcPr>
            <w:tcW w:w="802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common shares outstanding, basic</w:t>
            </w:r>
          </w:p>
        </w:tc>
        <w:tc>
          <w:tcPr>
            <w:tcW w:w="9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37,306,363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33,050,319</w:t>
            </w:r>
          </w:p>
        </w:tc>
      </w:tr>
      <w:tr>
        <w:trPr>
          <w:trHeight w:val="202"/>
        </w:trPr>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Effect of dilutive securities</w:t>
            </w:r>
          </w:p>
        </w:tc>
        <w:tc>
          <w:tcPr>
            <w:tcW w:w="9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1,696,806</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8020" w:type="dxa"/>
            <w:vAlign w:val="bottom"/>
          </w:tcPr>
          <w:p>
            <w:pPr>
              <w:ind w:left="100"/>
              <w:spacing w:after="0" w:line="161" w:lineRule="exact"/>
              <w:rPr>
                <w:sz w:val="20"/>
                <w:szCs w:val="20"/>
                <w:color w:val="auto"/>
              </w:rPr>
            </w:pPr>
            <w:r>
              <w:rPr>
                <w:rFonts w:ascii="Times New Roman" w:cs="Times New Roman" w:eastAsia="Times New Roman" w:hAnsi="Times New Roman"/>
                <w:sz w:val="14"/>
                <w:szCs w:val="14"/>
                <w:color w:val="auto"/>
              </w:rPr>
              <w:t>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common shares outstanding, diluted</w:t>
            </w: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39,003,169</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33,050,319</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3"/>
        </w:trPr>
        <w:tc>
          <w:tcPr>
            <w:tcW w:w="80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2"/>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basic</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diluted</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Equivalents</w:t>
      </w:r>
    </w:p>
    <w:p>
      <w:pPr>
        <w:spacing w:after="0" w:line="181"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4"/>
          <w:szCs w:val="14"/>
          <w:color w:val="auto"/>
        </w:rPr>
        <w:t>The Company excluded the following potential common shares, presented based on amounts outstanding at each period end, from the computation of diluted net income (loss) per share attributable to common stockholders for the periods indicated because including them would have had an anti-dilutive effect:</w:t>
      </w:r>
    </w:p>
    <w:tbl>
      <w:tblPr>
        <w:tblLayout w:type="fixed"/>
        <w:tblInd w:w="0" w:type="dxa"/>
        <w:tblCellMar>
          <w:top w:w="0" w:type="dxa"/>
          <w:left w:w="0" w:type="dxa"/>
          <w:bottom w:w="0" w:type="dxa"/>
          <w:right w:w="0" w:type="dxa"/>
        </w:tblCellMar>
      </w:tblPr>
      <w:tr>
        <w:trPr>
          <w:trHeight w:val="158"/>
        </w:trPr>
        <w:tc>
          <w:tcPr>
            <w:tcW w:w="8020" w:type="dxa"/>
            <w:vAlign w:val="bottom"/>
          </w:tcPr>
          <w:p>
            <w:pPr>
              <w:spacing w:after="0"/>
              <w:rPr>
                <w:sz w:val="13"/>
                <w:szCs w:val="13"/>
                <w:color w:val="auto"/>
              </w:rPr>
            </w:pPr>
          </w:p>
        </w:tc>
        <w:tc>
          <w:tcPr>
            <w:tcW w:w="230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restricted common stock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440,353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1,268,461</w:t>
            </w:r>
          </w:p>
        </w:tc>
      </w:tr>
      <w:tr>
        <w:trPr>
          <w:trHeight w:val="196"/>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Unvested performance stock units</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438,500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shares from early exercises</w:t>
            </w:r>
          </w:p>
        </w:tc>
        <w:tc>
          <w:tcPr>
            <w:tcW w:w="23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14,745</w:t>
            </w:r>
          </w:p>
        </w:tc>
      </w:tr>
      <w:tr>
        <w:trPr>
          <w:trHeight w:val="19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options to purchase common stock</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2,452,396</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5,414,360</w:t>
            </w:r>
          </w:p>
        </w:tc>
      </w:tr>
      <w:tr>
        <w:trPr>
          <w:trHeight w:val="217"/>
        </w:trPr>
        <w:tc>
          <w:tcPr>
            <w:tcW w:w="80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3,331,249</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6,697,566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Segment Information</w:t>
      </w:r>
    </w:p>
    <w:p>
      <w:pPr>
        <w:spacing w:after="0" w:line="181"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manages its operations as a single segment. The Company’s CODM, its Chief Executive Officer, manages the Company's operations on a consolidated basis for the purposes of assessing performance and making operating decisions. The segment measure of profit or loss is consolidated net income (loss).</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with respect to the Company's single operating segment for the years ended: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Pr>
          <w:p>
            <w:pPr>
              <w:spacing w:after="0"/>
              <w:rPr>
                <w:sz w:val="12"/>
                <w:szCs w:val="12"/>
                <w:color w:val="auto"/>
              </w:rPr>
            </w:pPr>
          </w:p>
        </w:tc>
      </w:tr>
      <w:tr>
        <w:trPr>
          <w:trHeight w:val="179"/>
        </w:trPr>
        <w:tc>
          <w:tcPr>
            <w:tcW w:w="5480" w:type="dxa"/>
            <w:vAlign w:val="bottom"/>
          </w:tcPr>
          <w:p>
            <w:pPr>
              <w:spacing w:after="0"/>
              <w:rPr>
                <w:sz w:val="15"/>
                <w:szCs w:val="15"/>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1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Collaboration revenue</w:t>
            </w:r>
          </w:p>
        </w:tc>
        <w:tc>
          <w:tcPr>
            <w:tcW w:w="35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210,782</w:t>
            </w:r>
          </w:p>
        </w:tc>
        <w:tc>
          <w:tcPr>
            <w:tcW w:w="70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129,013</w:t>
            </w:r>
          </w:p>
        </w:tc>
      </w:tr>
      <w:tr>
        <w:trPr>
          <w:trHeight w:val="19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3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5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 research and development expenses</w:t>
            </w:r>
          </w:p>
        </w:tc>
        <w:tc>
          <w:tcPr>
            <w:tcW w:w="3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ENTR-601-44</w:t>
            </w:r>
          </w:p>
        </w:tc>
        <w:tc>
          <w:tcPr>
            <w:tcW w:w="3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w:t>
            </w: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10,043</w:t>
            </w:r>
          </w:p>
        </w:tc>
      </w:tr>
      <w:tr>
        <w:trPr>
          <w:trHeight w:val="201"/>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ENTR-601-45</w:t>
            </w:r>
          </w:p>
        </w:tc>
        <w:tc>
          <w:tcPr>
            <w:tcW w:w="3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8,584</w:t>
            </w:r>
          </w:p>
        </w:tc>
        <w:tc>
          <w:tcPr>
            <w:tcW w:w="7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9,782</w:t>
            </w:r>
          </w:p>
        </w:tc>
      </w:tr>
      <w:tr>
        <w:trPr>
          <w:trHeight w:val="202"/>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ENTR-601-50</w:t>
            </w:r>
          </w:p>
        </w:tc>
        <w:tc>
          <w:tcPr>
            <w:tcW w:w="3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10,851</w:t>
            </w: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w:t>
            </w:r>
          </w:p>
        </w:tc>
      </w:tr>
      <w:tr>
        <w:trPr>
          <w:trHeight w:val="201"/>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ENTR-601-51</w:t>
            </w:r>
          </w:p>
        </w:tc>
        <w:tc>
          <w:tcPr>
            <w:tcW w:w="3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7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r>
      <w:tr>
        <w:trPr>
          <w:trHeight w:val="202"/>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Collaboration services</w:t>
            </w:r>
          </w:p>
        </w:tc>
        <w:tc>
          <w:tcPr>
            <w:tcW w:w="35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12,074</w:t>
            </w: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11,970</w:t>
            </w:r>
          </w:p>
        </w:tc>
      </w:tr>
      <w:tr>
        <w:trPr>
          <w:trHeight w:val="201"/>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preclinical and discovery</w:t>
            </w:r>
          </w:p>
        </w:tc>
        <w:tc>
          <w:tcPr>
            <w:tcW w:w="35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7,926</w:t>
            </w:r>
          </w:p>
        </w:tc>
        <w:tc>
          <w:tcPr>
            <w:tcW w:w="7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6,712</w:t>
            </w:r>
          </w:p>
        </w:tc>
      </w:tr>
      <w:tr>
        <w:trPr>
          <w:trHeight w:val="202"/>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Unallocated research and development expenses</w:t>
            </w:r>
          </w:p>
        </w:tc>
        <w:tc>
          <w:tcPr>
            <w:tcW w:w="3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bl>
    <w:p>
      <w:pPr>
        <w:spacing w:after="0" w:line="7" w:lineRule="exact"/>
        <w:rPr>
          <w:sz w:val="20"/>
          <w:szCs w:val="20"/>
          <w:color w:val="auto"/>
        </w:rPr>
      </w:pPr>
    </w:p>
    <w:p>
      <w:pPr>
        <w:sectPr>
          <w:pgSz w:w="11900" w:h="16838" w:orient="portrait"/>
          <w:cols w:equalWidth="0" w:num="1">
            <w:col w:w="11280"/>
          </w:cols>
          <w:pgMar w:left="300" w:top="507" w:right="319" w:bottom="1440" w:gutter="0" w:footer="0" w:header="0"/>
        </w:sectPr>
      </w:pPr>
    </w:p>
    <w:p>
      <w:pPr>
        <w:ind w:left="280"/>
        <w:spacing w:after="0"/>
        <w:rPr>
          <w:sz w:val="20"/>
          <w:szCs w:val="20"/>
          <w:color w:val="auto"/>
        </w:rPr>
      </w:pPr>
      <w:r>
        <w:rPr>
          <w:rFonts w:ascii="Times New Roman" w:cs="Times New Roman" w:eastAsia="Times New Roman" w:hAnsi="Times New Roman"/>
          <w:sz w:val="14"/>
          <w:szCs w:val="14"/>
          <w:color w:val="auto"/>
        </w:rPr>
        <w:t>Personnel related (including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Facility related and other</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Total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p>
      <w:pPr>
        <w:spacing w:after="0" w:line="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Interest and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 w:lineRule="exact"/>
        <w:rPr>
          <w:sz w:val="20"/>
          <w:szCs w:val="20"/>
          <w:color w:val="auto"/>
        </w:rPr>
      </w:pPr>
      <w:r>
        <w:rPr>
          <w:sz w:val="20"/>
          <w:szCs w:val="20"/>
          <w:color w:val="auto"/>
        </w:rPr>
        <w:br w:type="column"/>
      </w:r>
    </w:p>
    <w:p>
      <w:pPr>
        <w:ind w:left="1140"/>
        <w:spacing w:after="0"/>
        <w:tabs>
          <w:tab w:leader="none" w:pos="2800" w:val="left"/>
        </w:tabs>
        <w:rPr>
          <w:sz w:val="20"/>
          <w:szCs w:val="20"/>
          <w:color w:val="auto"/>
        </w:rPr>
      </w:pPr>
      <w:r>
        <w:rPr>
          <w:rFonts w:ascii="Times New Roman" w:cs="Times New Roman" w:eastAsia="Times New Roman" w:hAnsi="Times New Roman"/>
          <w:sz w:val="14"/>
          <w:szCs w:val="14"/>
          <w:color w:val="auto"/>
        </w:rPr>
        <w:t>41,762</w:t>
      </w:r>
      <w:r>
        <w:rPr>
          <w:sz w:val="20"/>
          <w:szCs w:val="20"/>
          <w:color w:val="auto"/>
        </w:rPr>
        <w:tab/>
      </w:r>
      <w:r>
        <w:rPr>
          <w:rFonts w:ascii="Times New Roman" w:cs="Times New Roman" w:eastAsia="Times New Roman" w:hAnsi="Times New Roman"/>
          <w:sz w:val="14"/>
          <w:szCs w:val="14"/>
          <w:color w:val="auto"/>
        </w:rPr>
        <w:t>31,250</w:t>
      </w:r>
    </w:p>
    <w:p>
      <w:pPr>
        <w:spacing w:after="0" w:line="41" w:lineRule="exact"/>
        <w:rPr>
          <w:sz w:val="20"/>
          <w:szCs w:val="20"/>
          <w:color w:val="auto"/>
        </w:rPr>
      </w:pPr>
    </w:p>
    <w:p>
      <w:pPr>
        <w:ind w:left="1140"/>
        <w:spacing w:after="0"/>
        <w:tabs>
          <w:tab w:leader="none" w:pos="2800" w:val="left"/>
        </w:tabs>
        <w:rPr>
          <w:sz w:val="20"/>
          <w:szCs w:val="20"/>
          <w:color w:val="auto"/>
        </w:rPr>
      </w:pPr>
      <w:r>
        <w:rPr>
          <w:rFonts w:ascii="Times New Roman" w:cs="Times New Roman" w:eastAsia="Times New Roman" w:hAnsi="Times New Roman"/>
          <w:sz w:val="14"/>
          <w:szCs w:val="14"/>
          <w:color w:val="auto"/>
        </w:rPr>
        <w:t>29,655</w:t>
      </w:r>
      <w:r>
        <w:rPr>
          <w:sz w:val="20"/>
          <w:szCs w:val="20"/>
          <w:color w:val="auto"/>
        </w:rPr>
        <w:tab/>
      </w:r>
      <w:r>
        <w:rPr>
          <w:rFonts w:ascii="Times New Roman" w:cs="Times New Roman" w:eastAsia="Times New Roman" w:hAnsi="Times New Roman"/>
          <w:sz w:val="14"/>
          <w:szCs w:val="14"/>
          <w:color w:val="auto"/>
        </w:rPr>
        <w:t>25,580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07518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21" w:lineRule="exact"/>
        <w:rPr>
          <w:sz w:val="20"/>
          <w:szCs w:val="20"/>
          <w:color w:val="auto"/>
        </w:rPr>
      </w:pPr>
    </w:p>
    <w:p>
      <w:pPr>
        <w:ind w:left="1080"/>
        <w:spacing w:after="0"/>
        <w:tabs>
          <w:tab w:leader="none" w:pos="2800" w:val="left"/>
        </w:tabs>
        <w:rPr>
          <w:sz w:val="20"/>
          <w:szCs w:val="20"/>
          <w:color w:val="auto"/>
        </w:rPr>
      </w:pPr>
      <w:r>
        <w:rPr>
          <w:rFonts w:ascii="Times New Roman" w:cs="Times New Roman" w:eastAsia="Times New Roman" w:hAnsi="Times New Roman"/>
          <w:sz w:val="14"/>
          <w:szCs w:val="14"/>
          <w:color w:val="auto"/>
        </w:rPr>
        <w:t>125,306</w:t>
      </w:r>
      <w:r>
        <w:rPr>
          <w:sz w:val="20"/>
          <w:szCs w:val="20"/>
          <w:color w:val="auto"/>
        </w:rPr>
        <w:tab/>
      </w:r>
      <w:r>
        <w:rPr>
          <w:rFonts w:ascii="Times New Roman" w:cs="Times New Roman" w:eastAsia="Times New Roman" w:hAnsi="Times New Roman"/>
          <w:sz w:val="14"/>
          <w:szCs w:val="14"/>
          <w:color w:val="auto"/>
        </w:rPr>
        <w:t>99,884</w:t>
      </w:r>
    </w:p>
    <w:p>
      <w:pPr>
        <w:spacing w:after="0" w:line="30" w:lineRule="exact"/>
        <w:rPr>
          <w:sz w:val="20"/>
          <w:szCs w:val="20"/>
          <w:color w:val="auto"/>
        </w:rPr>
      </w:pPr>
    </w:p>
    <w:p>
      <w:pPr>
        <w:ind w:left="1180"/>
        <w:spacing w:after="0"/>
        <w:tabs>
          <w:tab w:leader="none" w:pos="2820" w:val="left"/>
        </w:tabs>
        <w:rPr>
          <w:sz w:val="20"/>
          <w:szCs w:val="20"/>
          <w:color w:val="auto"/>
        </w:rPr>
      </w:pPr>
      <w:r>
        <w:rPr>
          <w:rFonts w:ascii="Times New Roman" w:cs="Times New Roman" w:eastAsia="Times New Roman" w:hAnsi="Times New Roman"/>
          <w:sz w:val="14"/>
          <w:szCs w:val="14"/>
          <w:color w:val="auto"/>
        </w:rPr>
        <w:t>38,465</w:t>
      </w:r>
      <w:r>
        <w:rPr>
          <w:sz w:val="20"/>
          <w:szCs w:val="20"/>
          <w:color w:val="auto"/>
        </w:rPr>
        <w:tab/>
      </w:r>
      <w:r>
        <w:rPr>
          <w:rFonts w:ascii="Times New Roman" w:cs="Times New Roman" w:eastAsia="Times New Roman" w:hAnsi="Times New Roman"/>
          <w:sz w:val="14"/>
          <w:szCs w:val="14"/>
          <w:color w:val="auto"/>
        </w:rPr>
        <w:t>32,291</w:t>
      </w:r>
    </w:p>
    <w:p>
      <w:pPr>
        <w:spacing w:after="0" w:line="41" w:lineRule="exact"/>
        <w:rPr>
          <w:sz w:val="20"/>
          <w:szCs w:val="20"/>
          <w:color w:val="auto"/>
        </w:rPr>
      </w:pPr>
    </w:p>
    <w:p>
      <w:pPr>
        <w:ind w:left="1180"/>
        <w:spacing w:after="0"/>
        <w:tabs>
          <w:tab w:leader="none" w:pos="2820" w:val="left"/>
        </w:tabs>
        <w:rPr>
          <w:sz w:val="20"/>
          <w:szCs w:val="20"/>
          <w:color w:val="auto"/>
        </w:rPr>
      </w:pPr>
      <w:r>
        <w:rPr>
          <w:rFonts w:ascii="Times New Roman" w:cs="Times New Roman" w:eastAsia="Times New Roman" w:hAnsi="Times New Roman"/>
          <w:sz w:val="14"/>
          <w:szCs w:val="14"/>
          <w:color w:val="auto"/>
        </w:rPr>
        <w:t>19,474</w:t>
      </w:r>
      <w:r>
        <w:rPr>
          <w:sz w:val="20"/>
          <w:szCs w:val="20"/>
          <w:color w:val="auto"/>
        </w:rPr>
        <w:tab/>
      </w:r>
      <w:r>
        <w:rPr>
          <w:rFonts w:ascii="Times New Roman" w:cs="Times New Roman" w:eastAsia="Times New Roman" w:hAnsi="Times New Roman"/>
          <w:sz w:val="14"/>
          <w:szCs w:val="14"/>
          <w:color w:val="auto"/>
        </w:rPr>
        <w:t>15,218</w:t>
      </w:r>
    </w:p>
    <w:p>
      <w:pPr>
        <w:spacing w:after="0" w:line="41" w:lineRule="exact"/>
        <w:rPr>
          <w:sz w:val="20"/>
          <w:szCs w:val="20"/>
          <w:color w:val="auto"/>
        </w:rPr>
      </w:pPr>
    </w:p>
    <w:p>
      <w:pPr>
        <w:ind w:left="2760" w:hanging="1501"/>
        <w:spacing w:after="0"/>
        <w:tabs>
          <w:tab w:leader="none" w:pos="27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207518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75180" cy="6985"/>
                    </a:xfrm>
                    <a:prstGeom prst="rect">
                      <a:avLst/>
                    </a:prstGeom>
                    <a:noFill/>
                  </pic:spPr>
                </pic:pic>
              </a:graphicData>
            </a:graphic>
          </wp:anchor>
        </w:drawing>
      </w:r>
    </w:p>
    <w:p>
      <w:pPr>
        <w:spacing w:after="0" w:line="31" w:lineRule="exact"/>
        <w:rPr>
          <w:sz w:val="20"/>
          <w:szCs w:val="20"/>
          <w:color w:val="auto"/>
        </w:rPr>
      </w:pPr>
    </w:p>
    <w:p>
      <w:pPr>
        <w:spacing w:after="0"/>
        <w:tabs>
          <w:tab w:leader="none" w:pos="1120" w:val="left"/>
          <w:tab w:leader="none" w:pos="1660" w:val="left"/>
          <w:tab w:leader="none" w:pos="28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65,626</w:t>
        <w:tab/>
        <w:t>$</w:t>
      </w:r>
      <w:r>
        <w:rPr>
          <w:sz w:val="20"/>
          <w:szCs w:val="20"/>
          <w:color w:val="auto"/>
        </w:rPr>
        <w:tab/>
      </w:r>
      <w:r>
        <w:rPr>
          <w:rFonts w:ascii="Times New Roman" w:cs="Times New Roman" w:eastAsia="Times New Roman" w:hAnsi="Times New Roman"/>
          <w:sz w:val="14"/>
          <w:szCs w:val="14"/>
          <w:color w:val="auto"/>
        </w:rPr>
        <w:t>(6,685)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2075180" cy="266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075180" cy="26670"/>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7300" w:space="720"/>
            <w:col w:w="3260"/>
          </w:cols>
          <w:pgMar w:left="300" w:top="507" w:right="319" w:bottom="1440" w:gutter="0" w:footer="0" w:header="0"/>
          <w:type w:val="continuous"/>
        </w:sectPr>
      </w:pPr>
    </w:p>
    <w:p>
      <w:pPr>
        <w:spacing w:after="0" w:line="85"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Assets regularly provided to the CODM are consistent with those reported on the consolidated balance sheets with particular emphasis on the Company’s available liquidity, including its cash, cash equivalents and marketable securities balances. All of the Company’s tangible assets are held in the United States.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170"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2024, subsequent events were evaluated through the date on which these consolidated financial statements were issued to determine if such events should be reflected in these consolidated financial statements. The Company has concluded that no subsequent events have occurred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Our management, with the participation of our Chief Executive Officer and our Chief Financial Officer (our principal executive officer and principal financial and accounting officer, respectively), evaluated the effectiveness of our disclosure controls and procedures as of December 31,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47" w:lineRule="exact"/>
        <w:rPr>
          <w:sz w:val="20"/>
          <w:szCs w:val="20"/>
          <w:color w:val="auto"/>
        </w:rPr>
      </w:pPr>
    </w:p>
    <w:p>
      <w:pPr>
        <w:ind w:right="180" w:firstLine="509"/>
        <w:spacing w:after="0" w:line="264" w:lineRule="auto"/>
        <w:rPr>
          <w:sz w:val="20"/>
          <w:szCs w:val="20"/>
          <w:color w:val="auto"/>
        </w:rPr>
      </w:pPr>
      <w:r>
        <w:rPr>
          <w:rFonts w:ascii="Times New Roman" w:cs="Times New Roman" w:eastAsia="Times New Roman" w:hAnsi="Times New Roman"/>
          <w:sz w:val="14"/>
          <w:szCs w:val="14"/>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our Chief Financial Officer concluded that, as of such date, our disclosure controls and procedures were effective at the reasonable assurance level.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170" w:lineRule="exact"/>
        <w:rPr>
          <w:sz w:val="20"/>
          <w:szCs w:val="20"/>
          <w:color w:val="auto"/>
        </w:rPr>
      </w:pPr>
    </w:p>
    <w:p>
      <w:pPr>
        <w:jc w:val="both"/>
        <w:ind w:right="200" w:firstLine="509"/>
        <w:spacing w:after="0" w:line="25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financial statements for external purposes in accordance with generally accepted accounting principles in the United States. Because of its inherent limitations, internal control over financial reporting may not prevent or detect misstatements.</w:t>
      </w:r>
    </w:p>
    <w:p>
      <w:pPr>
        <w:spacing w:after="0" w:line="147"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Our management assessed the effectiveness of our internal control over financial reporting as of December 31, 2024 based on the criteria established in "Internal Control - Integrated Framework (2013)" issued by the Committee of Sponsoring Organizations of the Treadway Commission (“COSO”). Based on this assessment, our management concluded that our internal control over financial reporting was effective as of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Attestation Report of the Registered Public Accounting Firm</w:t>
      </w:r>
    </w:p>
    <w:p>
      <w:pPr>
        <w:spacing w:after="0" w:line="181"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This Annual Report does not include an attestation report of our independent registered public accounting firm regarding our internal control over financial reporting due to an exemption provided by the JOBS Act for “emerging growth companies.”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Rule 10b5-1 Trading Arrangements</w:t>
      </w:r>
    </w:p>
    <w:p>
      <w:pPr>
        <w:spacing w:after="0" w:line="181"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From time to time, our officers (as defined in Rule 16a–1(f)) and directors may enter into Rule 10b5-1 or non-Rule 10b5-1 trading arrangements (as each such term is defined in Item 408 of Regulation S-K). During the three months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ended December 31, 2024, our officers and directors took the following actions with respect to 10b5-1 trading arrangements: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4"/>
          </w:tcPr>
          <w:p>
            <w:pPr>
              <w:ind w:left="920"/>
              <w:spacing w:after="0"/>
              <w:rPr>
                <w:sz w:val="20"/>
                <w:szCs w:val="20"/>
                <w:color w:val="auto"/>
              </w:rPr>
            </w:pPr>
            <w:r>
              <w:rPr>
                <w:rFonts w:ascii="Times New Roman" w:cs="Times New Roman" w:eastAsia="Times New Roman" w:hAnsi="Times New Roman"/>
                <w:sz w:val="14"/>
                <w:szCs w:val="14"/>
                <w:color w:val="auto"/>
              </w:rPr>
              <w:t>Trading Arrangement</w:t>
            </w:r>
          </w:p>
        </w:tc>
        <w:tc>
          <w:tcPr>
            <w:tcW w:w="1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960" w:type="dxa"/>
            <w:vAlign w:val="bottom"/>
          </w:tcPr>
          <w:p>
            <w:pPr>
              <w:spacing w:after="0"/>
              <w:rPr>
                <w:sz w:val="9"/>
                <w:szCs w:val="9"/>
                <w:color w:val="auto"/>
              </w:rPr>
            </w:pPr>
          </w:p>
        </w:tc>
        <w:tc>
          <w:tcPr>
            <w:tcW w:w="1460" w:type="dxa"/>
            <w:vAlign w:val="bottom"/>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Action</w:t>
            </w:r>
          </w:p>
        </w:tc>
        <w:tc>
          <w:tcPr>
            <w:tcW w:w="1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560" w:type="dxa"/>
            <w:vAlign w:val="bottom"/>
            <w:tcBorders>
              <w:top w:val="single" w:sz="8" w:color="auto"/>
            </w:tcBorders>
            <w:gridSpan w:val="2"/>
          </w:tcPr>
          <w:p>
            <w:pPr>
              <w:jc w:val="center"/>
              <w:ind w:right="60"/>
              <w:spacing w:after="0" w:line="104" w:lineRule="exact"/>
              <w:rPr>
                <w:sz w:val="20"/>
                <w:szCs w:val="20"/>
                <w:color w:val="auto"/>
              </w:rPr>
            </w:pPr>
            <w:r>
              <w:rPr>
                <w:rFonts w:ascii="Times New Roman" w:cs="Times New Roman" w:eastAsia="Times New Roman" w:hAnsi="Times New Roman"/>
                <w:sz w:val="11"/>
                <w:szCs w:val="11"/>
                <w:b w:val="1"/>
                <w:bCs w:val="1"/>
                <w:color w:val="auto"/>
              </w:rPr>
              <w:t>Type of Trading</w:t>
            </w:r>
          </w:p>
        </w:tc>
        <w:tc>
          <w:tcPr>
            <w:tcW w:w="1500" w:type="dxa"/>
            <w:vAlign w:val="bottom"/>
            <w:tcBorders>
              <w:top w:val="single" w:sz="8" w:color="auto"/>
            </w:tcBorders>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w w:val="99"/>
              </w:rPr>
              <w:t>Nature of Trading</w:t>
            </w:r>
          </w:p>
        </w:tc>
        <w:tc>
          <w:tcPr>
            <w:tcW w:w="80" w:type="dxa"/>
            <w:vAlign w:val="bottom"/>
          </w:tcPr>
          <w:p>
            <w:pPr>
              <w:spacing w:after="0"/>
              <w:rPr>
                <w:sz w:val="9"/>
                <w:szCs w:val="9"/>
                <w:color w:val="auto"/>
              </w:rPr>
            </w:pPr>
          </w:p>
        </w:tc>
        <w:tc>
          <w:tcPr>
            <w:tcW w:w="1600" w:type="dxa"/>
            <w:vAlign w:val="bottom"/>
            <w:vMerge w:val="restart"/>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Total Shares to be Sold</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Expiration Date</w:t>
            </w:r>
          </w:p>
        </w:tc>
        <w:tc>
          <w:tcPr>
            <w:tcW w:w="0" w:type="dxa"/>
            <w:vAlign w:val="bottom"/>
          </w:tcPr>
          <w:p>
            <w:pPr>
              <w:spacing w:after="0"/>
              <w:rPr>
                <w:sz w:val="1"/>
                <w:szCs w:val="1"/>
                <w:color w:val="auto"/>
              </w:rPr>
            </w:pPr>
          </w:p>
        </w:tc>
      </w:tr>
      <w:tr>
        <w:trPr>
          <w:trHeight w:val="75"/>
        </w:trPr>
        <w:tc>
          <w:tcPr>
            <w:tcW w:w="196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Arrangement</w:t>
            </w:r>
          </w:p>
        </w:tc>
        <w:tc>
          <w:tcPr>
            <w:tcW w:w="80" w:type="dxa"/>
            <w:vAlign w:val="bottom"/>
            <w:vMerge w:val="restart"/>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Arrangement</w:t>
            </w:r>
          </w:p>
        </w:tc>
        <w:tc>
          <w:tcPr>
            <w:tcW w:w="80" w:type="dxa"/>
            <w:vAlign w:val="bottom"/>
            <w:vMerge w:val="restart"/>
          </w:tcPr>
          <w:p>
            <w:pPr>
              <w:spacing w:after="0"/>
              <w:rPr>
                <w:sz w:val="6"/>
                <w:szCs w:val="6"/>
                <w:color w:val="auto"/>
              </w:rPr>
            </w:pPr>
          </w:p>
        </w:tc>
        <w:tc>
          <w:tcPr>
            <w:tcW w:w="16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96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9"/>
              </w:rPr>
              <w:t>Trading plan intended to</w:t>
            </w: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Sale of the Company's</w:t>
            </w:r>
          </w:p>
        </w:tc>
        <w:tc>
          <w:tcPr>
            <w:tcW w:w="1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Natarajan Sethuraman (President</w:t>
            </w:r>
          </w:p>
        </w:tc>
        <w:tc>
          <w:tcPr>
            <w:tcW w:w="14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Adopt</w:t>
            </w:r>
          </w:p>
        </w:tc>
        <w:tc>
          <w:tcPr>
            <w:tcW w:w="15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color w:val="auto"/>
              </w:rPr>
              <w:t>11/18/2024</w:t>
            </w:r>
          </w:p>
        </w:tc>
        <w:tc>
          <w:tcPr>
            <w:tcW w:w="80" w:type="dxa"/>
            <w:vAlign w:val="bottom"/>
          </w:tcPr>
          <w:p>
            <w:pPr>
              <w:spacing w:after="0"/>
              <w:rPr>
                <w:sz w:val="13"/>
                <w:szCs w:val="13"/>
                <w:color w:val="auto"/>
              </w:rPr>
            </w:pPr>
          </w:p>
        </w:tc>
        <w:tc>
          <w:tcPr>
            <w:tcW w:w="156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rPr>
              <w:t>satisfy the affirmative</w:t>
            </w:r>
          </w:p>
        </w:tc>
        <w:tc>
          <w:tcPr>
            <w:tcW w:w="1580" w:type="dxa"/>
            <w:vAlign w:val="bottom"/>
            <w:gridSpan w:val="2"/>
            <w:vMerge w:val="continue"/>
          </w:tcPr>
          <w:p>
            <w:pPr>
              <w:spacing w:after="0"/>
              <w:rPr>
                <w:sz w:val="13"/>
                <w:szCs w:val="13"/>
                <w:color w:val="auto"/>
              </w:rPr>
            </w:pPr>
          </w:p>
        </w:tc>
        <w:tc>
          <w:tcPr>
            <w:tcW w:w="1600" w:type="dxa"/>
            <w:vAlign w:val="bottom"/>
            <w:vMerge w:val="restart"/>
          </w:tcPr>
          <w:p>
            <w:pPr>
              <w:jc w:val="center"/>
              <w:ind w:right="476"/>
              <w:spacing w:after="0"/>
              <w:rPr>
                <w:sz w:val="20"/>
                <w:szCs w:val="20"/>
                <w:color w:val="auto"/>
              </w:rPr>
            </w:pPr>
            <w:r>
              <w:rPr>
                <w:rFonts w:ascii="Times New Roman" w:cs="Times New Roman" w:eastAsia="Times New Roman" w:hAnsi="Times New Roman"/>
                <w:sz w:val="14"/>
                <w:szCs w:val="14"/>
                <w:color w:val="auto"/>
              </w:rPr>
              <w:t xml:space="preserve">115,834 </w:t>
            </w:r>
            <w:r>
              <w:rPr>
                <w:rFonts w:ascii="Times New Roman" w:cs="Times New Roman" w:eastAsia="Times New Roman" w:hAnsi="Times New Roman"/>
                <w:sz w:val="18"/>
                <w:szCs w:val="18"/>
                <w:color w:val="auto"/>
                <w:vertAlign w:val="superscript"/>
              </w:rPr>
              <w:t>(1)</w:t>
            </w:r>
          </w:p>
        </w:tc>
        <w:tc>
          <w:tcPr>
            <w:tcW w:w="144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color w:val="auto"/>
              </w:rPr>
              <w:t>6/15/2026</w:t>
            </w:r>
          </w:p>
        </w:tc>
        <w:tc>
          <w:tcPr>
            <w:tcW w:w="0" w:type="dxa"/>
            <w:vAlign w:val="bottom"/>
          </w:tcPr>
          <w:p>
            <w:pPr>
              <w:spacing w:after="0"/>
              <w:rPr>
                <w:sz w:val="1"/>
                <w:szCs w:val="1"/>
                <w:color w:val="auto"/>
              </w:rPr>
            </w:pPr>
          </w:p>
        </w:tc>
      </w:tr>
      <w:tr>
        <w:trPr>
          <w:trHeight w:val="142"/>
        </w:trPr>
        <w:tc>
          <w:tcPr>
            <w:tcW w:w="19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color w:val="auto"/>
              </w:rPr>
              <w:t>defense conditions of</w:t>
            </w:r>
          </w:p>
        </w:tc>
        <w:tc>
          <w:tcPr>
            <w:tcW w:w="15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common stock pursuant</w:t>
            </w:r>
          </w:p>
        </w:tc>
        <w:tc>
          <w:tcPr>
            <w:tcW w:w="160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of Research and Development)</w:t>
            </w:r>
          </w:p>
        </w:tc>
        <w:tc>
          <w:tcPr>
            <w:tcW w:w="1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Securities Exchange Act</w:t>
            </w: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to the terms of the plan</w:t>
            </w:r>
          </w:p>
        </w:tc>
        <w:tc>
          <w:tcPr>
            <w:tcW w:w="16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1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-431165</wp:posOffset>
            </wp:positionV>
            <wp:extent cx="7161530" cy="545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545465"/>
                    </a:xfrm>
                    <a:prstGeom prst="rect">
                      <a:avLst/>
                    </a:prstGeom>
                    <a:noFill/>
                  </pic:spPr>
                </pic:pic>
              </a:graphicData>
            </a:graphic>
          </wp:anchor>
        </w:drawing>
      </w:r>
    </w:p>
    <w:p>
      <w:pPr>
        <w:jc w:val="center"/>
        <w:ind w:left="400"/>
        <w:spacing w:after="0"/>
        <w:rPr>
          <w:sz w:val="20"/>
          <w:szCs w:val="20"/>
          <w:color w:val="auto"/>
        </w:rPr>
      </w:pPr>
      <w:r>
        <w:rPr>
          <w:rFonts w:ascii="Times New Roman" w:cs="Times New Roman" w:eastAsia="Times New Roman" w:hAnsi="Times New Roman"/>
          <w:sz w:val="14"/>
          <w:szCs w:val="14"/>
          <w:color w:val="auto"/>
        </w:rPr>
        <w:t>Rule 10b5-1(c)</w:t>
      </w:r>
    </w:p>
    <w:p>
      <w:pPr>
        <w:spacing w:after="0" w:line="245" w:lineRule="exact"/>
        <w:rPr>
          <w:sz w:val="20"/>
          <w:szCs w:val="20"/>
          <w:color w:val="auto"/>
        </w:rPr>
      </w:pPr>
    </w:p>
    <w:p>
      <w:pPr>
        <w:ind w:left="260" w:right="20" w:hanging="255"/>
        <w:spacing w:after="0" w:line="300" w:lineRule="auto"/>
        <w:tabs>
          <w:tab w:leader="none" w:pos="254" w:val="left"/>
        </w:tabs>
        <w:numPr>
          <w:ilvl w:val="0"/>
          <w:numId w:val="6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purposes of this disclosure, the shares included in this table reflect the aggregate maximum number of shares that may be sold under the 10b5-1 trading arrangement. The 10b5-1 trading arrangement covers RSUs and shares held by the officer. The actual number of shares that may be sold under the 10b5-1 trading arrangement will be calculated as RSU vesting to satisfy tax withholding obligations pursuant to the Company’s non-discretionary sell-to-cover requirement occurs.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10 will be included in our definitive proxy statement relating to our 2025 Annual Meeting of Stockholders, which we will file with the SEC within 120 days of the end of the fiscal year, and is incorporated herein by reference.</w:t>
      </w:r>
    </w:p>
    <w:p>
      <w:pPr>
        <w:spacing w:after="0" w:line="124"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We have adopted a Code of Business Conduct that applies to all officers, directors and employees in connection with their work for us. The full text of our Code of Business Conduct is posted on the investor relations page of our website at https://ir.entradatx.com/corporate-governance.</w:t>
      </w:r>
    </w:p>
    <w:p>
      <w:pPr>
        <w:spacing w:after="0" w:line="145"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We intend to satisfy any disclosure requirements under Item 5.05 of Form 8-K regarding an amendment to, or waiver from, a provision of this Code of Business Conduct by posting such information on our website, at the Internet address and location specified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11 will be included in our definitive proxy statement relating to our 2025 Annual Meeting of Stockholders, which we will file with the SEC within 120 days of the end of the fiscal year,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12 will be included in our definitive proxy statement relating to our 2025 Annual Meeting of Stockholders, which we will file with the SEC within 120 days of the end of the fiscal year,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13 will be included in our definitive proxy statement relating to our 2025 Annual Meeting of Stockholders, which we will file with the SEC within 120 days of the end of the fiscal year, and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14 will be included in our definitive proxy statement relating to our 2025 Annual Meeting of Stockholders, which we will file with the SEC within 120 days of the end of the fiscal year,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79" w:lineRule="exact"/>
        <w:rPr>
          <w:sz w:val="20"/>
          <w:szCs w:val="20"/>
          <w:color w:val="auto"/>
        </w:rPr>
      </w:pPr>
    </w:p>
    <w:p>
      <w:pPr>
        <w:ind w:left="1020" w:hanging="506"/>
        <w:spacing w:after="0"/>
        <w:tabs>
          <w:tab w:leader="none" w:pos="1020" w:val="left"/>
        </w:tabs>
        <w:numPr>
          <w:ilvl w:val="0"/>
          <w:numId w:val="67"/>
        </w:numPr>
        <w:rPr>
          <w:rFonts w:ascii="Times New Roman" w:cs="Times New Roman" w:eastAsia="Times New Roman" w:hAnsi="Times New Roman"/>
          <w:sz w:val="14"/>
          <w:szCs w:val="14"/>
          <w:b w:val="1"/>
          <w:bCs w:val="1"/>
          <w:color w:val="231F20"/>
        </w:rPr>
      </w:pPr>
      <w:r>
        <w:rPr>
          <w:rFonts w:ascii="Times New Roman" w:cs="Times New Roman" w:eastAsia="Times New Roman" w:hAnsi="Times New Roman"/>
          <w:sz w:val="14"/>
          <w:szCs w:val="14"/>
          <w:b w:val="1"/>
          <w:bCs w:val="1"/>
          <w:color w:val="auto"/>
        </w:rPr>
        <w:t>Ex</w:t>
      </w:r>
      <w:r>
        <w:rPr>
          <w:rFonts w:ascii="Times New Roman" w:cs="Times New Roman" w:eastAsia="Times New Roman" w:hAnsi="Times New Roman"/>
          <w:sz w:val="14"/>
          <w:szCs w:val="14"/>
          <w:b w:val="1"/>
          <w:bCs w:val="1"/>
          <w:color w:val="231F20"/>
        </w:rPr>
        <w:t>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Exhibit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9"/>
        </w:trPr>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Number</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40" w:type="dxa"/>
            <w:vAlign w:val="bottom"/>
            <w:gridSpan w:val="14"/>
          </w:tcPr>
          <w:p>
            <w:pPr>
              <w:ind w:left="980"/>
              <w:spacing w:after="0"/>
              <w:rPr>
                <w:sz w:val="20"/>
                <w:szCs w:val="20"/>
                <w:color w:val="auto"/>
              </w:rPr>
            </w:pPr>
            <w:r>
              <w:rPr>
                <w:rFonts w:ascii="Times New Roman" w:cs="Times New Roman" w:eastAsia="Times New Roman" w:hAnsi="Times New Roman"/>
                <w:sz w:val="11"/>
                <w:szCs w:val="11"/>
                <w:color w:val="auto"/>
              </w:rPr>
              <w:t>Description</w:t>
            </w:r>
          </w:p>
        </w:tc>
      </w:tr>
      <w:tr>
        <w:trPr>
          <w:trHeight w:val="149"/>
        </w:trPr>
        <w:tc>
          <w:tcPr>
            <w:tcW w:w="158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2"/>
                <w:szCs w:val="12"/>
                <w:color w:val="auto"/>
              </w:rPr>
            </w:pPr>
          </w:p>
        </w:tc>
        <w:tc>
          <w:tcPr>
            <w:tcW w:w="9340" w:type="dxa"/>
            <w:vAlign w:val="bottom"/>
            <w:tcBorders>
              <w:bottom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Fourth Amended and Restated Certificate of Incorporation of the Registrant (incorporated by reference to Exhibit 3.1 to the Current Report on Form 8-K filed by the</w:t>
              </w:r>
            </w:hyperlink>
          </w:p>
        </w:tc>
        <w:tc>
          <w:tcPr>
            <w:tcW w:w="240" w:type="dxa"/>
            <w:vAlign w:val="bottom"/>
            <w:gridSpan w:val="6"/>
          </w:tcPr>
          <w:p>
            <w:pPr>
              <w:spacing w:after="0"/>
              <w:rPr>
                <w:sz w:val="12"/>
                <w:szCs w:val="12"/>
                <w:color w:val="auto"/>
              </w:rPr>
            </w:pPr>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80" w:type="dxa"/>
            <w:vAlign w:val="bottom"/>
            <w:gridSpan w:val="21"/>
          </w:tcPr>
          <w:p>
            <w:pPr>
              <w:spacing w:after="0" w:line="150" w:lineRule="exact"/>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Registrant on November 2, 2021).</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9"/>
                <w:szCs w:val="19"/>
                <w:color w:val="auto"/>
              </w:rPr>
            </w:pPr>
          </w:p>
        </w:tc>
        <w:tc>
          <w:tcPr>
            <w:tcW w:w="934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Certificate of Amendment to the Fourth Amended and Restated Certificate of Incorporation of the Registrant (incorporated by reference to Exhibit 3.1 to the Current</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9"/>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40" w:type="dxa"/>
            <w:vAlign w:val="bottom"/>
            <w:tcBorders>
              <w:bottom w:val="single" w:sz="8" w:color="0000FF"/>
            </w:tcBorders>
            <w:gridSpan w:val="7"/>
          </w:tcPr>
          <w:p>
            <w:pPr>
              <w:spacing w:after="0" w:line="129"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Report on Form 8-K filed by the Registrant on June 13, 2024).</w:t>
              </w:r>
            </w:hyperlink>
          </w:p>
        </w:tc>
        <w:tc>
          <w:tcPr>
            <w:tcW w:w="5800" w:type="dxa"/>
            <w:vAlign w:val="bottom"/>
            <w:gridSpan w:val="8"/>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4"/>
                <w:szCs w:val="14"/>
                <w:color w:val="auto"/>
              </w:rPr>
            </w:pPr>
          </w:p>
        </w:tc>
        <w:tc>
          <w:tcPr>
            <w:tcW w:w="9580" w:type="dxa"/>
            <w:vAlign w:val="bottom"/>
            <w:gridSpan w:val="21"/>
          </w:tcPr>
          <w:p>
            <w:pPr>
              <w:spacing w:after="0"/>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Amended and Restated Bylaws of the Registrant (incorporated by reference to Exhibit 3.2 to the Current Report on Form 8-K filed by the Registrant on November 2,</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580" w:type="dxa"/>
            <w:vAlign w:val="bottom"/>
          </w:tcPr>
          <w:p>
            <w:pPr>
              <w:spacing w:after="0"/>
              <w:rPr>
                <w:sz w:val="13"/>
                <w:szCs w:val="13"/>
                <w:color w:val="auto"/>
              </w:rPr>
            </w:pPr>
          </w:p>
        </w:tc>
        <w:tc>
          <w:tcPr>
            <w:tcW w:w="480" w:type="dxa"/>
            <w:vAlign w:val="bottom"/>
            <w:gridSpan w:val="2"/>
          </w:tcPr>
          <w:p>
            <w:pPr>
              <w:ind w:left="120"/>
              <w:spacing w:after="0" w:line="150" w:lineRule="exact"/>
              <w:rPr>
                <w:rFonts w:ascii="Times New Roman" w:cs="Times New Roman" w:eastAsia="Times New Roman" w:hAnsi="Times New Roman"/>
                <w:sz w:val="14"/>
                <w:szCs w:val="14"/>
                <w:color w:val="0000FF"/>
                <w:w w:val="93"/>
              </w:rPr>
            </w:pPr>
            <w:hyperlink r:id="rId198">
              <w:r>
                <w:rPr>
                  <w:rFonts w:ascii="Times New Roman" w:cs="Times New Roman" w:eastAsia="Times New Roman" w:hAnsi="Times New Roman"/>
                  <w:sz w:val="14"/>
                  <w:szCs w:val="14"/>
                  <w:color w:val="0000FF"/>
                  <w:w w:val="93"/>
                </w:rPr>
                <w:t>2021).</w:t>
              </w:r>
            </w:hyperlink>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0"/>
                <w:szCs w:val="20"/>
                <w:color w:val="auto"/>
              </w:rPr>
            </w:pPr>
          </w:p>
        </w:tc>
        <w:tc>
          <w:tcPr>
            <w:tcW w:w="946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Specimen Common Stock Certificate (incorporated by reference to Exhibit 4.1 to the Registration Statement on Form S-1 filed by the Registrant on October 25, 2021).</w:t>
              </w:r>
            </w:hyperlink>
          </w:p>
        </w:tc>
        <w:tc>
          <w:tcPr>
            <w:tcW w:w="120" w:type="dxa"/>
            <w:vAlign w:val="bottom"/>
            <w:gridSpan w:val="4"/>
          </w:tcPr>
          <w:p>
            <w:pPr>
              <w:spacing w:after="0"/>
              <w:rPr>
                <w:sz w:val="20"/>
                <w:szCs w:val="20"/>
                <w:color w:val="auto"/>
              </w:rPr>
            </w:pPr>
          </w:p>
        </w:tc>
      </w:tr>
      <w:tr>
        <w:trPr>
          <w:trHeight w:val="24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21"/>
                <w:szCs w:val="21"/>
                <w:color w:val="auto"/>
              </w:rPr>
            </w:pPr>
          </w:p>
        </w:tc>
        <w:tc>
          <w:tcPr>
            <w:tcW w:w="94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Amended and Restated Investors’ Rights Agreement among the Registrant and certain of its stockholders, effective as of March 29, 2021 (incorporated by reference to</w:t>
              </w:r>
            </w:hyperlink>
          </w:p>
        </w:tc>
        <w:tc>
          <w:tcPr>
            <w:tcW w:w="140" w:type="dxa"/>
            <w:vAlign w:val="bottom"/>
            <w:gridSpan w:val="5"/>
          </w:tcPr>
          <w:p>
            <w:pPr>
              <w:spacing w:after="0"/>
              <w:rPr>
                <w:sz w:val="21"/>
                <w:szCs w:val="21"/>
                <w:color w:val="auto"/>
              </w:rPr>
            </w:pPr>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80" w:type="dxa"/>
            <w:vAlign w:val="bottom"/>
            <w:gridSpan w:val="21"/>
          </w:tcPr>
          <w:p>
            <w:pPr>
              <w:spacing w:after="0" w:line="150"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Exhibit 4.2 to the Registration Statement on Form S-1 filed by the Registrant on October 8, 2021).</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9"/>
                <w:szCs w:val="19"/>
                <w:color w:val="auto"/>
              </w:rPr>
            </w:pPr>
          </w:p>
        </w:tc>
        <w:tc>
          <w:tcPr>
            <w:tcW w:w="9580" w:type="dxa"/>
            <w:vAlign w:val="bottom"/>
            <w:gridSpan w:val="21"/>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Description of Securities of the Registrant (incorporated by reference to Exhibit 4.3 to the Annual Report on Form 10-K filed by the Registrant on March 15, 2022).</w:t>
              </w:r>
            </w:hyperlink>
          </w:p>
        </w:tc>
      </w:tr>
      <w:tr>
        <w:trPr>
          <w:trHeight w:val="24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21"/>
                <w:szCs w:val="21"/>
                <w:color w:val="auto"/>
              </w:rPr>
            </w:pPr>
          </w:p>
        </w:tc>
        <w:tc>
          <w:tcPr>
            <w:tcW w:w="838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Form of Pre-Funded Warrant (incorporated by reference to Exhibit 4.1 to the Current Report on Form 8-K filed by the Registrant on June 24, 2024).</w:t>
              </w:r>
            </w:hyperlink>
          </w:p>
        </w:tc>
        <w:tc>
          <w:tcPr>
            <w:tcW w:w="900" w:type="dxa"/>
            <w:vAlign w:val="bottom"/>
            <w:tcBorders>
              <w:top w:val="single" w:sz="8" w:color="0000FF"/>
            </w:tcBorders>
            <w:gridSpan w:val="2"/>
          </w:tcPr>
          <w:p>
            <w:pPr>
              <w:spacing w:after="0"/>
              <w:rPr>
                <w:sz w:val="21"/>
                <w:szCs w:val="21"/>
                <w:color w:val="auto"/>
              </w:rPr>
            </w:pPr>
          </w:p>
        </w:tc>
        <w:tc>
          <w:tcPr>
            <w:tcW w:w="300" w:type="dxa"/>
            <w:vAlign w:val="bottom"/>
            <w:gridSpan w:val="7"/>
          </w:tcPr>
          <w:p>
            <w:pPr>
              <w:spacing w:after="0"/>
              <w:rPr>
                <w:sz w:val="21"/>
                <w:szCs w:val="21"/>
                <w:color w:val="auto"/>
              </w:rPr>
            </w:pPr>
          </w:p>
        </w:tc>
      </w:tr>
      <w:tr>
        <w:trPr>
          <w:trHeight w:val="160"/>
        </w:trPr>
        <w:tc>
          <w:tcPr>
            <w:tcW w:w="1580" w:type="dxa"/>
            <w:vAlign w:val="bottom"/>
          </w:tcPr>
          <w:p>
            <w:pPr>
              <w:ind w:left="20"/>
              <w:spacing w:after="0" w:line="150" w:lineRule="exact"/>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3"/>
                <w:szCs w:val="13"/>
                <w:color w:val="auto"/>
              </w:rPr>
            </w:pPr>
          </w:p>
        </w:tc>
        <w:tc>
          <w:tcPr>
            <w:tcW w:w="9580" w:type="dxa"/>
            <w:vAlign w:val="bottom"/>
            <w:gridSpan w:val="21"/>
          </w:tcPr>
          <w:p>
            <w:pPr>
              <w:spacing w:after="0" w:line="150"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2016 Stock Incentive Plan, and forms of award agreements thereunder (incorporated by reference to Exhibit 10.1 to the Registration Statement on Form S-1, as amended</w:t>
              </w:r>
            </w:hyperlink>
          </w:p>
        </w:tc>
      </w:tr>
      <w:tr>
        <w:trPr>
          <w:trHeight w:val="129"/>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203">
              <w:r>
                <w:rPr>
                  <w:rFonts w:ascii="Times New Roman" w:cs="Times New Roman" w:eastAsia="Times New Roman" w:hAnsi="Times New Roman"/>
                  <w:sz w:val="14"/>
                  <w:szCs w:val="14"/>
                  <w:color w:val="0000FF"/>
                </w:rPr>
                <w:t>filed by the Registrant on October 25, 2021).</w:t>
              </w:r>
            </w:hyperlink>
          </w:p>
        </w:tc>
        <w:tc>
          <w:tcPr>
            <w:tcW w:w="702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14"/>
                <w:szCs w:val="14"/>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2021 Stock Option and Incentive Plan and form of award agreements thereunder.</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1"/>
                <w:szCs w:val="21"/>
                <w:color w:val="auto"/>
              </w:rPr>
            </w:pPr>
          </w:p>
        </w:tc>
        <w:tc>
          <w:tcPr>
            <w:tcW w:w="954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2021 Employee Stock Purchase Plan (incorporated by reference to Exhibit 10.3 to the Registration Statement on Form S-1 filed by the Registrant on October 25, 2021).</w:t>
              </w:r>
            </w:hyperlink>
          </w:p>
        </w:tc>
        <w:tc>
          <w:tcPr>
            <w:tcW w:w="40" w:type="dxa"/>
            <w:vAlign w:val="bottom"/>
            <w:gridSpan w:val="2"/>
          </w:tcPr>
          <w:p>
            <w:pPr>
              <w:spacing w:after="0"/>
              <w:rPr>
                <w:sz w:val="21"/>
                <w:szCs w:val="21"/>
                <w:color w:val="auto"/>
              </w:rPr>
            </w:pPr>
          </w:p>
        </w:tc>
      </w:tr>
      <w:tr>
        <w:trPr>
          <w:trHeight w:val="24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1"/>
                <w:szCs w:val="21"/>
                <w:color w:val="auto"/>
              </w:rPr>
            </w:pPr>
          </w:p>
        </w:tc>
        <w:tc>
          <w:tcPr>
            <w:tcW w:w="9580" w:type="dxa"/>
            <w:vAlign w:val="bottom"/>
            <w:gridSpan w:val="21"/>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Form of Indemnification Agreement between the Registrant and each of its directors (incorporated by reference to Exhibit 10.4 to the Registration Statement on Form S-</w:t>
              </w:r>
            </w:hyperlink>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40" w:type="dxa"/>
            <w:vAlign w:val="bottom"/>
            <w:tcBorders>
              <w:top w:val="single" w:sz="8" w:color="0000FF"/>
            </w:tcBorders>
            <w:gridSpan w:val="19"/>
          </w:tcPr>
          <w:p>
            <w:pPr>
              <w:spacing w:after="0" w:line="150" w:lineRule="exact"/>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1 filed by the Registrant on October 25, 2021).</w:t>
              </w:r>
            </w:hyperlink>
          </w:p>
        </w:tc>
        <w:tc>
          <w:tcPr>
            <w:tcW w:w="40" w:type="dxa"/>
            <w:vAlign w:val="bottom"/>
            <w:gridSpan w:val="2"/>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0"/>
                <w:szCs w:val="20"/>
                <w:color w:val="auto"/>
              </w:rPr>
            </w:pPr>
          </w:p>
        </w:tc>
        <w:tc>
          <w:tcPr>
            <w:tcW w:w="958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Form of Indemnification Agreement between the Registrant and each of its executive officers (incorporated by reference to Exhibit 10.5 to the Registration Statement on</w:t>
              </w:r>
            </w:hyperlink>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580" w:type="dxa"/>
            <w:vAlign w:val="bottom"/>
            <w:gridSpan w:val="21"/>
          </w:tcPr>
          <w:p>
            <w:pPr>
              <w:spacing w:after="0" w:line="150"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Form S-1 filed by the Registrant on October 25, 2021).</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0"/>
                <w:szCs w:val="20"/>
                <w:color w:val="auto"/>
              </w:rPr>
            </w:pPr>
          </w:p>
        </w:tc>
        <w:tc>
          <w:tcPr>
            <w:tcW w:w="9580" w:type="dxa"/>
            <w:vAlign w:val="bottom"/>
            <w:gridSpan w:val="21"/>
          </w:tcPr>
          <w:p>
            <w:pPr>
              <w:spacing w:after="0"/>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Senior Executive Cash Incentive Bonus Plan (incorporated by reference to Exhibit 10.6 to the Registration Statement on Form S-1 filed by the Registrant on October 25,</w:t>
              </w:r>
            </w:hyperlink>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580" w:type="dxa"/>
            <w:vAlign w:val="bottom"/>
          </w:tcPr>
          <w:p>
            <w:pPr>
              <w:spacing w:after="0"/>
              <w:rPr>
                <w:sz w:val="13"/>
                <w:szCs w:val="13"/>
                <w:color w:val="auto"/>
              </w:rPr>
            </w:pPr>
          </w:p>
        </w:tc>
        <w:tc>
          <w:tcPr>
            <w:tcW w:w="480" w:type="dxa"/>
            <w:vAlign w:val="bottom"/>
            <w:gridSpan w:val="2"/>
          </w:tcPr>
          <w:p>
            <w:pPr>
              <w:ind w:left="120"/>
              <w:spacing w:after="0" w:line="150" w:lineRule="exact"/>
              <w:rPr>
                <w:rFonts w:ascii="Times New Roman" w:cs="Times New Roman" w:eastAsia="Times New Roman" w:hAnsi="Times New Roman"/>
                <w:sz w:val="14"/>
                <w:szCs w:val="14"/>
                <w:color w:val="0000FF"/>
                <w:w w:val="93"/>
              </w:rPr>
            </w:pPr>
            <w:hyperlink r:id="rId207">
              <w:r>
                <w:rPr>
                  <w:rFonts w:ascii="Times New Roman" w:cs="Times New Roman" w:eastAsia="Times New Roman" w:hAnsi="Times New Roman"/>
                  <w:sz w:val="14"/>
                  <w:szCs w:val="14"/>
                  <w:color w:val="0000FF"/>
                  <w:w w:val="93"/>
                </w:rPr>
                <w:t>2021).</w:t>
              </w:r>
            </w:hyperlink>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0"/>
                <w:szCs w:val="20"/>
                <w:color w:val="auto"/>
              </w:rPr>
            </w:pPr>
          </w:p>
        </w:tc>
        <w:tc>
          <w:tcPr>
            <w:tcW w:w="954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208">
              <w:r>
                <w:rPr>
                  <w:rFonts w:ascii="Times New Roman" w:cs="Times New Roman" w:eastAsia="Times New Roman" w:hAnsi="Times New Roman"/>
                  <w:sz w:val="14"/>
                  <w:szCs w:val="14"/>
                  <w:color w:val="0000FF"/>
                </w:rPr>
                <w:t>Form of Executive Employment Agreement (incorporated by reference to Exhibit 10.7 to the Registration Statement on Form S-1 filed by the Registrant on October 25,</w:t>
              </w:r>
            </w:hyperlink>
          </w:p>
        </w:tc>
        <w:tc>
          <w:tcPr>
            <w:tcW w:w="40" w:type="dxa"/>
            <w:vAlign w:val="bottom"/>
            <w:gridSpan w:val="2"/>
          </w:tcPr>
          <w:p>
            <w:pPr>
              <w:spacing w:after="0"/>
              <w:rPr>
                <w:sz w:val="20"/>
                <w:szCs w:val="20"/>
                <w:color w:val="auto"/>
              </w:rPr>
            </w:pPr>
          </w:p>
        </w:tc>
      </w:tr>
      <w:tr>
        <w:trPr>
          <w:trHeight w:val="150"/>
        </w:trPr>
        <w:tc>
          <w:tcPr>
            <w:tcW w:w="1580" w:type="dxa"/>
            <w:vAlign w:val="bottom"/>
          </w:tcPr>
          <w:p>
            <w:pPr>
              <w:spacing w:after="0"/>
              <w:rPr>
                <w:sz w:val="13"/>
                <w:szCs w:val="13"/>
                <w:color w:val="auto"/>
              </w:rPr>
            </w:pPr>
          </w:p>
        </w:tc>
        <w:tc>
          <w:tcPr>
            <w:tcW w:w="480" w:type="dxa"/>
            <w:vAlign w:val="bottom"/>
            <w:gridSpan w:val="2"/>
          </w:tcPr>
          <w:p>
            <w:pPr>
              <w:ind w:left="120"/>
              <w:spacing w:after="0" w:line="150" w:lineRule="exact"/>
              <w:rPr>
                <w:rFonts w:ascii="Times New Roman" w:cs="Times New Roman" w:eastAsia="Times New Roman" w:hAnsi="Times New Roman"/>
                <w:sz w:val="14"/>
                <w:szCs w:val="14"/>
                <w:color w:val="0000FF"/>
                <w:w w:val="93"/>
              </w:rPr>
            </w:pPr>
            <w:hyperlink r:id="rId208">
              <w:r>
                <w:rPr>
                  <w:rFonts w:ascii="Times New Roman" w:cs="Times New Roman" w:eastAsia="Times New Roman" w:hAnsi="Times New Roman"/>
                  <w:sz w:val="14"/>
                  <w:szCs w:val="14"/>
                  <w:color w:val="0000FF"/>
                  <w:w w:val="93"/>
                </w:rPr>
                <w:t>2021).</w:t>
              </w:r>
            </w:hyperlink>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2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9"/>
                <w:szCs w:val="19"/>
                <w:color w:val="auto"/>
              </w:rPr>
            </w:pPr>
          </w:p>
        </w:tc>
        <w:tc>
          <w:tcPr>
            <w:tcW w:w="9580" w:type="dxa"/>
            <w:vAlign w:val="bottom"/>
            <w:gridSpan w:val="21"/>
          </w:tcPr>
          <w:p>
            <w:pPr>
              <w:spacing w:after="0"/>
              <w:rPr>
                <w:rFonts w:ascii="Times New Roman" w:cs="Times New Roman" w:eastAsia="Times New Roman" w:hAnsi="Times New Roman"/>
                <w:sz w:val="14"/>
                <w:szCs w:val="14"/>
                <w:color w:val="0000FF"/>
              </w:rPr>
            </w:pPr>
            <w:hyperlink r:id="rId209">
              <w:r>
                <w:rPr>
                  <w:rFonts w:ascii="Times New Roman" w:cs="Times New Roman" w:eastAsia="Times New Roman" w:hAnsi="Times New Roman"/>
                  <w:sz w:val="14"/>
                  <w:szCs w:val="14"/>
                  <w:color w:val="0000FF"/>
                </w:rPr>
                <w:t>Second Amended and Restated Non-Employee Director Compensation Policy (incorporated by reference to Exhibit 10.3 to the Quarterly Report on Form 10-Q filed by</w:t>
              </w:r>
            </w:hyperlink>
          </w:p>
        </w:tc>
      </w:tr>
      <w:tr>
        <w:trPr>
          <w:trHeight w:val="129"/>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w w:val="99"/>
              </w:rPr>
            </w:pPr>
            <w:hyperlink r:id="rId209">
              <w:r>
                <w:rPr>
                  <w:rFonts w:ascii="Times New Roman" w:cs="Times New Roman" w:eastAsia="Times New Roman" w:hAnsi="Times New Roman"/>
                  <w:sz w:val="14"/>
                  <w:szCs w:val="14"/>
                  <w:color w:val="0000FF"/>
                  <w:w w:val="99"/>
                </w:rPr>
                <w:t>the Registrant on August 13, 2024).</w:t>
              </w:r>
            </w:hyperlink>
          </w:p>
        </w:tc>
        <w:tc>
          <w:tcPr>
            <w:tcW w:w="7480" w:type="dxa"/>
            <w:vAlign w:val="bottom"/>
            <w:tcBorders>
              <w:top w:val="single" w:sz="8" w:color="0000FF"/>
            </w:tcBorders>
            <w:gridSpan w:val="15"/>
          </w:tcPr>
          <w:p>
            <w:pPr>
              <w:spacing w:after="0"/>
              <w:rPr>
                <w:sz w:val="11"/>
                <w:szCs w:val="11"/>
                <w:color w:val="auto"/>
              </w:rPr>
            </w:pPr>
          </w:p>
        </w:tc>
        <w:tc>
          <w:tcPr>
            <w:tcW w:w="80" w:type="dxa"/>
            <w:vAlign w:val="bottom"/>
            <w:gridSpan w:val="3"/>
          </w:tcPr>
          <w:p>
            <w:pPr>
              <w:spacing w:after="0"/>
              <w:rPr>
                <w:sz w:val="11"/>
                <w:szCs w:val="11"/>
                <w:color w:val="auto"/>
              </w:rPr>
            </w:pPr>
          </w:p>
        </w:tc>
      </w:tr>
      <w:tr>
        <w:trPr>
          <w:trHeight w:val="224"/>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9"/>
                <w:szCs w:val="19"/>
                <w:color w:val="auto"/>
              </w:rPr>
            </w:pPr>
          </w:p>
        </w:tc>
        <w:tc>
          <w:tcPr>
            <w:tcW w:w="9580" w:type="dxa"/>
            <w:vAlign w:val="bottom"/>
            <w:gridSpan w:val="21"/>
          </w:tcPr>
          <w:p>
            <w:pPr>
              <w:spacing w:after="0"/>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Amended and Restated Employment Agreement, by and between the Registrant and Dipal Doshi, effective as of November 2, 2021 (incorporated by reference to</w:t>
              </w:r>
            </w:hyperlink>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20" w:type="dxa"/>
            <w:vAlign w:val="bottom"/>
            <w:tcBorders>
              <w:top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210">
              <w:r>
                <w:rPr>
                  <w:rFonts w:ascii="Times New Roman" w:cs="Times New Roman" w:eastAsia="Times New Roman" w:hAnsi="Times New Roman"/>
                  <w:sz w:val="14"/>
                  <w:szCs w:val="14"/>
                  <w:color w:val="0000FF"/>
                </w:rPr>
                <w:t>Exhibit 10.9 to the Registration Statement on Form S-1 filed by the Registrant on October 25, 2021).</w:t>
              </w:r>
            </w:hyperlink>
          </w:p>
        </w:tc>
        <w:tc>
          <w:tcPr>
            <w:tcW w:w="460" w:type="dxa"/>
            <w:vAlign w:val="bottom"/>
            <w:gridSpan w:val="8"/>
          </w:tcPr>
          <w:p>
            <w:pPr>
              <w:spacing w:after="0"/>
              <w:rPr>
                <w:sz w:val="13"/>
                <w:szCs w:val="13"/>
                <w:color w:val="auto"/>
              </w:rPr>
            </w:pP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00" w:type="dxa"/>
            <w:vAlign w:val="bottom"/>
            <w:gridSpan w:val="10"/>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r>
      <w:tr>
        <w:trPr>
          <w:trHeight w:val="235"/>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20"/>
                <w:szCs w:val="20"/>
                <w:color w:val="auto"/>
              </w:rPr>
            </w:pPr>
          </w:p>
        </w:tc>
        <w:tc>
          <w:tcPr>
            <w:tcW w:w="9580" w:type="dxa"/>
            <w:vAlign w:val="bottom"/>
            <w:gridSpan w:val="21"/>
          </w:tcPr>
          <w:p>
            <w:pPr>
              <w:spacing w:after="0"/>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Amended and Restated Employment Agreement, by and between the Registrant and Natarajan Sethuraman, effective as of November 2, 2021 (incorporated by reference</w:t>
              </w:r>
            </w:hyperlink>
          </w:p>
        </w:tc>
      </w:tr>
      <w:tr>
        <w:trPr>
          <w:trHeight w:val="150"/>
        </w:trPr>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1"/>
          </w:tcPr>
          <w:p>
            <w:pPr>
              <w:spacing w:after="0" w:line="150" w:lineRule="exact"/>
              <w:rPr>
                <w:rFonts w:ascii="Times New Roman" w:cs="Times New Roman" w:eastAsia="Times New Roman" w:hAnsi="Times New Roman"/>
                <w:sz w:val="14"/>
                <w:szCs w:val="14"/>
                <w:color w:val="0000FF"/>
              </w:rPr>
            </w:pPr>
            <w:hyperlink r:id="rId211">
              <w:r>
                <w:rPr>
                  <w:rFonts w:ascii="Times New Roman" w:cs="Times New Roman" w:eastAsia="Times New Roman" w:hAnsi="Times New Roman"/>
                  <w:sz w:val="14"/>
                  <w:szCs w:val="14"/>
                  <w:color w:val="0000FF"/>
                </w:rPr>
                <w:t>to Exhibit 10.10 to the Registration Statement on Form S-1 filed by the Registrant on October 25, 2021).</w:t>
              </w:r>
            </w:hyperlink>
          </w:p>
        </w:tc>
        <w:tc>
          <w:tcPr>
            <w:tcW w:w="362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797"/>
        </w:trPr>
        <w:tc>
          <w:tcPr>
            <w:tcW w:w="1580" w:type="dxa"/>
            <w:vAlign w:val="bottom"/>
          </w:tcPr>
          <w:p>
            <w:pPr>
              <w:spacing w:after="0"/>
              <w:rPr>
                <w:sz w:val="24"/>
                <w:szCs w:val="24"/>
                <w:color w:val="auto"/>
              </w:rPr>
            </w:pPr>
          </w:p>
        </w:tc>
        <w:tc>
          <w:tcPr>
            <w:tcW w:w="4700" w:type="dxa"/>
            <w:vAlign w:val="bottom"/>
            <w:gridSpan w:val="9"/>
          </w:tcPr>
          <w:p>
            <w:pPr>
              <w:jc w:val="right"/>
              <w:ind w:right="463"/>
              <w:spacing w:after="0"/>
              <w:rPr>
                <w:sz w:val="20"/>
                <w:szCs w:val="20"/>
                <w:color w:val="auto"/>
              </w:rPr>
            </w:pPr>
            <w:r>
              <w:rPr>
                <w:rFonts w:ascii="Times New Roman" w:cs="Times New Roman" w:eastAsia="Times New Roman" w:hAnsi="Times New Roman"/>
                <w:sz w:val="14"/>
                <w:szCs w:val="14"/>
                <w:color w:val="auto"/>
              </w:rPr>
              <w:t>154</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15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5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4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7"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u w:val="single" w:color="auto"/>
          <w:color w:val="auto"/>
        </w:rPr>
        <w:t>Table of Contents</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10.11#</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10.12#</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10.13†</w:t>
      </w: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10.15**</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10.16†</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10.17†</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10.18**</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10.19</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19.1*</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21.1</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23.1*</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24.1*</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31.1*</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31.2*</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32.1*+</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97.1</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101.INS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101.SCH</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101.CAL</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101.DEF</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101.LAB</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101.PRE</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80"/>
        <w:spacing w:after="0" w:line="287" w:lineRule="auto"/>
        <w:rPr>
          <w:rFonts w:ascii="Times New Roman" w:cs="Times New Roman" w:eastAsia="Times New Roman" w:hAnsi="Times New Roman"/>
          <w:sz w:val="14"/>
          <w:szCs w:val="14"/>
          <w:u w:val="single" w:color="auto"/>
          <w:color w:val="0000FF"/>
        </w:rPr>
      </w:pPr>
      <w:hyperlink r:id="rId214">
        <w:r>
          <w:rPr>
            <w:rFonts w:ascii="Times New Roman" w:cs="Times New Roman" w:eastAsia="Times New Roman" w:hAnsi="Times New Roman"/>
            <w:sz w:val="14"/>
            <w:szCs w:val="14"/>
            <w:u w:val="single" w:color="auto"/>
            <w:color w:val="0000FF"/>
          </w:rPr>
          <w:t>Amended and Restated Employment Agreement, by and between the Registrant and Nathan Dowden, effective as of November 2, 2021 (incorporated by reference to</w:t>
        </w:r>
      </w:hyperlink>
      <w:r>
        <w:rPr>
          <w:rFonts w:ascii="Times New Roman" w:cs="Times New Roman" w:eastAsia="Times New Roman" w:hAnsi="Times New Roman"/>
          <w:sz w:val="14"/>
          <w:szCs w:val="14"/>
          <w:u w:val="single" w:color="auto"/>
          <w:color w:val="0000FF"/>
        </w:rPr>
        <w:t xml:space="preserve"> </w:t>
      </w:r>
      <w:hyperlink r:id="rId214">
        <w:r>
          <w:rPr>
            <w:rFonts w:ascii="Times New Roman" w:cs="Times New Roman" w:eastAsia="Times New Roman" w:hAnsi="Times New Roman"/>
            <w:sz w:val="14"/>
            <w:szCs w:val="14"/>
            <w:u w:val="single" w:color="auto"/>
            <w:color w:val="0000FF"/>
          </w:rPr>
          <w:t>Exhibit 10.11 to the Registration Statement on Form S-1 filed by the Registrant on October 25, 2021).</w:t>
        </w:r>
      </w:hyperlink>
    </w:p>
    <w:p>
      <w:pPr>
        <w:spacing w:after="0" w:line="39" w:lineRule="exact"/>
        <w:rPr>
          <w:sz w:val="20"/>
          <w:szCs w:val="20"/>
          <w:color w:val="auto"/>
        </w:rPr>
      </w:pPr>
    </w:p>
    <w:p>
      <w:pPr>
        <w:ind w:right="40"/>
        <w:spacing w:after="0" w:line="287" w:lineRule="auto"/>
        <w:rPr>
          <w:rFonts w:ascii="Times New Roman" w:cs="Times New Roman" w:eastAsia="Times New Roman" w:hAnsi="Times New Roman"/>
          <w:sz w:val="14"/>
          <w:szCs w:val="14"/>
          <w:u w:val="single" w:color="auto"/>
          <w:color w:val="0000FF"/>
        </w:rPr>
      </w:pPr>
      <w:hyperlink r:id="rId215">
        <w:r>
          <w:rPr>
            <w:rFonts w:ascii="Times New Roman" w:cs="Times New Roman" w:eastAsia="Times New Roman" w:hAnsi="Times New Roman"/>
            <w:sz w:val="14"/>
            <w:szCs w:val="14"/>
            <w:u w:val="single" w:color="auto"/>
            <w:color w:val="0000FF"/>
          </w:rPr>
          <w:t>Amended and Restated Strategic Advisory Agreement, by and between the Registrant and Peter S. Kim, effective as of November 2, 2021 (incorporated by reference to</w:t>
        </w:r>
      </w:hyperlink>
      <w:r>
        <w:rPr>
          <w:rFonts w:ascii="Times New Roman" w:cs="Times New Roman" w:eastAsia="Times New Roman" w:hAnsi="Times New Roman"/>
          <w:sz w:val="14"/>
          <w:szCs w:val="14"/>
          <w:u w:val="single" w:color="auto"/>
          <w:color w:val="0000FF"/>
        </w:rPr>
        <w:t xml:space="preserve"> </w:t>
      </w:r>
      <w:hyperlink r:id="rId215">
        <w:r>
          <w:rPr>
            <w:rFonts w:ascii="Times New Roman" w:cs="Times New Roman" w:eastAsia="Times New Roman" w:hAnsi="Times New Roman"/>
            <w:sz w:val="14"/>
            <w:szCs w:val="14"/>
            <w:u w:val="single" w:color="auto"/>
            <w:color w:val="0000FF"/>
          </w:rPr>
          <w:t>Exhibit 10.12 to the Registration Statement on Form S-1 filed by the Registrant on October 25, 2021).</w:t>
        </w:r>
      </w:hyperlink>
    </w:p>
    <w:p>
      <w:pPr>
        <w:spacing w:after="0" w:line="29"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216">
        <w:r>
          <w:rPr>
            <w:rFonts w:ascii="Times New Roman" w:cs="Times New Roman" w:eastAsia="Times New Roman" w:hAnsi="Times New Roman"/>
            <w:sz w:val="14"/>
            <w:szCs w:val="14"/>
            <w:u w:val="single" w:color="auto"/>
            <w:color w:val="0000FF"/>
          </w:rPr>
          <w:t>Exclusive License Agreement, by and between the Registrant and Ohio State Innovation Foundation, dated as of December 14, 2018, as amended by Amendment No. 1</w:t>
        </w:r>
      </w:hyperlink>
    </w:p>
    <w:p>
      <w:pPr>
        <w:spacing w:after="0" w:line="4" w:lineRule="exact"/>
        <w:rPr>
          <w:sz w:val="20"/>
          <w:szCs w:val="20"/>
          <w:color w:val="auto"/>
        </w:rPr>
      </w:pPr>
    </w:p>
    <w:p>
      <w:pPr>
        <w:ind w:right="420"/>
        <w:spacing w:after="0" w:line="228" w:lineRule="auto"/>
        <w:rPr>
          <w:rFonts w:ascii="Times New Roman" w:cs="Times New Roman" w:eastAsia="Times New Roman" w:hAnsi="Times New Roman"/>
          <w:sz w:val="14"/>
          <w:szCs w:val="14"/>
          <w:u w:val="single" w:color="auto"/>
          <w:color w:val="0000FF"/>
        </w:rPr>
      </w:pPr>
      <w:hyperlink r:id="rId216">
        <w:r>
          <w:rPr>
            <w:rFonts w:ascii="Times New Roman" w:cs="Times New Roman" w:eastAsia="Times New Roman" w:hAnsi="Times New Roman"/>
            <w:sz w:val="14"/>
            <w:szCs w:val="14"/>
            <w:u w:val="single" w:color="auto"/>
            <w:color w:val="0000FF"/>
          </w:rPr>
          <w:t>on October 8, 2019, Amendment No. 2 on March 9, 2020, Amendment No. 3 on July 6, 2021, Amendment No. 4 on February 7, 2022, and Amendment No. 5 on</w:t>
        </w:r>
      </w:hyperlink>
      <w:r>
        <w:rPr>
          <w:rFonts w:ascii="Times New Roman" w:cs="Times New Roman" w:eastAsia="Times New Roman" w:hAnsi="Times New Roman"/>
          <w:sz w:val="14"/>
          <w:szCs w:val="14"/>
          <w:u w:val="single" w:color="auto"/>
          <w:color w:val="0000FF"/>
        </w:rPr>
        <w:t xml:space="preserve"> </w:t>
      </w:r>
      <w:hyperlink r:id="rId216">
        <w:r>
          <w:rPr>
            <w:rFonts w:ascii="Times New Roman" w:cs="Times New Roman" w:eastAsia="Times New Roman" w:hAnsi="Times New Roman"/>
            <w:sz w:val="14"/>
            <w:szCs w:val="14"/>
            <w:u w:val="single" w:color="auto"/>
            <w:color w:val="0000FF"/>
          </w:rPr>
          <w:t>November 10, 2022 (incorporated by reference to Exhibit 10.13 to the Annual Report on Form 10-K filed by the Registrant on March 13, 2024).</w:t>
        </w:r>
      </w:hyperlink>
    </w:p>
    <w:p>
      <w:pPr>
        <w:spacing w:after="0" w:line="49" w:lineRule="exact"/>
        <w:rPr>
          <w:sz w:val="20"/>
          <w:szCs w:val="20"/>
          <w:color w:val="auto"/>
        </w:rPr>
      </w:pPr>
    </w:p>
    <w:p>
      <w:pPr>
        <w:ind w:right="240"/>
        <w:spacing w:after="0" w:line="255" w:lineRule="auto"/>
        <w:rPr>
          <w:rFonts w:ascii="Times New Roman" w:cs="Times New Roman" w:eastAsia="Times New Roman" w:hAnsi="Times New Roman"/>
          <w:sz w:val="14"/>
          <w:szCs w:val="14"/>
          <w:u w:val="single" w:color="auto"/>
          <w:color w:val="0000FF"/>
        </w:rPr>
      </w:pPr>
      <w:hyperlink r:id="rId217">
        <w:r>
          <w:rPr>
            <w:rFonts w:ascii="Times New Roman" w:cs="Times New Roman" w:eastAsia="Times New Roman" w:hAnsi="Times New Roman"/>
            <w:sz w:val="14"/>
            <w:szCs w:val="14"/>
            <w:u w:val="single" w:color="auto"/>
            <w:color w:val="0000FF"/>
          </w:rPr>
          <w:t>Lease Agreement, dated March 16, 2022, by and between the Registrant and IDB 17-19 Drydock Limited Partnership, as amended by Amendment No. 1 on April 5,</w:t>
        </w:r>
      </w:hyperlink>
      <w:r>
        <w:rPr>
          <w:rFonts w:ascii="Times New Roman" w:cs="Times New Roman" w:eastAsia="Times New Roman" w:hAnsi="Times New Roman"/>
          <w:sz w:val="14"/>
          <w:szCs w:val="14"/>
          <w:u w:val="single" w:color="auto"/>
          <w:color w:val="0000FF"/>
        </w:rPr>
        <w:t xml:space="preserve"> </w:t>
      </w:r>
      <w:hyperlink r:id="rId217">
        <w:r>
          <w:rPr>
            <w:rFonts w:ascii="Times New Roman" w:cs="Times New Roman" w:eastAsia="Times New Roman" w:hAnsi="Times New Roman"/>
            <w:sz w:val="14"/>
            <w:szCs w:val="14"/>
            <w:u w:val="single" w:color="auto"/>
            <w:color w:val="0000FF"/>
          </w:rPr>
          <w:t>2023 (incorporated by reference to Exhibit 10.14 to the Annual Report on Form 10-K filed by the Registrant on March 13, 2024).</w:t>
        </w:r>
      </w:hyperlink>
    </w:p>
    <w:p>
      <w:pPr>
        <w:spacing w:after="0" w:line="40" w:lineRule="exact"/>
        <w:rPr>
          <w:sz w:val="20"/>
          <w:szCs w:val="20"/>
          <w:color w:val="auto"/>
        </w:rPr>
      </w:pPr>
    </w:p>
    <w:p>
      <w:pPr>
        <w:spacing w:after="0" w:line="247" w:lineRule="auto"/>
        <w:rPr>
          <w:rFonts w:ascii="Times New Roman" w:cs="Times New Roman" w:eastAsia="Times New Roman" w:hAnsi="Times New Roman"/>
          <w:sz w:val="14"/>
          <w:szCs w:val="14"/>
          <w:u w:val="single" w:color="auto"/>
          <w:color w:val="0000FF"/>
        </w:rPr>
      </w:pPr>
      <w:hyperlink r:id="rId218">
        <w:r>
          <w:rPr>
            <w:rFonts w:ascii="Times New Roman" w:cs="Times New Roman" w:eastAsia="Times New Roman" w:hAnsi="Times New Roman"/>
            <w:sz w:val="14"/>
            <w:szCs w:val="14"/>
            <w:u w:val="single" w:color="auto"/>
            <w:color w:val="0000FF"/>
          </w:rPr>
          <w:t>Stock Purchase Agreement, dated December 7, 2022, by and between the Registrant and Vertex Pharmaceuticals Incorporated (incorporated by reference to Exhibit 10.1</w:t>
        </w:r>
      </w:hyperlink>
      <w:r>
        <w:rPr>
          <w:rFonts w:ascii="Times New Roman" w:cs="Times New Roman" w:eastAsia="Times New Roman" w:hAnsi="Times New Roman"/>
          <w:sz w:val="14"/>
          <w:szCs w:val="14"/>
          <w:u w:val="single" w:color="auto"/>
          <w:color w:val="0000FF"/>
        </w:rPr>
        <w:t xml:space="preserve"> </w:t>
      </w:r>
      <w:hyperlink r:id="rId218">
        <w:r>
          <w:rPr>
            <w:rFonts w:ascii="Times New Roman" w:cs="Times New Roman" w:eastAsia="Times New Roman" w:hAnsi="Times New Roman"/>
            <w:sz w:val="14"/>
            <w:szCs w:val="14"/>
            <w:u w:val="single" w:color="auto"/>
            <w:color w:val="0000FF"/>
          </w:rPr>
          <w:t>to the Current Report on Form 8-K filed by the Registrant on December 8, 2022).</w:t>
        </w:r>
      </w:hyperlink>
    </w:p>
    <w:p>
      <w:pPr>
        <w:spacing w:after="0" w:line="1" w:lineRule="exact"/>
        <w:rPr>
          <w:sz w:val="20"/>
          <w:szCs w:val="20"/>
          <w:color w:val="auto"/>
        </w:rPr>
      </w:pPr>
    </w:p>
    <w:p>
      <w:pPr>
        <w:ind w:right="260"/>
        <w:spacing w:after="0" w:line="250" w:lineRule="auto"/>
        <w:rPr>
          <w:rFonts w:ascii="Times New Roman" w:cs="Times New Roman" w:eastAsia="Times New Roman" w:hAnsi="Times New Roman"/>
          <w:sz w:val="14"/>
          <w:szCs w:val="14"/>
          <w:u w:val="single" w:color="auto"/>
          <w:color w:val="0000FF"/>
        </w:rPr>
      </w:pPr>
      <w:hyperlink r:id="rId219">
        <w:r>
          <w:rPr>
            <w:rFonts w:ascii="Times New Roman" w:cs="Times New Roman" w:eastAsia="Times New Roman" w:hAnsi="Times New Roman"/>
            <w:sz w:val="14"/>
            <w:szCs w:val="14"/>
            <w:u w:val="single" w:color="auto"/>
            <w:color w:val="0000FF"/>
          </w:rPr>
          <w:t>Strategic Collaboration and License Agreement, dated December 7, 2022, by and between the Registrant and Vertex Pharmaceuticals Incorporated, as amended by</w:t>
        </w:r>
      </w:hyperlink>
      <w:r>
        <w:rPr>
          <w:rFonts w:ascii="Times New Roman" w:cs="Times New Roman" w:eastAsia="Times New Roman" w:hAnsi="Times New Roman"/>
          <w:sz w:val="14"/>
          <w:szCs w:val="14"/>
          <w:u w:val="single" w:color="auto"/>
          <w:color w:val="0000FF"/>
        </w:rPr>
        <w:t xml:space="preserve"> </w:t>
      </w:r>
      <w:hyperlink r:id="rId219">
        <w:r>
          <w:rPr>
            <w:rFonts w:ascii="Times New Roman" w:cs="Times New Roman" w:eastAsia="Times New Roman" w:hAnsi="Times New Roman"/>
            <w:sz w:val="14"/>
            <w:szCs w:val="14"/>
            <w:u w:val="single" w:color="auto"/>
            <w:color w:val="0000FF"/>
          </w:rPr>
          <w:t>Amendment No. 1 on October 26, 2023 (incorporated by reference to Exhibit 10.16 to the Annual Report on Form 10-K filed by the Registrant on March 13, 2024).</w:t>
        </w:r>
      </w:hyperlink>
    </w:p>
    <w:p>
      <w:pPr>
        <w:spacing w:after="0" w:line="43" w:lineRule="exact"/>
        <w:rPr>
          <w:sz w:val="20"/>
          <w:szCs w:val="20"/>
          <w:color w:val="auto"/>
        </w:rPr>
      </w:pPr>
    </w:p>
    <w:p>
      <w:pPr>
        <w:ind w:right="40"/>
        <w:spacing w:after="0" w:line="255" w:lineRule="auto"/>
        <w:rPr>
          <w:rFonts w:ascii="Times New Roman" w:cs="Times New Roman" w:eastAsia="Times New Roman" w:hAnsi="Times New Roman"/>
          <w:sz w:val="14"/>
          <w:szCs w:val="14"/>
          <w:u w:val="single" w:color="auto"/>
          <w:color w:val="0000FF"/>
        </w:rPr>
      </w:pPr>
      <w:hyperlink r:id="rId220">
        <w:r>
          <w:rPr>
            <w:rFonts w:ascii="Times New Roman" w:cs="Times New Roman" w:eastAsia="Times New Roman" w:hAnsi="Times New Roman"/>
            <w:sz w:val="14"/>
            <w:szCs w:val="14"/>
            <w:u w:val="single" w:color="auto"/>
            <w:color w:val="0000FF"/>
          </w:rPr>
          <w:t>Sublicense Agreement dated December 7, 2022, by and between the Registrant and Vertex Pharmaceuticals Incorporated, as amended by Amendment No. 1 on October</w:t>
        </w:r>
      </w:hyperlink>
      <w:r>
        <w:rPr>
          <w:rFonts w:ascii="Times New Roman" w:cs="Times New Roman" w:eastAsia="Times New Roman" w:hAnsi="Times New Roman"/>
          <w:sz w:val="14"/>
          <w:szCs w:val="14"/>
          <w:u w:val="single" w:color="auto"/>
          <w:color w:val="0000FF"/>
        </w:rPr>
        <w:t xml:space="preserve"> </w:t>
      </w:r>
      <w:hyperlink r:id="rId220">
        <w:r>
          <w:rPr>
            <w:rFonts w:ascii="Times New Roman" w:cs="Times New Roman" w:eastAsia="Times New Roman" w:hAnsi="Times New Roman"/>
            <w:sz w:val="14"/>
            <w:szCs w:val="14"/>
            <w:u w:val="single" w:color="auto"/>
            <w:color w:val="0000FF"/>
          </w:rPr>
          <w:t>26, 2023 (incorporated by reference to Exhibit 10.17 to the Annual Report on Form 10-K filed by the Registrant on March 13, 2024).</w:t>
        </w:r>
      </w:hyperlink>
    </w:p>
    <w:p>
      <w:pPr>
        <w:spacing w:after="0" w:line="40" w:lineRule="exact"/>
        <w:rPr>
          <w:sz w:val="20"/>
          <w:szCs w:val="20"/>
          <w:color w:val="auto"/>
        </w:rPr>
      </w:pPr>
    </w:p>
    <w:p>
      <w:pPr>
        <w:ind w:right="400"/>
        <w:spacing w:after="0" w:line="247" w:lineRule="auto"/>
        <w:rPr>
          <w:rFonts w:ascii="Times New Roman" w:cs="Times New Roman" w:eastAsia="Times New Roman" w:hAnsi="Times New Roman"/>
          <w:sz w:val="14"/>
          <w:szCs w:val="14"/>
          <w:u w:val="single" w:color="auto"/>
          <w:color w:val="0000FF"/>
        </w:rPr>
      </w:pPr>
      <w:hyperlink r:id="rId221">
        <w:r>
          <w:rPr>
            <w:rFonts w:ascii="Times New Roman" w:cs="Times New Roman" w:eastAsia="Times New Roman" w:hAnsi="Times New Roman"/>
            <w:sz w:val="14"/>
            <w:szCs w:val="14"/>
            <w:u w:val="single" w:color="auto"/>
            <w:color w:val="0000FF"/>
          </w:rPr>
          <w:t>Securities Purchase Agreement, dated June 24, 2024, by and among the Registrant and purchasers named therein (incorporated by reference to Exhibit 10.1 to the</w:t>
        </w:r>
      </w:hyperlink>
      <w:r>
        <w:rPr>
          <w:rFonts w:ascii="Times New Roman" w:cs="Times New Roman" w:eastAsia="Times New Roman" w:hAnsi="Times New Roman"/>
          <w:sz w:val="14"/>
          <w:szCs w:val="14"/>
          <w:u w:val="single" w:color="auto"/>
          <w:color w:val="0000FF"/>
        </w:rPr>
        <w:t xml:space="preserve"> </w:t>
      </w:r>
      <w:hyperlink r:id="rId221">
        <w:r>
          <w:rPr>
            <w:rFonts w:ascii="Times New Roman" w:cs="Times New Roman" w:eastAsia="Times New Roman" w:hAnsi="Times New Roman"/>
            <w:sz w:val="14"/>
            <w:szCs w:val="14"/>
            <w:u w:val="single" w:color="auto"/>
            <w:color w:val="0000FF"/>
          </w:rPr>
          <w:t>Current Report on Form 8-K filed by the Registrant on June 24, 2024).</w:t>
        </w:r>
      </w:hyperlink>
    </w:p>
    <w:p>
      <w:pPr>
        <w:spacing w:after="0" w:line="1" w:lineRule="exact"/>
        <w:rPr>
          <w:sz w:val="20"/>
          <w:szCs w:val="20"/>
          <w:color w:val="auto"/>
        </w:rPr>
      </w:pPr>
    </w:p>
    <w:p>
      <w:pPr>
        <w:ind w:right="400"/>
        <w:spacing w:after="0" w:line="250" w:lineRule="auto"/>
        <w:rPr>
          <w:rFonts w:ascii="Times New Roman" w:cs="Times New Roman" w:eastAsia="Times New Roman" w:hAnsi="Times New Roman"/>
          <w:sz w:val="14"/>
          <w:szCs w:val="14"/>
          <w:u w:val="single" w:color="auto"/>
          <w:color w:val="0000FF"/>
        </w:rPr>
      </w:pPr>
      <w:hyperlink r:id="rId222">
        <w:r>
          <w:rPr>
            <w:rFonts w:ascii="Times New Roman" w:cs="Times New Roman" w:eastAsia="Times New Roman" w:hAnsi="Times New Roman"/>
            <w:sz w:val="14"/>
            <w:szCs w:val="14"/>
            <w:u w:val="single" w:color="auto"/>
            <w:color w:val="0000FF"/>
          </w:rPr>
          <w:t>Affiliate Registration Rights Agreement, dated June 24, 2024, by and among the Registrant and Baker Brothers Life Sciences, L.P. and 667, L.P. (incorporated by</w:t>
        </w:r>
      </w:hyperlink>
      <w:r>
        <w:rPr>
          <w:rFonts w:ascii="Times New Roman" w:cs="Times New Roman" w:eastAsia="Times New Roman" w:hAnsi="Times New Roman"/>
          <w:sz w:val="14"/>
          <w:szCs w:val="14"/>
          <w:u w:val="single" w:color="auto"/>
          <w:color w:val="0000FF"/>
        </w:rPr>
        <w:t xml:space="preserve"> </w:t>
      </w:r>
      <w:hyperlink r:id="rId222">
        <w:r>
          <w:rPr>
            <w:rFonts w:ascii="Times New Roman" w:cs="Times New Roman" w:eastAsia="Times New Roman" w:hAnsi="Times New Roman"/>
            <w:sz w:val="14"/>
            <w:szCs w:val="14"/>
            <w:u w:val="single" w:color="auto"/>
            <w:color w:val="0000FF"/>
          </w:rPr>
          <w:t>reference to Exhibit 10.2 to the Current Report on Form 8-K filed by the Registrant on June 24, 2024).</w:t>
        </w:r>
      </w:hyperlink>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Entrada Therapeutics, Inc. Second Amended and Restated Insider Trading Policy.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List of Subsidiaries of the Registrant (incorporated by reference to Exhibit 21.1 to the Annual Report on Form 10-K filed by the Registrant on March 6,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Consent of Ernst &amp; Young LLP, independent registered public accounting firm.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Power of Attorney (included on signature page).</w:t>
      </w:r>
    </w:p>
    <w:p>
      <w:pPr>
        <w:spacing w:after="0" w:line="2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4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4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4"/>
          <w:szCs w:val="14"/>
          <w:u w:val="single" w:color="auto"/>
          <w:color w:val="0000FF"/>
        </w:rPr>
        <w:t>Certifications of Principal Executive Officer and Principal Financial Officer Pursuant to 18 U.S.C. Section 1350, as Adopted Pursuant to Section 906 of the Sarbanes-Oxley Act of 2002.</w:t>
      </w:r>
    </w:p>
    <w:p>
      <w:pPr>
        <w:spacing w:after="0" w:line="40" w:lineRule="exact"/>
        <w:rPr>
          <w:sz w:val="20"/>
          <w:szCs w:val="20"/>
          <w:color w:val="auto"/>
        </w:rPr>
      </w:pPr>
    </w:p>
    <w:p>
      <w:pPr>
        <w:ind w:right="260"/>
        <w:spacing w:after="0" w:line="253" w:lineRule="auto"/>
        <w:rPr>
          <w:rFonts w:ascii="Times New Roman" w:cs="Times New Roman" w:eastAsia="Times New Roman" w:hAnsi="Times New Roman"/>
          <w:sz w:val="14"/>
          <w:szCs w:val="14"/>
          <w:u w:val="single" w:color="auto"/>
          <w:color w:val="0000FF"/>
        </w:rPr>
      </w:pPr>
      <w:hyperlink r:id="rId223">
        <w:r>
          <w:rPr>
            <w:rFonts w:ascii="Times New Roman" w:cs="Times New Roman" w:eastAsia="Times New Roman" w:hAnsi="Times New Roman"/>
            <w:sz w:val="14"/>
            <w:szCs w:val="14"/>
            <w:u w:val="single" w:color="auto"/>
            <w:color w:val="0000FF"/>
          </w:rPr>
          <w:t>Entrada Therapeutics, Inc. Compensation Recovery Policy (incorporated by reference to Exhibit 97.1 to the Annual Report on Form 10-K filed by the Registrant on</w:t>
        </w:r>
      </w:hyperlink>
      <w:r>
        <w:rPr>
          <w:rFonts w:ascii="Times New Roman" w:cs="Times New Roman" w:eastAsia="Times New Roman" w:hAnsi="Times New Roman"/>
          <w:sz w:val="14"/>
          <w:szCs w:val="14"/>
          <w:u w:val="single" w:color="auto"/>
          <w:color w:val="0000FF"/>
        </w:rPr>
        <w:t xml:space="preserve"> </w:t>
      </w:r>
      <w:hyperlink r:id="rId223">
        <w:r>
          <w:rPr>
            <w:rFonts w:ascii="Times New Roman" w:cs="Times New Roman" w:eastAsia="Times New Roman" w:hAnsi="Times New Roman"/>
            <w:sz w:val="14"/>
            <w:szCs w:val="14"/>
            <w:u w:val="single" w:color="auto"/>
            <w:color w:val="0000FF"/>
          </w:rPr>
          <w:t>March 13, 2024).</w:t>
        </w:r>
      </w:hyperlink>
    </w:p>
    <w:p>
      <w:pPr>
        <w:ind w:right="420"/>
        <w:spacing w:after="0" w:line="268" w:lineRule="auto"/>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 document.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p>
      <w:pPr>
        <w:spacing w:after="0" w:line="94" w:lineRule="exact"/>
        <w:rPr>
          <w:sz w:val="20"/>
          <w:szCs w:val="20"/>
          <w:color w:val="auto"/>
        </w:rPr>
      </w:pPr>
    </w:p>
    <w:p>
      <w:pPr>
        <w:sectPr>
          <w:pgSz w:w="11900" w:h="16838" w:orient="portrait"/>
          <w:cols w:equalWidth="0" w:num="2">
            <w:col w:w="1000" w:space="700"/>
            <w:col w:w="9540"/>
          </w:cols>
          <w:pgMar w:left="300" w:top="507" w:right="359" w:bottom="1440" w:gutter="0" w:footer="0" w:header="0"/>
        </w:sectPr>
      </w:pPr>
    </w:p>
    <w:p>
      <w:pPr>
        <w:ind w:left="520" w:hanging="515"/>
        <w:spacing w:after="0"/>
        <w:tabs>
          <w:tab w:leader="none" w:pos="5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507" w:right="35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6" w:lineRule="exact"/>
        <w:rPr>
          <w:sz w:val="20"/>
          <w:szCs w:val="20"/>
          <w:color w:val="auto"/>
        </w:rPr>
      </w:pPr>
    </w:p>
    <w:p>
      <w:pPr>
        <w:ind w:left="520" w:hanging="515"/>
        <w:spacing w:after="0"/>
        <w:tabs>
          <w:tab w:leader="none" w:pos="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this exhibit (indicated by asterisks) have been omitted in accordance with Item 601(b)(10) of Regulation S-K.</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any compensatory plan, contract or arrangement.</w:t>
      </w:r>
    </w:p>
    <w:p>
      <w:pPr>
        <w:spacing w:after="0" w:line="179" w:lineRule="exact"/>
        <w:rPr>
          <w:sz w:val="20"/>
          <w:szCs w:val="20"/>
          <w:color w:val="auto"/>
        </w:rPr>
      </w:pPr>
    </w:p>
    <w:p>
      <w:pPr>
        <w:ind w:left="520" w:right="180" w:hanging="515"/>
        <w:spacing w:after="0" w:line="287" w:lineRule="auto"/>
        <w:tabs>
          <w:tab w:leader="none" w:pos="515"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be furnished with this Annual Report and will not be deemed to be “filed” for purposes of Section 18 of the Securities Exchange Act of 1934, as amended, except to the extent that the Registrant specifically incorporates it by reference.</w:t>
      </w:r>
    </w:p>
    <w:p>
      <w:pPr>
        <w:spacing w:after="0" w:line="156" w:lineRule="exact"/>
        <w:rPr>
          <w:sz w:val="20"/>
          <w:szCs w:val="20"/>
          <w:color w:val="auto"/>
        </w:rPr>
      </w:pPr>
    </w:p>
    <w:p>
      <w:pPr>
        <w:ind w:left="460" w:hanging="445"/>
        <w:spacing w:after="0" w:line="271" w:lineRule="auto"/>
        <w:rPr>
          <w:sz w:val="20"/>
          <w:szCs w:val="20"/>
          <w:color w:val="auto"/>
        </w:rPr>
      </w:pPr>
      <w:r>
        <w:rPr>
          <w:rFonts w:ascii="Times New Roman" w:cs="Times New Roman" w:eastAsia="Times New Roman" w:hAnsi="Times New Roman"/>
          <w:sz w:val="14"/>
          <w:szCs w:val="14"/>
          <w:color w:val="auto"/>
        </w:rPr>
        <w:t>** Annexes, schedules and/or exhibits have been omitted pursuant to Item 601(a)(5) of Regulation S-K. The</w:t>
      </w:r>
      <w:r>
        <w:rPr>
          <w:sz w:val="20"/>
          <w:szCs w:val="20"/>
          <w:color w:val="auto"/>
        </w:rPr>
        <w:t xml:space="preserve"> </w:t>
      </w:r>
      <w:r>
        <w:rPr>
          <w:rFonts w:ascii="Times New Roman" w:cs="Times New Roman" w:eastAsia="Times New Roman" w:hAnsi="Times New Roman"/>
          <w:sz w:val="14"/>
          <w:szCs w:val="14"/>
          <w:color w:val="auto"/>
        </w:rPr>
        <w:t>Registrant agrees to furnish supplementally a copy of any omitted attachment to the SEC on a confidential basis upon request.</w:t>
      </w:r>
    </w:p>
    <w:p>
      <w:pPr>
        <w:spacing w:after="0" w:line="355" w:lineRule="exact"/>
        <w:rPr>
          <w:sz w:val="20"/>
          <w:szCs w:val="20"/>
          <w:color w:val="auto"/>
        </w:rPr>
      </w:pPr>
    </w:p>
    <w:p>
      <w:pPr>
        <w:ind w:left="1020" w:hanging="506"/>
        <w:spacing w:after="0"/>
        <w:tabs>
          <w:tab w:leader="none" w:pos="102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231F20"/>
        </w:rPr>
        <w:t>Financial Statements Schedules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Schedules have been omitted because the information required to be set forth therein is not applicable or is shown in the consolidated financial statements or notes thereto.</w:t>
      </w:r>
    </w:p>
    <w:p>
      <w:pPr>
        <w:spacing w:after="0" w:line="177" w:lineRule="exact"/>
        <w:rPr>
          <w:sz w:val="20"/>
          <w:szCs w:val="20"/>
          <w:color w:val="auto"/>
        </w:rPr>
      </w:pPr>
    </w:p>
    <w:p>
      <w:pPr>
        <w:jc w:val="center"/>
        <w:ind w:right="9220"/>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507" w:right="5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auto"/>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27, 2025</w:t>
            </w:r>
          </w:p>
        </w:tc>
        <w:tc>
          <w:tcPr>
            <w:tcW w:w="344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ENTRADA THERAPEUTICS, INC.</w:t>
            </w:r>
          </w:p>
        </w:tc>
        <w:tc>
          <w:tcPr>
            <w:tcW w:w="5260" w:type="dxa"/>
            <w:vAlign w:val="bottom"/>
          </w:tcPr>
          <w:p>
            <w:pPr>
              <w:spacing w:after="0"/>
              <w:rPr>
                <w:sz w:val="16"/>
                <w:szCs w:val="16"/>
                <w:color w:val="auto"/>
              </w:rPr>
            </w:pPr>
          </w:p>
        </w:tc>
      </w:tr>
      <w:tr>
        <w:trPr>
          <w:trHeight w:val="373"/>
        </w:trPr>
        <w:tc>
          <w:tcPr>
            <w:tcW w:w="2540" w:type="dxa"/>
            <w:vAlign w:val="bottom"/>
          </w:tcPr>
          <w:p>
            <w:pPr>
              <w:spacing w:after="0"/>
              <w:rPr>
                <w:sz w:val="24"/>
                <w:szCs w:val="24"/>
                <w:color w:val="auto"/>
              </w:rPr>
            </w:pPr>
          </w:p>
        </w:tc>
        <w:tc>
          <w:tcPr>
            <w:tcW w:w="34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Dipal Doshi</w:t>
            </w:r>
          </w:p>
        </w:tc>
      </w:tr>
      <w:tr>
        <w:trPr>
          <w:trHeight w:val="191"/>
        </w:trPr>
        <w:tc>
          <w:tcPr>
            <w:tcW w:w="2540" w:type="dxa"/>
            <w:vAlign w:val="bottom"/>
          </w:tcPr>
          <w:p>
            <w:pPr>
              <w:spacing w:after="0"/>
              <w:rPr>
                <w:sz w:val="16"/>
                <w:szCs w:val="16"/>
                <w:color w:val="auto"/>
              </w:rPr>
            </w:pPr>
          </w:p>
        </w:tc>
        <w:tc>
          <w:tcPr>
            <w:tcW w:w="34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Dipal Doshi</w:t>
            </w:r>
          </w:p>
        </w:tc>
      </w:tr>
      <w:tr>
        <w:trPr>
          <w:trHeight w:val="202"/>
        </w:trPr>
        <w:tc>
          <w:tcPr>
            <w:tcW w:w="2540" w:type="dxa"/>
            <w:vAlign w:val="bottom"/>
          </w:tcPr>
          <w:p>
            <w:pPr>
              <w:spacing w:after="0"/>
              <w:rPr>
                <w:sz w:val="17"/>
                <w:szCs w:val="17"/>
                <w:color w:val="auto"/>
              </w:rPr>
            </w:pPr>
          </w:p>
        </w:tc>
        <w:tc>
          <w:tcPr>
            <w:tcW w:w="344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202"/>
        </w:trPr>
        <w:tc>
          <w:tcPr>
            <w:tcW w:w="25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individual signature appears below hereby authorizes and appoints Dipal Doshi and Kory Wentworth,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46" w:lineRule="exact"/>
        <w:rPr>
          <w:sz w:val="20"/>
          <w:szCs w:val="20"/>
          <w:color w:val="auto"/>
        </w:rPr>
      </w:pPr>
    </w:p>
    <w:p>
      <w:pPr>
        <w:ind w:right="480"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this Annual Report on Form 10-K has been signed below by the following persons on behalf of the registrant and in the capacities and on the date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w:t>
            </w:r>
          </w:p>
        </w:tc>
        <w:tc>
          <w:tcPr>
            <w:tcW w:w="80" w:type="dxa"/>
            <w:vAlign w:val="bottom"/>
          </w:tcPr>
          <w:p>
            <w:pPr>
              <w:spacing w:after="0"/>
              <w:rPr>
                <w:sz w:val="16"/>
                <w:szCs w:val="16"/>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8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Date</w:t>
            </w:r>
          </w:p>
        </w:tc>
      </w:tr>
      <w:tr>
        <w:trPr>
          <w:trHeight w:val="347"/>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Dipal Doshi</w:t>
            </w:r>
          </w:p>
        </w:tc>
        <w:tc>
          <w:tcPr>
            <w:tcW w:w="80" w:type="dxa"/>
            <w:vAlign w:val="bottom"/>
          </w:tcPr>
          <w:p>
            <w:pPr>
              <w:spacing w:after="0"/>
              <w:rPr>
                <w:sz w:val="24"/>
                <w:szCs w:val="24"/>
                <w:color w:val="auto"/>
              </w:rPr>
            </w:pPr>
          </w:p>
        </w:tc>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91"/>
        </w:trPr>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Dipal Doshi</w:t>
            </w:r>
          </w:p>
        </w:tc>
        <w:tc>
          <w:tcPr>
            <w:tcW w:w="80" w:type="dxa"/>
            <w:vAlign w:val="bottom"/>
          </w:tcPr>
          <w:p>
            <w:pPr>
              <w:spacing w:after="0"/>
              <w:rPr>
                <w:sz w:val="16"/>
                <w:szCs w:val="16"/>
                <w:color w:val="auto"/>
              </w:rPr>
            </w:pPr>
          </w:p>
        </w:tc>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500" w:type="dxa"/>
            <w:vAlign w:val="bottom"/>
          </w:tcPr>
          <w:p>
            <w:pPr>
              <w:spacing w:after="0"/>
              <w:rPr>
                <w:sz w:val="16"/>
                <w:szCs w:val="16"/>
                <w:color w:val="auto"/>
              </w:rPr>
            </w:pPr>
          </w:p>
        </w:tc>
      </w:tr>
      <w:tr>
        <w:trPr>
          <w:trHeight w:val="373"/>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Kory Wentworth</w:t>
            </w:r>
          </w:p>
        </w:tc>
        <w:tc>
          <w:tcPr>
            <w:tcW w:w="80" w:type="dxa"/>
            <w:vAlign w:val="bottom"/>
          </w:tcPr>
          <w:p>
            <w:pPr>
              <w:spacing w:after="0"/>
              <w:rPr>
                <w:sz w:val="24"/>
                <w:szCs w:val="24"/>
                <w:color w:val="auto"/>
              </w:rPr>
            </w:pPr>
          </w:p>
        </w:tc>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Chief Financial Officer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91"/>
        </w:trPr>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Kory Wentworth</w:t>
            </w:r>
          </w:p>
        </w:tc>
        <w:tc>
          <w:tcPr>
            <w:tcW w:w="80" w:type="dxa"/>
            <w:vAlign w:val="bottom"/>
          </w:tcPr>
          <w:p>
            <w:pPr>
              <w:spacing w:after="0"/>
              <w:rPr>
                <w:sz w:val="16"/>
                <w:szCs w:val="16"/>
                <w:color w:val="auto"/>
              </w:rPr>
            </w:pPr>
          </w:p>
        </w:tc>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and Accounting Officer)</w:t>
            </w:r>
          </w:p>
        </w:tc>
        <w:tc>
          <w:tcPr>
            <w:tcW w:w="2500" w:type="dxa"/>
            <w:vAlign w:val="bottom"/>
          </w:tcPr>
          <w:p>
            <w:pPr>
              <w:spacing w:after="0"/>
              <w:rPr>
                <w:sz w:val="16"/>
                <w:szCs w:val="16"/>
                <w:color w:val="auto"/>
              </w:rPr>
            </w:pPr>
          </w:p>
        </w:tc>
      </w:tr>
      <w:tr>
        <w:trPr>
          <w:trHeight w:val="377"/>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Kush M. Parmar, M.D., Ph.D.</w:t>
            </w:r>
          </w:p>
        </w:tc>
        <w:tc>
          <w:tcPr>
            <w:tcW w:w="80" w:type="dxa"/>
            <w:vAlign w:val="bottom"/>
          </w:tcPr>
          <w:p>
            <w:pPr>
              <w:spacing w:after="0"/>
              <w:rPr>
                <w:sz w:val="24"/>
                <w:szCs w:val="24"/>
                <w:color w:val="auto"/>
              </w:rPr>
            </w:pPr>
          </w:p>
        </w:tc>
        <w:tc>
          <w:tcPr>
            <w:tcW w:w="4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Chairman and 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87"/>
        </w:trPr>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Kush M. Parmar, M.D., Ph.D.</w:t>
            </w: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77"/>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Gina Chapman</w:t>
            </w:r>
          </w:p>
        </w:tc>
        <w:tc>
          <w:tcPr>
            <w:tcW w:w="80" w:type="dxa"/>
            <w:vAlign w:val="bottom"/>
          </w:tcPr>
          <w:p>
            <w:pPr>
              <w:spacing w:after="0"/>
              <w:rPr>
                <w:sz w:val="24"/>
                <w:szCs w:val="24"/>
                <w:color w:val="auto"/>
              </w:rPr>
            </w:pPr>
          </w:p>
        </w:tc>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87"/>
        </w:trPr>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Gina Chapman</w:t>
            </w: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77"/>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Peter S. Kim, Ph.D.</w:t>
            </w:r>
          </w:p>
        </w:tc>
        <w:tc>
          <w:tcPr>
            <w:tcW w:w="80" w:type="dxa"/>
            <w:vAlign w:val="bottom"/>
          </w:tcPr>
          <w:p>
            <w:pPr>
              <w:spacing w:after="0"/>
              <w:rPr>
                <w:sz w:val="24"/>
                <w:szCs w:val="24"/>
                <w:color w:val="auto"/>
              </w:rPr>
            </w:pPr>
          </w:p>
        </w:tc>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87"/>
        </w:trPr>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Peter S. Kim, Ph.D.</w:t>
            </w: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77"/>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Mary Thistle</w:t>
            </w:r>
          </w:p>
        </w:tc>
        <w:tc>
          <w:tcPr>
            <w:tcW w:w="80" w:type="dxa"/>
            <w:vAlign w:val="bottom"/>
          </w:tcPr>
          <w:p>
            <w:pPr>
              <w:spacing w:after="0"/>
              <w:rPr>
                <w:sz w:val="24"/>
                <w:szCs w:val="24"/>
                <w:color w:val="auto"/>
              </w:rPr>
            </w:pPr>
          </w:p>
        </w:tc>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87"/>
        </w:trPr>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Mary Thistle</w:t>
            </w: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377"/>
        </w:trPr>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Bernhardt Zeiher, M.D.</w:t>
            </w:r>
          </w:p>
        </w:tc>
        <w:tc>
          <w:tcPr>
            <w:tcW w:w="80" w:type="dxa"/>
            <w:vAlign w:val="bottom"/>
          </w:tcPr>
          <w:p>
            <w:pPr>
              <w:spacing w:after="0"/>
              <w:rPr>
                <w:sz w:val="24"/>
                <w:szCs w:val="24"/>
                <w:color w:val="auto"/>
              </w:rPr>
            </w:pPr>
          </w:p>
        </w:tc>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Director</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27, 2025</w:t>
            </w:r>
          </w:p>
        </w:tc>
      </w:tr>
      <w:tr>
        <w:trPr>
          <w:trHeight w:val="187"/>
        </w:trPr>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Bernhardt Zeiher, M.D.</w:t>
            </w:r>
          </w:p>
        </w:tc>
        <w:tc>
          <w:tcPr>
            <w:tcW w:w="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721"/>
        </w:trPr>
        <w:tc>
          <w:tcPr>
            <w:tcW w:w="4120" w:type="dxa"/>
            <w:vAlign w:val="bottom"/>
          </w:tcPr>
          <w:p>
            <w:pPr>
              <w:spacing w:after="0"/>
              <w:rPr>
                <w:sz w:val="24"/>
                <w:szCs w:val="24"/>
                <w:color w:val="auto"/>
              </w:rPr>
            </w:pPr>
          </w:p>
        </w:tc>
        <w:tc>
          <w:tcPr>
            <w:tcW w:w="4580" w:type="dxa"/>
            <w:vAlign w:val="bottom"/>
            <w:gridSpan w:val="2"/>
          </w:tcPr>
          <w:p>
            <w:pPr>
              <w:jc w:val="right"/>
              <w:ind w:right="2869"/>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280"/>
          </w:cols>
          <w:pgMar w:left="300" w:top="506" w:right="319" w:bottom="1440"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7"/>
          <w:szCs w:val="17"/>
          <w:b w:val="1"/>
          <w:bCs w:val="1"/>
          <w:color w:val="231F20"/>
        </w:rPr>
        <w:t>Exhibit 19.1</w:t>
      </w:r>
    </w:p>
    <w:p>
      <w:pPr>
        <w:spacing w:after="0" w:line="28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231F20"/>
        </w:rPr>
        <w:t>ENTRADA THERAPEUTICS, INC.</w:t>
      </w:r>
    </w:p>
    <w:p>
      <w:pPr>
        <w:spacing w:after="0" w:line="18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b w:val="1"/>
          <w:bCs w:val="1"/>
          <w:color w:val="231F20"/>
        </w:rPr>
        <w:t>SECOND AMENDED AND RESTATED INSIDER TRADING POLICY</w:t>
      </w:r>
    </w:p>
    <w:p>
      <w:pPr>
        <w:spacing w:after="0" w:line="20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7"/>
          <w:szCs w:val="17"/>
          <w:color w:val="231F20"/>
        </w:rPr>
        <w:t>This memorandum sets forth the policy of Entrada Therapeutics, Inc. and its subsidiaries (collectively, the “Company”) regarding trading in the Company’s securities as described below and the disclosure of information concerning the Company. This Second Amended and Restated Insider Trading Policy (the “Insider Trading Policy”) is designed to prevent insider trading or the appearance of impropriety, to satisfy the Company’s obligation to reasonably supervise the activities of Company personnel, and to help Company personnel avoid the severe consequences associated with violations of insider trading laws. It is your obligation to understand and comply with this Insider Trading Policy and applicable laws. Our Board of Directors (“Board”) has approved this Insider Trading Policy, and we have appointed Jared Cohen, the Company’s General Counsel, as the Compliance Officer (the “Compliance Officer”) to administer the Insider Trading Policy and to be available to answer your questions.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PART I. OVERVIEW</w:t>
      </w:r>
    </w:p>
    <w:p>
      <w:pPr>
        <w:spacing w:after="0" w:line="250" w:lineRule="exact"/>
        <w:rPr>
          <w:sz w:val="20"/>
          <w:szCs w:val="20"/>
          <w:color w:val="auto"/>
        </w:rPr>
      </w:pPr>
    </w:p>
    <w:p>
      <w:pPr>
        <w:ind w:left="500" w:hanging="500"/>
        <w:spacing w:after="0"/>
        <w:tabs>
          <w:tab w:leader="none" w:pos="500" w:val="left"/>
        </w:tabs>
        <w:numPr>
          <w:ilvl w:val="0"/>
          <w:numId w:val="72"/>
        </w:numPr>
        <w:rPr>
          <w:rFonts w:ascii="Times New Roman" w:cs="Times New Roman" w:eastAsia="Times New Roman" w:hAnsi="Times New Roman"/>
          <w:sz w:val="17"/>
          <w:szCs w:val="17"/>
          <w:b w:val="1"/>
          <w:bCs w:val="1"/>
          <w:i w:val="1"/>
          <w:iCs w:val="1"/>
          <w:color w:val="231F20"/>
        </w:rPr>
      </w:pPr>
      <w:r>
        <w:rPr>
          <w:rFonts w:ascii="Times New Roman" w:cs="Times New Roman" w:eastAsia="Times New Roman" w:hAnsi="Times New Roman"/>
          <w:sz w:val="17"/>
          <w:szCs w:val="17"/>
          <w:b w:val="1"/>
          <w:bCs w:val="1"/>
          <w:i w:val="1"/>
          <w:iCs w:val="1"/>
          <w:color w:val="231F20"/>
        </w:rPr>
        <w:t>To Whom does this Insider Trading Policy Apply?</w:t>
      </w:r>
    </w:p>
    <w:p>
      <w:pPr>
        <w:spacing w:after="0" w:line="190" w:lineRule="exact"/>
        <w:rPr>
          <w:sz w:val="20"/>
          <w:szCs w:val="20"/>
          <w:color w:val="auto"/>
        </w:rPr>
      </w:pPr>
    </w:p>
    <w:p>
      <w:pPr>
        <w:ind w:right="340" w:firstLine="509"/>
        <w:spacing w:after="0" w:line="254" w:lineRule="auto"/>
        <w:rPr>
          <w:sz w:val="20"/>
          <w:szCs w:val="20"/>
          <w:color w:val="auto"/>
        </w:rPr>
      </w:pPr>
      <w:r>
        <w:rPr>
          <w:rFonts w:ascii="Times New Roman" w:cs="Times New Roman" w:eastAsia="Times New Roman" w:hAnsi="Times New Roman"/>
          <w:sz w:val="17"/>
          <w:szCs w:val="17"/>
          <w:color w:val="231F20"/>
        </w:rPr>
        <w:t>This Insider Trading Policy is applicable to the Company’s directors, officers, employees and designated consultants and applies to any and all transactions by such persons and their Affiliated Persons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54" w:lineRule="exact"/>
        <w:rPr>
          <w:sz w:val="20"/>
          <w:szCs w:val="20"/>
          <w:color w:val="auto"/>
        </w:rPr>
      </w:pPr>
    </w:p>
    <w:p>
      <w:pPr>
        <w:ind w:right="400" w:firstLine="509"/>
        <w:spacing w:after="0" w:line="257" w:lineRule="auto"/>
        <w:rPr>
          <w:sz w:val="20"/>
          <w:szCs w:val="20"/>
          <w:color w:val="auto"/>
        </w:rPr>
      </w:pPr>
      <w:r>
        <w:rPr>
          <w:rFonts w:ascii="Times New Roman" w:cs="Times New Roman" w:eastAsia="Times New Roman" w:hAnsi="Times New Roman"/>
          <w:sz w:val="17"/>
          <w:szCs w:val="17"/>
          <w:color w:val="231F20"/>
        </w:rPr>
        <w:t>In addition, all directors, officers, employees and designated consultants must comply with the Trading Procedures set forth in Part II of this Insider Trading Policy (the “Trading Procedures”) (collectively, and solely for the purposes of this Insider Trading Policy, these persons are referred to as “Insiders”). Generally, the Trading Procedures provide rules for when Insiders can trade in our securities and explain the process for mandatory pre-clearance of proposed trades. You will be notified if you are required to comply with the Trading Procedures.</w:t>
      </w:r>
    </w:p>
    <w:p>
      <w:pPr>
        <w:spacing w:after="0" w:line="139" w:lineRule="exact"/>
        <w:rPr>
          <w:sz w:val="20"/>
          <w:szCs w:val="20"/>
          <w:color w:val="auto"/>
        </w:rPr>
      </w:pPr>
    </w:p>
    <w:p>
      <w:pPr>
        <w:ind w:right="460" w:firstLine="509"/>
        <w:spacing w:after="0" w:line="289" w:lineRule="auto"/>
        <w:rPr>
          <w:sz w:val="20"/>
          <w:szCs w:val="20"/>
          <w:color w:val="auto"/>
        </w:rPr>
      </w:pPr>
      <w:r>
        <w:rPr>
          <w:rFonts w:ascii="Times New Roman" w:cs="Times New Roman" w:eastAsia="Times New Roman" w:hAnsi="Times New Roman"/>
          <w:sz w:val="17"/>
          <w:szCs w:val="17"/>
          <w:color w:val="231F20"/>
        </w:rPr>
        <w:t>This Insider Trading Policy, including, for Insiders, the Trading Procedures contained herein, also applies to the following persons (collectively, these persons and entities are referred to as “Affiliated Persons”):</w:t>
      </w:r>
    </w:p>
    <w:p>
      <w:pPr>
        <w:spacing w:after="0" w:line="113" w:lineRule="exact"/>
        <w:rPr>
          <w:sz w:val="20"/>
          <w:szCs w:val="20"/>
          <w:color w:val="auto"/>
        </w:rPr>
      </w:pPr>
    </w:p>
    <w:p>
      <w:pPr>
        <w:ind w:left="1020" w:right="300" w:hanging="510"/>
        <w:spacing w:after="0" w:line="257" w:lineRule="auto"/>
        <w:tabs>
          <w:tab w:leader="none" w:pos="1016" w:val="left"/>
        </w:tabs>
        <w:numPr>
          <w:ilvl w:val="0"/>
          <w:numId w:val="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“Family Members” (“Family Members” are (a) your spouse or domestic partner, children, stepchildren, grandchildren, parents, stepparents, grandparents, siblings and in-laws who reside in the same household as you, (b) your children or your spouse’s children who do not reside in the same household as you but are financially dependent on you, (c) any of your other family members who do not reside in your household but whose transactions are directed by you, and (d) any</w:t>
      </w:r>
    </w:p>
    <w:p>
      <w:pPr>
        <w:sectPr>
          <w:pgSz w:w="11900" w:h="16838" w:orient="portrait"/>
          <w:cols w:equalWidth="0" w:num="1">
            <w:col w:w="11120"/>
          </w:cols>
          <w:pgMar w:left="460" w:top="1144" w:right="319" w:bottom="1440" w:gutter="0" w:footer="0" w:header="0"/>
        </w:sectPr>
      </w:pPr>
    </w:p>
    <w:bookmarkStart w:id="209" w:name="page210"/>
    <w:bookmarkEnd w:id="209"/>
    <w:p>
      <w:pPr>
        <w:ind w:left="1140" w:right="500"/>
        <w:spacing w:after="0" w:line="276" w:lineRule="auto"/>
        <w:rPr>
          <w:sz w:val="20"/>
          <w:szCs w:val="20"/>
          <w:color w:val="auto"/>
        </w:rPr>
      </w:pPr>
      <w:r>
        <w:rPr>
          <w:rFonts w:ascii="Times New Roman" w:cs="Times New Roman" w:eastAsia="Times New Roman" w:hAnsi="Times New Roman"/>
          <w:sz w:val="17"/>
          <w:szCs w:val="17"/>
          <w:color w:val="231F20"/>
        </w:rPr>
        <w:t>other individual over whose account you have control and to whose financial support you materially contribute. (Materially contributing to financial support would include, for example, paying an individual’s rent but not just a phone bill.));</w:t>
      </w:r>
    </w:p>
    <w:p>
      <w:pPr>
        <w:spacing w:after="0" w:line="134" w:lineRule="exact"/>
        <w:rPr>
          <w:sz w:val="20"/>
          <w:szCs w:val="20"/>
          <w:color w:val="auto"/>
        </w:rPr>
      </w:pPr>
    </w:p>
    <w:p>
      <w:pPr>
        <w:ind w:left="1140" w:right="40" w:hanging="510"/>
        <w:spacing w:after="0" w:line="276" w:lineRule="auto"/>
        <w:tabs>
          <w:tab w:leader="none" w:pos="1136"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trusts, family partnerships and other types of entities formed for your benefit or for the benefit of a member of your family and over which you have the ability to influence or direct investment decisions concerning securities;</w:t>
      </w:r>
    </w:p>
    <w:p>
      <w:pPr>
        <w:spacing w:after="0" w:line="123"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persons who execute trades on your behalf; and</w:t>
      </w:r>
    </w:p>
    <w:p>
      <w:pPr>
        <w:spacing w:after="0" w:line="175" w:lineRule="exact"/>
        <w:rPr>
          <w:rFonts w:ascii="Times New Roman" w:cs="Times New Roman" w:eastAsia="Times New Roman" w:hAnsi="Times New Roman"/>
          <w:sz w:val="17"/>
          <w:szCs w:val="17"/>
          <w:color w:val="231F20"/>
        </w:rPr>
      </w:pPr>
    </w:p>
    <w:p>
      <w:pPr>
        <w:ind w:left="1140" w:right="60" w:hanging="510"/>
        <w:spacing w:after="0" w:line="254" w:lineRule="auto"/>
        <w:tabs>
          <w:tab w:leader="none" w:pos="1136"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17"/>
          <w:szCs w:val="17"/>
          <w:u w:val="single" w:color="auto"/>
          <w:color w:val="231F20"/>
        </w:rPr>
        <w:t>provided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u w:val="single" w:color="auto"/>
          <w:color w:val="231F20"/>
        </w:rPr>
        <w:t>however</w:t>
      </w:r>
      <w:r>
        <w:rPr>
          <w:rFonts w:ascii="Times New Roman" w:cs="Times New Roman" w:eastAsia="Times New Roman" w:hAnsi="Times New Roman"/>
          <w:sz w:val="17"/>
          <w:szCs w:val="17"/>
          <w:color w:val="231F20"/>
        </w:rPr>
        <w:t>, that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43" w:lineRule="exact"/>
        <w:rPr>
          <w:sz w:val="20"/>
          <w:szCs w:val="20"/>
          <w:color w:val="auto"/>
        </w:rPr>
      </w:pPr>
    </w:p>
    <w:p>
      <w:pPr>
        <w:ind w:left="120" w:right="20" w:firstLine="509"/>
        <w:spacing w:after="0" w:line="276" w:lineRule="auto"/>
        <w:rPr>
          <w:sz w:val="20"/>
          <w:szCs w:val="20"/>
          <w:color w:val="auto"/>
        </w:rPr>
      </w:pPr>
      <w:r>
        <w:rPr>
          <w:rFonts w:ascii="Times New Roman" w:cs="Times New Roman" w:eastAsia="Times New Roman" w:hAnsi="Times New Roman"/>
          <w:sz w:val="17"/>
          <w:szCs w:val="17"/>
          <w:color w:val="231F20"/>
        </w:rPr>
        <w:t>You are responsible for ensuring compliance with this Insider Trading Policy, including the Trading Procedures contained herein, by all of your Affiliated Persons.</w:t>
      </w:r>
    </w:p>
    <w:p>
      <w:pPr>
        <w:spacing w:after="0" w:line="123" w:lineRule="exact"/>
        <w:rPr>
          <w:sz w:val="20"/>
          <w:szCs w:val="20"/>
          <w:color w:val="auto"/>
        </w:rPr>
      </w:pPr>
    </w:p>
    <w:p>
      <w:pPr>
        <w:ind w:left="120" w:right="100" w:firstLine="509"/>
        <w:spacing w:after="0" w:line="262" w:lineRule="auto"/>
        <w:rPr>
          <w:sz w:val="20"/>
          <w:szCs w:val="20"/>
          <w:color w:val="auto"/>
        </w:rPr>
      </w:pPr>
      <w:r>
        <w:rPr>
          <w:rFonts w:ascii="Times New Roman" w:cs="Times New Roman" w:eastAsia="Times New Roman" w:hAnsi="Times New Roman"/>
          <w:sz w:val="17"/>
          <w:szCs w:val="17"/>
          <w:color w:val="231F20"/>
        </w:rPr>
        <w:t>In the event that you leave the Company for any reason, this Insider Trading Policy, including, if applicable, the Trading Procedures contained herein, will continue to apply to you and your Affiliated Persons until the first trading day after any material nonpublic information known to you has become public or is no longer material.</w:t>
      </w:r>
    </w:p>
    <w:p>
      <w:pPr>
        <w:spacing w:after="0" w:line="141" w:lineRule="exact"/>
        <w:rPr>
          <w:sz w:val="20"/>
          <w:szCs w:val="20"/>
          <w:color w:val="auto"/>
        </w:rPr>
      </w:pPr>
    </w:p>
    <w:p>
      <w:pPr>
        <w:ind w:left="620" w:hanging="500"/>
        <w:spacing w:after="0"/>
        <w:tabs>
          <w:tab w:leader="none" w:pos="620" w:val="left"/>
        </w:tabs>
        <w:numPr>
          <w:ilvl w:val="0"/>
          <w:numId w:val="75"/>
        </w:numPr>
        <w:rPr>
          <w:rFonts w:ascii="Times New Roman" w:cs="Times New Roman" w:eastAsia="Times New Roman" w:hAnsi="Times New Roman"/>
          <w:sz w:val="17"/>
          <w:szCs w:val="17"/>
          <w:b w:val="1"/>
          <w:bCs w:val="1"/>
          <w:i w:val="1"/>
          <w:iCs w:val="1"/>
          <w:color w:val="231F20"/>
        </w:rPr>
      </w:pPr>
      <w:r>
        <w:rPr>
          <w:rFonts w:ascii="Times New Roman" w:cs="Times New Roman" w:eastAsia="Times New Roman" w:hAnsi="Times New Roman"/>
          <w:sz w:val="17"/>
          <w:szCs w:val="17"/>
          <w:b w:val="1"/>
          <w:bCs w:val="1"/>
          <w:i w:val="1"/>
          <w:iCs w:val="1"/>
          <w:color w:val="231F20"/>
        </w:rPr>
        <w:t>What is Prohibited by this Insider Trading Policy?</w:t>
      </w:r>
    </w:p>
    <w:p>
      <w:pPr>
        <w:spacing w:after="0" w:line="180" w:lineRule="exact"/>
        <w:rPr>
          <w:sz w:val="20"/>
          <w:szCs w:val="20"/>
          <w:color w:val="auto"/>
        </w:rPr>
      </w:pPr>
    </w:p>
    <w:p>
      <w:pPr>
        <w:ind w:left="120" w:firstLine="509"/>
        <w:spacing w:after="0" w:line="258" w:lineRule="auto"/>
        <w:rPr>
          <w:sz w:val="20"/>
          <w:szCs w:val="20"/>
          <w:color w:val="auto"/>
        </w:rPr>
      </w:pPr>
      <w:r>
        <w:rPr>
          <w:rFonts w:ascii="Times New Roman" w:cs="Times New Roman" w:eastAsia="Times New Roman" w:hAnsi="Times New Roman"/>
          <w:sz w:val="17"/>
          <w:szCs w:val="17"/>
          <w:color w:val="231F20"/>
        </w:rPr>
        <w:t>You and your Affiliated Persons are prohibited from engaging in insider trading and from otherwise trading in securities in violation of this Insider Trading Policy. “Insider trading” is (1) trading (buying or selling) the securities of a company whether for your account or for the account of another, while in the possession of material nonpublic information (see definition below) about that company or (2) disclosing material nonpublic information about a company to others who may trade on the basis of that information. Insider trading can result in criminal prosecution, jail time, significant fines and public embarrassment for you and the Company.</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Prohibition on Trading in Company Securities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2</w:t>
      </w:r>
    </w:p>
    <w:p>
      <w:pPr>
        <w:sectPr>
          <w:pgSz w:w="11900" w:h="16838" w:orient="portrait"/>
          <w:cols w:equalWidth="0" w:num="1">
            <w:col w:w="11080"/>
          </w:cols>
          <w:pgMar w:left="340" w:top="1148" w:right="479" w:bottom="1440" w:gutter="0" w:footer="0" w:header="0"/>
        </w:sectPr>
      </w:pPr>
    </w:p>
    <w:bookmarkStart w:id="210" w:name="page211"/>
    <w:bookmarkEnd w:id="210"/>
    <w:p>
      <w:pPr>
        <w:ind w:left="120" w:right="20" w:firstLine="509"/>
        <w:spacing w:after="0" w:line="254" w:lineRule="auto"/>
        <w:rPr>
          <w:sz w:val="20"/>
          <w:szCs w:val="20"/>
          <w:color w:val="auto"/>
        </w:rPr>
      </w:pPr>
      <w:r>
        <w:rPr>
          <w:rFonts w:ascii="Times New Roman" w:cs="Times New Roman" w:eastAsia="Times New Roman" w:hAnsi="Times New Roman"/>
          <w:sz w:val="17"/>
          <w:szCs w:val="17"/>
          <w:color w:val="231F20"/>
        </w:rPr>
        <w:t>When you know or are in possession of material, nonpublic information about the Company, whether positive or negative, you are prohibited from trading (whether for your account or for the account of another) in the Company’s securities, which includes common stock, options to purchase common stock, any other type of securities that the Company may issue (such as preferred stock, convertible debentures, warrants and exchange-traded options), and any derivative securities that provide the economic equivalent of ownership of any of the Company’s securities or an opportunity, direct or indirect, to profit from any change in the value of the Company’s securities, except for trades made in compliance with the affirmative defense of Rule 10b5-1 under the Exchange Act, such as when trades are made pursuant to a written plan that was adopted, or trading instructions that were given, before you knew or had possession of such material, nonpublic information and certain other conditions are satisfied.</w:t>
      </w:r>
    </w:p>
    <w:p>
      <w:pPr>
        <w:spacing w:after="0" w:line="69" w:lineRule="exact"/>
        <w:rPr>
          <w:sz w:val="20"/>
          <w:szCs w:val="20"/>
          <w:color w:val="auto"/>
        </w:rPr>
      </w:pPr>
    </w:p>
    <w:p>
      <w:pPr>
        <w:ind w:left="120" w:firstLine="509"/>
        <w:spacing w:after="0" w:line="257" w:lineRule="auto"/>
        <w:rPr>
          <w:sz w:val="20"/>
          <w:szCs w:val="20"/>
          <w:color w:val="auto"/>
        </w:rPr>
      </w:pPr>
      <w:r>
        <w:rPr>
          <w:rFonts w:ascii="Times New Roman" w:cs="Times New Roman" w:eastAsia="Times New Roman" w:hAnsi="Times New Roman"/>
          <w:sz w:val="17"/>
          <w:szCs w:val="17"/>
          <w:color w:val="231F20"/>
        </w:rPr>
        <w:t>The trading prohibitions in this Insider Trading Policy do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39" w:lineRule="exact"/>
        <w:rPr>
          <w:sz w:val="20"/>
          <w:szCs w:val="20"/>
          <w:color w:val="auto"/>
        </w:rPr>
      </w:pPr>
    </w:p>
    <w:p>
      <w:pPr>
        <w:ind w:left="120" w:right="60" w:firstLine="509"/>
        <w:spacing w:after="0" w:line="268" w:lineRule="auto"/>
        <w:rPr>
          <w:sz w:val="20"/>
          <w:szCs w:val="20"/>
          <w:color w:val="auto"/>
        </w:rPr>
      </w:pPr>
      <w:r>
        <w:rPr>
          <w:rFonts w:ascii="Times New Roman" w:cs="Times New Roman" w:eastAsia="Times New Roman" w:hAnsi="Times New Roman"/>
          <w:sz w:val="17"/>
          <w:szCs w:val="17"/>
          <w:color w:val="231F20"/>
        </w:rPr>
        <w:t>The trading prohibitions in this Insider Trading Policy do apply, however, to: the use of outstanding Company securities to pay part or all of the exercise price of a stock option, any sale of stock as part of a broker-assisted cashless exercise of an option and any other market sale for the purpose of generating the cash needed to pay the exercise price of an option.</w:t>
      </w:r>
    </w:p>
    <w:p>
      <w:pPr>
        <w:spacing w:after="0" w:line="1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Prohibitions on Tipping</w:t>
      </w:r>
    </w:p>
    <w:p>
      <w:pPr>
        <w:spacing w:after="0" w:line="180" w:lineRule="exact"/>
        <w:rPr>
          <w:sz w:val="20"/>
          <w:szCs w:val="20"/>
          <w:color w:val="auto"/>
        </w:rPr>
      </w:pPr>
    </w:p>
    <w:p>
      <w:pPr>
        <w:ind w:left="120" w:right="40" w:firstLine="509"/>
        <w:spacing w:after="0" w:line="255" w:lineRule="auto"/>
        <w:rPr>
          <w:sz w:val="20"/>
          <w:szCs w:val="20"/>
          <w:color w:val="auto"/>
        </w:rPr>
      </w:pPr>
      <w:r>
        <w:rPr>
          <w:rFonts w:ascii="Times New Roman" w:cs="Times New Roman" w:eastAsia="Times New Roman" w:hAnsi="Times New Roman"/>
          <w:sz w:val="17"/>
          <w:szCs w:val="17"/>
          <w:color w:val="231F20"/>
        </w:rPr>
        <w:t>Providing material nonpublic information about the Company to another person who may trade or advise others to trade on the basis of that information is known as “tipping” and is illegal. You are prohibited from providing material nonpublic information about the Company to a friend, relative or anyone else who might buy or sell a security or other financial instrument on the basis of that information, whether or not you intend to or actually do realize a profit (or any other benefit) from such tipping. Additionally, you are prohibited from recommending to any person that such person engage in or refrain from engaging in any transaction involving the Company’s securities, or otherwise give trading advice concerning the Company’s securities, if you are in possession of material nonpublic information about the Company.</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Prohibition on Trading in Securities of Other Companies</w:t>
      </w:r>
    </w:p>
    <w:p>
      <w:pPr>
        <w:spacing w:after="0" w:line="180" w:lineRule="exact"/>
        <w:rPr>
          <w:sz w:val="20"/>
          <w:szCs w:val="20"/>
          <w:color w:val="auto"/>
        </w:rPr>
      </w:pPr>
    </w:p>
    <w:p>
      <w:pPr>
        <w:ind w:left="120" w:firstLine="509"/>
        <w:spacing w:after="0" w:line="255" w:lineRule="auto"/>
        <w:rPr>
          <w:sz w:val="20"/>
          <w:szCs w:val="20"/>
          <w:color w:val="auto"/>
        </w:rPr>
      </w:pPr>
      <w:r>
        <w:rPr>
          <w:rFonts w:ascii="Times New Roman" w:cs="Times New Roman" w:eastAsia="Times New Roman" w:hAnsi="Times New Roman"/>
          <w:sz w:val="17"/>
          <w:szCs w:val="17"/>
          <w:color w:val="231F20"/>
        </w:rPr>
        <w:t>Whenever, during the course of your service to or employment by the Company, you become aware of material nonpublic information about another company (1) with which the Company has an existing business relationship, including but not limited to, the Company’s distributors, vendors, customers or suppliers or collaboration, marketing, research, development or licensing partners, or (2) with which the Company is in active discussions concerning a potential transaction or business relationship, neither you nor your Affiliated Persons may trade in any securities of that company, give trading advice about that company, tip or disclose that information, pass it on to others or engage in any other action to take advantage of that information. If your work regularly involves handling or discussing confidential information of</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3</w:t>
      </w:r>
    </w:p>
    <w:p>
      <w:pPr>
        <w:sectPr>
          <w:pgSz w:w="11900" w:h="16838" w:orient="portrait"/>
          <w:cols w:equalWidth="0" w:num="1">
            <w:col w:w="11040"/>
          </w:cols>
          <w:pgMar w:left="340" w:top="1148" w:right="519" w:bottom="1440" w:gutter="0" w:footer="0" w:header="0"/>
        </w:sectPr>
      </w:pPr>
    </w:p>
    <w:bookmarkStart w:id="211" w:name="page212"/>
    <w:bookmarkEnd w:id="211"/>
    <w:p>
      <w:pPr>
        <w:ind w:left="120" w:right="4240"/>
        <w:spacing w:after="0" w:line="276" w:lineRule="auto"/>
        <w:rPr>
          <w:sz w:val="20"/>
          <w:szCs w:val="20"/>
          <w:color w:val="auto"/>
        </w:rPr>
      </w:pPr>
      <w:r>
        <w:rPr>
          <w:rFonts w:ascii="Times New Roman" w:cs="Times New Roman" w:eastAsia="Times New Roman" w:hAnsi="Times New Roman"/>
          <w:sz w:val="17"/>
          <w:szCs w:val="17"/>
          <w:color w:val="231F20"/>
        </w:rPr>
        <w:t>companies in either of the foregoing categories, you should consult with the Compliance Officer before trading in any of those company’s securities.</w:t>
      </w:r>
    </w:p>
    <w:p>
      <w:pPr>
        <w:spacing w:after="0" w:line="134" w:lineRule="exact"/>
        <w:rPr>
          <w:sz w:val="20"/>
          <w:szCs w:val="20"/>
          <w:color w:val="auto"/>
        </w:rPr>
      </w:pPr>
    </w:p>
    <w:p>
      <w:pPr>
        <w:ind w:left="120" w:right="80" w:firstLine="509"/>
        <w:spacing w:after="0" w:line="257" w:lineRule="auto"/>
        <w:rPr>
          <w:sz w:val="20"/>
          <w:szCs w:val="20"/>
          <w:color w:val="auto"/>
        </w:rPr>
      </w:pPr>
      <w:r>
        <w:rPr>
          <w:rFonts w:ascii="Times New Roman" w:cs="Times New Roman" w:eastAsia="Times New Roman" w:hAnsi="Times New Roman"/>
          <w:sz w:val="17"/>
          <w:szCs w:val="17"/>
          <w:color w:val="231F20"/>
        </w:rPr>
        <w:t>Additionally, if you believe you may be in possession of nonpublic information about the Company that could potentially have a material effect on the stock price of a company with which the Company does not have an existing business relationship or with which the Company is not discussing a potential transaction or business relationship, you should exercise caution when trading in the securities of that company because the U.S. Securities and Exchange Commission (the “SEC”) has successfully brought an insider trading claim against an insider in those circumstances.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Other Prohibited Transactions</w:t>
      </w:r>
    </w:p>
    <w:p>
      <w:pPr>
        <w:spacing w:after="0" w:line="176" w:lineRule="exact"/>
        <w:rPr>
          <w:sz w:val="20"/>
          <w:szCs w:val="20"/>
          <w:color w:val="auto"/>
        </w:rPr>
      </w:pPr>
    </w:p>
    <w:p>
      <w:pPr>
        <w:ind w:left="1140" w:right="4300" w:hanging="510"/>
        <w:spacing w:after="0" w:line="281" w:lineRule="auto"/>
        <w:tabs>
          <w:tab w:leader="none" w:pos="1136"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No Short Sales</w:t>
      </w:r>
      <w:r>
        <w:rPr>
          <w:rFonts w:ascii="Times New Roman" w:cs="Times New Roman" w:eastAsia="Times New Roman" w:hAnsi="Times New Roman"/>
          <w:sz w:val="17"/>
          <w:szCs w:val="17"/>
          <w:color w:val="231F20"/>
        </w:rPr>
        <w:t>. You may not at any time sell any securities of the Company that</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are not owned by you at the time of the sale (a “</w:t>
      </w:r>
      <w:r>
        <w:rPr>
          <w:rFonts w:ascii="Times New Roman" w:cs="Times New Roman" w:eastAsia="Times New Roman" w:hAnsi="Times New Roman"/>
          <w:sz w:val="17"/>
          <w:szCs w:val="17"/>
          <w:u w:val="single" w:color="auto"/>
          <w:color w:val="231F20"/>
        </w:rPr>
        <w:t>short sale</w:t>
      </w:r>
      <w:r>
        <w:rPr>
          <w:rFonts w:ascii="Times New Roman" w:cs="Times New Roman" w:eastAsia="Times New Roman" w:hAnsi="Times New Roman"/>
          <w:sz w:val="17"/>
          <w:szCs w:val="17"/>
          <w:color w:val="231F20"/>
        </w:rPr>
        <w:t>”).</w:t>
      </w:r>
    </w:p>
    <w:p>
      <w:pPr>
        <w:spacing w:after="0" w:line="115" w:lineRule="exact"/>
        <w:rPr>
          <w:rFonts w:ascii="Times New Roman" w:cs="Times New Roman" w:eastAsia="Times New Roman" w:hAnsi="Times New Roman"/>
          <w:sz w:val="17"/>
          <w:szCs w:val="17"/>
          <w:color w:val="231F20"/>
        </w:rPr>
      </w:pPr>
    </w:p>
    <w:p>
      <w:pPr>
        <w:ind w:left="1140" w:right="40" w:hanging="510"/>
        <w:spacing w:after="0" w:line="263" w:lineRule="auto"/>
        <w:tabs>
          <w:tab w:leader="none" w:pos="1136"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No Purchases or Sales of Derivative Securities or Hedging Transactions</w:t>
      </w:r>
      <w:r>
        <w:rPr>
          <w:rFonts w:ascii="Times New Roman" w:cs="Times New Roman" w:eastAsia="Times New Roman" w:hAnsi="Times New Roman"/>
          <w:sz w:val="17"/>
          <w:szCs w:val="17"/>
          <w:i w:val="1"/>
          <w:iCs w:val="1"/>
          <w:color w:val="231F20"/>
        </w:rPr>
        <w:t>.</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You may not buy or sell puts, calls, other derivative securities of the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Company or any derivative securities that provide the economic equivalent of ownership of any of the Company’s securities or an opportunity, direct or indirect, to profit from any change in the value of our securities or engage in any other hedging transaction with respect to the Company’s securities.</w:t>
      </w:r>
    </w:p>
    <w:p>
      <w:pPr>
        <w:spacing w:after="0" w:line="129" w:lineRule="exact"/>
        <w:rPr>
          <w:rFonts w:ascii="Times New Roman" w:cs="Times New Roman" w:eastAsia="Times New Roman" w:hAnsi="Times New Roman"/>
          <w:sz w:val="17"/>
          <w:szCs w:val="17"/>
          <w:color w:val="231F20"/>
        </w:rPr>
      </w:pPr>
    </w:p>
    <w:p>
      <w:pPr>
        <w:ind w:left="1140" w:right="4960" w:hanging="510"/>
        <w:spacing w:after="0" w:line="281" w:lineRule="auto"/>
        <w:tabs>
          <w:tab w:leader="none" w:pos="1136"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No Company Securities Subject to Margin Calls</w:t>
      </w:r>
      <w:r>
        <w:rPr>
          <w:rFonts w:ascii="Times New Roman" w:cs="Times New Roman" w:eastAsia="Times New Roman" w:hAnsi="Times New Roman"/>
          <w:sz w:val="17"/>
          <w:szCs w:val="17"/>
          <w:i w:val="1"/>
          <w:iCs w:val="1"/>
          <w:color w:val="231F20"/>
        </w:rPr>
        <w:t>.</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You may not use the</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Company’s securities as collateral in a margin account.</w:t>
      </w:r>
    </w:p>
    <w:p>
      <w:pPr>
        <w:spacing w:after="0" w:line="115"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No Pledges</w:t>
      </w:r>
      <w:r>
        <w:rPr>
          <w:rFonts w:ascii="Times New Roman" w:cs="Times New Roman" w:eastAsia="Times New Roman" w:hAnsi="Times New Roman"/>
          <w:sz w:val="17"/>
          <w:szCs w:val="17"/>
          <w:color w:val="231F20"/>
        </w:rPr>
        <w:t>. You may not pledge Company securities as collateral for a loan (or modify an existing pledge).</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Duration of Trading Prohibitions</w:t>
      </w:r>
    </w:p>
    <w:p>
      <w:pPr>
        <w:spacing w:after="0" w:line="180" w:lineRule="exact"/>
        <w:rPr>
          <w:sz w:val="20"/>
          <w:szCs w:val="20"/>
          <w:color w:val="auto"/>
        </w:rPr>
      </w:pPr>
    </w:p>
    <w:p>
      <w:pPr>
        <w:jc w:val="both"/>
        <w:ind w:left="120" w:firstLine="509"/>
        <w:spacing w:after="0" w:line="262" w:lineRule="auto"/>
        <w:rPr>
          <w:sz w:val="20"/>
          <w:szCs w:val="20"/>
          <w:color w:val="auto"/>
        </w:rPr>
      </w:pPr>
      <w:r>
        <w:rPr>
          <w:rFonts w:ascii="Times New Roman" w:cs="Times New Roman" w:eastAsia="Times New Roman" w:hAnsi="Times New Roman"/>
          <w:sz w:val="17"/>
          <w:szCs w:val="17"/>
          <w:color w:val="231F20"/>
        </w:rPr>
        <w:t>These trading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30" w:lineRule="exact"/>
        <w:rPr>
          <w:sz w:val="20"/>
          <w:szCs w:val="20"/>
          <w:color w:val="auto"/>
        </w:rPr>
      </w:pPr>
    </w:p>
    <w:p>
      <w:pPr>
        <w:ind w:left="620" w:hanging="500"/>
        <w:spacing w:after="0"/>
        <w:tabs>
          <w:tab w:leader="none" w:pos="620" w:val="left"/>
        </w:tabs>
        <w:numPr>
          <w:ilvl w:val="0"/>
          <w:numId w:val="77"/>
        </w:numPr>
        <w:rPr>
          <w:rFonts w:ascii="Times New Roman" w:cs="Times New Roman" w:eastAsia="Times New Roman" w:hAnsi="Times New Roman"/>
          <w:sz w:val="17"/>
          <w:szCs w:val="17"/>
          <w:b w:val="1"/>
          <w:bCs w:val="1"/>
          <w:i w:val="1"/>
          <w:iCs w:val="1"/>
          <w:color w:val="231F20"/>
        </w:rPr>
      </w:pPr>
      <w:r>
        <w:rPr>
          <w:rFonts w:ascii="Times New Roman" w:cs="Times New Roman" w:eastAsia="Times New Roman" w:hAnsi="Times New Roman"/>
          <w:sz w:val="17"/>
          <w:szCs w:val="17"/>
          <w:b w:val="1"/>
          <w:bCs w:val="1"/>
          <w:i w:val="1"/>
          <w:iCs w:val="1"/>
          <w:color w:val="231F20"/>
        </w:rPr>
        <w:t>What is Material, Nonpublic Information?</w:t>
      </w:r>
    </w:p>
    <w:p>
      <w:pPr>
        <w:spacing w:after="0" w:line="190" w:lineRule="exact"/>
        <w:rPr>
          <w:sz w:val="20"/>
          <w:szCs w:val="20"/>
          <w:color w:val="auto"/>
        </w:rPr>
      </w:pPr>
    </w:p>
    <w:p>
      <w:pPr>
        <w:ind w:left="120" w:right="140" w:firstLine="509"/>
        <w:spacing w:after="0" w:line="262" w:lineRule="auto"/>
        <w:rPr>
          <w:sz w:val="20"/>
          <w:szCs w:val="20"/>
          <w:color w:val="auto"/>
        </w:rPr>
      </w:pPr>
      <w:r>
        <w:rPr>
          <w:rFonts w:ascii="Times New Roman" w:cs="Times New Roman" w:eastAsia="Times New Roman" w:hAnsi="Times New Roman"/>
          <w:sz w:val="17"/>
          <w:szCs w:val="17"/>
          <w:color w:val="231F20"/>
        </w:rPr>
        <w:t>This Insider Trading Policy prohibits you from trading in the securities of the Company or any other company if you are in possession of information about the Company or any other company that is both “</w:t>
      </w:r>
      <w:r>
        <w:rPr>
          <w:rFonts w:ascii="Times New Roman" w:cs="Times New Roman" w:eastAsia="Times New Roman" w:hAnsi="Times New Roman"/>
          <w:sz w:val="17"/>
          <w:szCs w:val="17"/>
          <w:i w:val="1"/>
          <w:iCs w:val="1"/>
          <w:color w:val="231F20"/>
        </w:rPr>
        <w:t>material</w:t>
      </w:r>
      <w:r>
        <w:rPr>
          <w:rFonts w:ascii="Times New Roman" w:cs="Times New Roman" w:eastAsia="Times New Roman" w:hAnsi="Times New Roman"/>
          <w:sz w:val="17"/>
          <w:szCs w:val="17"/>
          <w:color w:val="231F20"/>
        </w:rPr>
        <w:t>” and “</w:t>
      </w:r>
      <w:r>
        <w:rPr>
          <w:rFonts w:ascii="Times New Roman" w:cs="Times New Roman" w:eastAsia="Times New Roman" w:hAnsi="Times New Roman"/>
          <w:sz w:val="17"/>
          <w:szCs w:val="17"/>
          <w:i w:val="1"/>
          <w:iCs w:val="1"/>
          <w:color w:val="231F20"/>
        </w:rPr>
        <w:t>nonpublic</w:t>
      </w:r>
      <w:r>
        <w:rPr>
          <w:rFonts w:ascii="Times New Roman" w:cs="Times New Roman" w:eastAsia="Times New Roman" w:hAnsi="Times New Roman"/>
          <w:sz w:val="17"/>
          <w:szCs w:val="17"/>
          <w:color w:val="231F20"/>
        </w:rPr>
        <w:t>.” If you have a question whether certain information you are aware of is material or has been made public, you should consult with the Compliance Officer.</w:t>
      </w:r>
    </w:p>
    <w:p>
      <w:pPr>
        <w:spacing w:after="0" w:line="1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“Material”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4</w:t>
      </w:r>
    </w:p>
    <w:p>
      <w:pPr>
        <w:sectPr>
          <w:pgSz w:w="11900" w:h="16838" w:orient="portrait"/>
          <w:cols w:equalWidth="0" w:num="1">
            <w:col w:w="10920"/>
          </w:cols>
          <w:pgMar w:left="340" w:top="1148" w:right="639" w:bottom="1440" w:gutter="0" w:footer="0" w:header="0"/>
        </w:sectPr>
      </w:pPr>
    </w:p>
    <w:bookmarkStart w:id="212" w:name="page213"/>
    <w:bookmarkEnd w:id="212"/>
    <w:p>
      <w:pPr>
        <w:ind w:left="120" w:right="40" w:firstLine="509"/>
        <w:spacing w:after="0" w:line="258" w:lineRule="auto"/>
        <w:rPr>
          <w:sz w:val="20"/>
          <w:szCs w:val="20"/>
          <w:color w:val="auto"/>
        </w:rPr>
      </w:pPr>
      <w:r>
        <w:rPr>
          <w:rFonts w:ascii="Times New Roman" w:cs="Times New Roman" w:eastAsia="Times New Roman" w:hAnsi="Times New Roman"/>
          <w:sz w:val="17"/>
          <w:szCs w:val="17"/>
          <w:color w:val="231F20"/>
        </w:rPr>
        <w:t>Information about the Company or any other company is “material” if it could reasonably be expected to affect the investment or voting decisions of a stockholder or potential investor, or if the disclosure of the information could reasonably be expected to significantly alter the total mix of information in the marketplace about the Company or any other company. We speak mostly in this Insider Trading Policy about determining whether information about us is material and nonpublic, but the same analysis applies to information about other companies covered by this Insider Trading Policy that would preclude you from trading in their securities.</w:t>
      </w:r>
    </w:p>
    <w:p>
      <w:pPr>
        <w:spacing w:after="0" w:line="138" w:lineRule="exact"/>
        <w:rPr>
          <w:sz w:val="20"/>
          <w:szCs w:val="20"/>
          <w:color w:val="auto"/>
        </w:rPr>
      </w:pPr>
    </w:p>
    <w:p>
      <w:pPr>
        <w:jc w:val="both"/>
        <w:ind w:left="120" w:right="20" w:firstLine="509"/>
        <w:spacing w:after="0" w:line="268" w:lineRule="auto"/>
        <w:rPr>
          <w:sz w:val="20"/>
          <w:szCs w:val="20"/>
          <w:color w:val="auto"/>
        </w:rPr>
      </w:pPr>
      <w:r>
        <w:rPr>
          <w:rFonts w:ascii="Times New Roman" w:cs="Times New Roman" w:eastAsia="Times New Roman" w:hAnsi="Times New Roman"/>
          <w:sz w:val="17"/>
          <w:szCs w:val="17"/>
          <w:color w:val="231F20"/>
        </w:rPr>
        <w:t>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30" w:lineRule="exact"/>
        <w:rPr>
          <w:sz w:val="20"/>
          <w:szCs w:val="20"/>
          <w:color w:val="auto"/>
        </w:rPr>
      </w:pPr>
    </w:p>
    <w:p>
      <w:pPr>
        <w:ind w:left="1140" w:right="240" w:hanging="510"/>
        <w:spacing w:after="0" w:line="276" w:lineRule="auto"/>
        <w:tabs>
          <w:tab w:leader="none" w:pos="1136"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developments regarding any programs in preclinical or clinical development, including recent regulatory interaction and/or data that have been recently generated from ongoing or recently completed preclinical studies or clinical trials;</w:t>
      </w:r>
    </w:p>
    <w:p>
      <w:pPr>
        <w:spacing w:after="0" w:line="38" w:lineRule="exact"/>
        <w:rPr>
          <w:rFonts w:ascii="Times New Roman" w:cs="Times New Roman" w:eastAsia="Times New Roman" w:hAnsi="Times New Roman"/>
          <w:sz w:val="17"/>
          <w:szCs w:val="17"/>
          <w:color w:val="231F20"/>
        </w:rPr>
      </w:pPr>
    </w:p>
    <w:p>
      <w:pPr>
        <w:ind w:left="1140" w:right="740" w:hanging="510"/>
        <w:spacing w:after="0" w:line="276" w:lineRule="auto"/>
        <w:tabs>
          <w:tab w:leader="none" w:pos="1136"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developments regarding the intellectual property and/or freedom to operate for any of the current programs or product candidates under development;</w:t>
      </w:r>
    </w:p>
    <w:p>
      <w:pPr>
        <w:spacing w:after="0" w:line="38"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projections of future earnings or losses, or other earnings guidance;</w:t>
      </w:r>
    </w:p>
    <w:p>
      <w:pPr>
        <w:spacing w:after="0" w:line="90"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quarterly financial results that are known but have not been publicly disclosed;</w:t>
      </w:r>
    </w:p>
    <w:p>
      <w:pPr>
        <w:spacing w:after="0" w:line="101" w:lineRule="exact"/>
        <w:rPr>
          <w:rFonts w:ascii="Times New Roman" w:cs="Times New Roman" w:eastAsia="Times New Roman" w:hAnsi="Times New Roman"/>
          <w:sz w:val="17"/>
          <w:szCs w:val="17"/>
          <w:color w:val="231F20"/>
        </w:rPr>
      </w:pPr>
    </w:p>
    <w:p>
      <w:pPr>
        <w:ind w:left="1140" w:right="60" w:hanging="510"/>
        <w:spacing w:after="0" w:line="276" w:lineRule="auto"/>
        <w:tabs>
          <w:tab w:leader="none" w:pos="1136"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potential restatements of the Company’s financial statements, changes in auditors or auditor notification that the Company may no longer rely on an auditor’s audit report;</w:t>
      </w:r>
    </w:p>
    <w:p>
      <w:pPr>
        <w:spacing w:after="0" w:line="38"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pending or proposed corporate mergers, acquisitions, tender offers, joint ventures or dispositions of significant assets;</w:t>
      </w:r>
    </w:p>
    <w:p>
      <w:pPr>
        <w:spacing w:after="0" w:line="90"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management or the Board of Directors;</w:t>
      </w:r>
    </w:p>
    <w:p>
      <w:pPr>
        <w:spacing w:after="0" w:line="90"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significant actual or threatened litigation or governmental investigations or major developments in such matters;</w:t>
      </w:r>
    </w:p>
    <w:p>
      <w:pPr>
        <w:spacing w:after="0" w:line="90"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cybersecurity incident;</w:t>
      </w:r>
    </w:p>
    <w:p>
      <w:pPr>
        <w:spacing w:after="0" w:line="90" w:lineRule="exact"/>
        <w:rPr>
          <w:rFonts w:ascii="Times New Roman" w:cs="Times New Roman" w:eastAsia="Times New Roman" w:hAnsi="Times New Roman"/>
          <w:sz w:val="17"/>
          <w:szCs w:val="17"/>
          <w:color w:val="231F20"/>
        </w:rPr>
      </w:pPr>
    </w:p>
    <w:p>
      <w:pPr>
        <w:ind w:left="1140" w:right="620" w:hanging="510"/>
        <w:spacing w:after="0" w:line="289" w:lineRule="auto"/>
        <w:tabs>
          <w:tab w:leader="none" w:pos="1136"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significant developments regarding products, customers, suppliers, orders, contracts or financing sources (e.g., the acquisition or loss of a contract);</w:t>
      </w:r>
    </w:p>
    <w:p>
      <w:pPr>
        <w:spacing w:after="0" w:line="27"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changes in dividend policy, declarations of stock splits, or public or private sales of additional securities;</w:t>
      </w:r>
    </w:p>
    <w:p>
      <w:pPr>
        <w:spacing w:after="0" w:line="90" w:lineRule="exact"/>
        <w:rPr>
          <w:rFonts w:ascii="Times New Roman" w:cs="Times New Roman" w:eastAsia="Times New Roman" w:hAnsi="Times New Roman"/>
          <w:sz w:val="17"/>
          <w:szCs w:val="17"/>
          <w:color w:val="231F20"/>
        </w:rPr>
      </w:pPr>
    </w:p>
    <w:p>
      <w:pPr>
        <w:ind w:left="1140" w:right="4880" w:hanging="510"/>
        <w:spacing w:after="0" w:line="276" w:lineRule="auto"/>
        <w:tabs>
          <w:tab w:leader="none" w:pos="1136"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potential defaults under the Company’s credit agreements or indentures, or potential material liquidity issues; and</w:t>
      </w:r>
    </w:p>
    <w:p>
      <w:pPr>
        <w:spacing w:after="0" w:line="38" w:lineRule="exact"/>
        <w:rPr>
          <w:rFonts w:ascii="Times New Roman" w:cs="Times New Roman" w:eastAsia="Times New Roman" w:hAnsi="Times New Roman"/>
          <w:sz w:val="17"/>
          <w:szCs w:val="17"/>
          <w:color w:val="231F20"/>
        </w:rPr>
      </w:pPr>
    </w:p>
    <w:p>
      <w:pPr>
        <w:ind w:left="1140" w:hanging="510"/>
        <w:spacing w:after="0"/>
        <w:tabs>
          <w:tab w:leader="none" w:pos="1140" w:val="left"/>
        </w:tabs>
        <w:numPr>
          <w:ilvl w:val="0"/>
          <w:numId w:val="7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bankruptcies or receiverships.</w:t>
      </w:r>
    </w:p>
    <w:p>
      <w:pPr>
        <w:spacing w:after="0" w:line="176" w:lineRule="exact"/>
        <w:rPr>
          <w:sz w:val="20"/>
          <w:szCs w:val="20"/>
          <w:color w:val="auto"/>
        </w:rPr>
      </w:pPr>
    </w:p>
    <w:p>
      <w:pPr>
        <w:ind w:left="120" w:firstLine="509"/>
        <w:spacing w:after="0" w:line="276" w:lineRule="auto"/>
        <w:rPr>
          <w:sz w:val="20"/>
          <w:szCs w:val="20"/>
          <w:color w:val="auto"/>
        </w:rPr>
      </w:pPr>
      <w:r>
        <w:rPr>
          <w:rFonts w:ascii="Times New Roman" w:cs="Times New Roman" w:eastAsia="Times New Roman" w:hAnsi="Times New Roman"/>
          <w:sz w:val="17"/>
          <w:szCs w:val="17"/>
          <w:color w:val="231F20"/>
        </w:rPr>
        <w:t xml:space="preserve">By including the list above, the Company does not mean to imply that each of these items above is </w:t>
      </w:r>
      <w:r>
        <w:rPr>
          <w:rFonts w:ascii="Times New Roman" w:cs="Times New Roman" w:eastAsia="Times New Roman" w:hAnsi="Times New Roman"/>
          <w:sz w:val="17"/>
          <w:szCs w:val="17"/>
          <w:u w:val="single" w:color="auto"/>
          <w:color w:val="231F20"/>
        </w:rPr>
        <w:t>per se</w:t>
      </w:r>
      <w:r>
        <w:rPr>
          <w:rFonts w:ascii="Times New Roman" w:cs="Times New Roman" w:eastAsia="Times New Roman" w:hAnsi="Times New Roman"/>
          <w:sz w:val="17"/>
          <w:szCs w:val="17"/>
          <w:color w:val="231F20"/>
        </w:rPr>
        <w:t xml:space="preserve"> material. The information and events on this list still require determinations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5</w:t>
      </w:r>
    </w:p>
    <w:p>
      <w:pPr>
        <w:sectPr>
          <w:pgSz w:w="11900" w:h="16838" w:orient="portrait"/>
          <w:cols w:equalWidth="0" w:num="1">
            <w:col w:w="11080"/>
          </w:cols>
          <w:pgMar w:left="340" w:top="1148" w:right="479" w:bottom="1440" w:gutter="0" w:footer="0" w:header="0"/>
        </w:sectPr>
      </w:pPr>
    </w:p>
    <w:bookmarkStart w:id="213" w:name="page214"/>
    <w:bookmarkEnd w:id="213"/>
    <w:p>
      <w:pPr>
        <w:ind w:left="120"/>
        <w:spacing w:after="0"/>
        <w:rPr>
          <w:sz w:val="20"/>
          <w:szCs w:val="20"/>
          <w:color w:val="auto"/>
        </w:rPr>
      </w:pPr>
      <w:r>
        <w:rPr>
          <w:rFonts w:ascii="Times New Roman" w:cs="Times New Roman" w:eastAsia="Times New Roman" w:hAnsi="Times New Roman"/>
          <w:sz w:val="16"/>
          <w:szCs w:val="16"/>
          <w:color w:val="231F20"/>
        </w:rPr>
        <w:t>as to their materiality (although some determinations will be reached more easily than others). For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6</w:t>
      </w:r>
    </w:p>
    <w:p>
      <w:pPr>
        <w:sectPr>
          <w:pgSz w:w="11900" w:h="16838" w:orient="portrait"/>
          <w:cols w:equalWidth="0" w:num="1">
            <w:col w:w="10119"/>
          </w:cols>
          <w:pgMar w:left="340" w:top="1275" w:right="1440" w:bottom="1440" w:gutter="0" w:footer="0" w:header="0"/>
        </w:sectPr>
      </w:pPr>
    </w:p>
    <w:bookmarkStart w:id="214" w:name="page215"/>
    <w:bookmarkEnd w:id="214"/>
    <w:p>
      <w:pPr>
        <w:ind w:left="120" w:right="40"/>
        <w:spacing w:after="0" w:line="268" w:lineRule="auto"/>
        <w:rPr>
          <w:sz w:val="20"/>
          <w:szCs w:val="20"/>
          <w:color w:val="auto"/>
        </w:rPr>
      </w:pPr>
      <w:r>
        <w:rPr>
          <w:rFonts w:ascii="Times New Roman" w:cs="Times New Roman" w:eastAsia="Times New Roman" w:hAnsi="Times New Roman"/>
          <w:sz w:val="17"/>
          <w:szCs w:val="17"/>
          <w:color w:val="231F20"/>
        </w:rPr>
        <w:t>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30" w:lineRule="exact"/>
        <w:rPr>
          <w:sz w:val="20"/>
          <w:szCs w:val="20"/>
          <w:color w:val="auto"/>
        </w:rPr>
      </w:pPr>
    </w:p>
    <w:p>
      <w:pPr>
        <w:ind w:left="120" w:right="80" w:firstLine="509"/>
        <w:spacing w:after="0" w:line="276" w:lineRule="auto"/>
        <w:rPr>
          <w:sz w:val="20"/>
          <w:szCs w:val="20"/>
          <w:color w:val="auto"/>
        </w:rPr>
      </w:pPr>
      <w:r>
        <w:rPr>
          <w:rFonts w:ascii="Times New Roman" w:cs="Times New Roman" w:eastAsia="Times New Roman" w:hAnsi="Times New Roman"/>
          <w:sz w:val="17"/>
          <w:szCs w:val="17"/>
          <w:color w:val="231F20"/>
        </w:rPr>
        <w:t>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“Nonpublic” Information</w:t>
      </w:r>
    </w:p>
    <w:p>
      <w:pPr>
        <w:spacing w:after="0" w:line="180" w:lineRule="exact"/>
        <w:rPr>
          <w:sz w:val="20"/>
          <w:szCs w:val="20"/>
          <w:color w:val="auto"/>
        </w:rPr>
      </w:pPr>
    </w:p>
    <w:p>
      <w:pPr>
        <w:ind w:left="120" w:right="260" w:firstLine="509"/>
        <w:spacing w:after="0" w:line="256" w:lineRule="auto"/>
        <w:rPr>
          <w:sz w:val="20"/>
          <w:szCs w:val="20"/>
          <w:color w:val="auto"/>
        </w:rPr>
      </w:pPr>
      <w:r>
        <w:rPr>
          <w:rFonts w:ascii="Times New Roman" w:cs="Times New Roman" w:eastAsia="Times New Roman" w:hAnsi="Times New Roman"/>
          <w:sz w:val="17"/>
          <w:szCs w:val="17"/>
          <w:color w:val="231F20"/>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w:t>
      </w:r>
    </w:p>
    <w:p>
      <w:pPr>
        <w:spacing w:after="0" w:line="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7"/>
          <w:szCs w:val="17"/>
          <w:color w:val="231F20"/>
        </w:rPr>
        <w:t>Before a person who possesses material, nonpublic information can trade, there also must be adequate time for the market as a whole to absorb the information that has been disclosed. For the purposes of this Insider Trading Policy, information will be considered public after the completion of one full day of trading following the Company’s public release of the information. For that purpose, a full day of trading means a session of regular trading hours on the Nasdaq Stock Market (“Nasdaq”) between 9:30 a.m. and 4:00 p.m. Eastern Time (or such earlier closing time as has been set by exchange rules) has occurred.</w:t>
      </w:r>
    </w:p>
    <w:p>
      <w:pPr>
        <w:spacing w:after="0" w:line="142" w:lineRule="exact"/>
        <w:rPr>
          <w:sz w:val="20"/>
          <w:szCs w:val="20"/>
          <w:color w:val="auto"/>
        </w:rPr>
      </w:pPr>
    </w:p>
    <w:p>
      <w:pPr>
        <w:ind w:left="120" w:right="40" w:firstLine="509"/>
        <w:spacing w:after="0" w:line="262" w:lineRule="auto"/>
        <w:rPr>
          <w:sz w:val="20"/>
          <w:szCs w:val="20"/>
          <w:color w:val="auto"/>
        </w:rPr>
      </w:pPr>
      <w:r>
        <w:rPr>
          <w:rFonts w:ascii="Times New Roman" w:cs="Times New Roman" w:eastAsia="Times New Roman" w:hAnsi="Times New Roman"/>
          <w:sz w:val="17"/>
          <w:szCs w:val="17"/>
          <w:color w:val="231F20"/>
        </w:rPr>
        <w:t>For example, if the Company publicly discloses material nonpublic information of which you are aware before trading begins on a Tuesday, the first time you can buy or sell Company securities is the opening of the market on Wednesday. However, if the Company publicly discloses this material information after trading begins on that Tuesday, the first time that you can buy or sell Company securities is the opening of the market on Thursday.</w:t>
      </w:r>
    </w:p>
    <w:p>
      <w:pPr>
        <w:spacing w:after="0" w:line="300" w:lineRule="exact"/>
        <w:rPr>
          <w:sz w:val="20"/>
          <w:szCs w:val="20"/>
          <w:color w:val="auto"/>
        </w:rPr>
      </w:pPr>
    </w:p>
    <w:p>
      <w:pPr>
        <w:ind w:left="620" w:hanging="500"/>
        <w:spacing w:after="0"/>
        <w:tabs>
          <w:tab w:leader="none" w:pos="620" w:val="left"/>
        </w:tabs>
        <w:numPr>
          <w:ilvl w:val="0"/>
          <w:numId w:val="79"/>
        </w:numPr>
        <w:rPr>
          <w:rFonts w:ascii="Times New Roman" w:cs="Times New Roman" w:eastAsia="Times New Roman" w:hAnsi="Times New Roman"/>
          <w:sz w:val="17"/>
          <w:szCs w:val="17"/>
          <w:b w:val="1"/>
          <w:bCs w:val="1"/>
          <w:i w:val="1"/>
          <w:iCs w:val="1"/>
          <w:color w:val="231F20"/>
        </w:rPr>
      </w:pPr>
      <w:r>
        <w:rPr>
          <w:rFonts w:ascii="Times New Roman" w:cs="Times New Roman" w:eastAsia="Times New Roman" w:hAnsi="Times New Roman"/>
          <w:sz w:val="17"/>
          <w:szCs w:val="17"/>
          <w:b w:val="1"/>
          <w:bCs w:val="1"/>
          <w:i w:val="1"/>
          <w:iCs w:val="1"/>
          <w:color w:val="231F20"/>
        </w:rPr>
        <w:t>What are the Penalties for Insider Trading and Noncompliance with this Insider Trading Policy?</w:t>
      </w:r>
    </w:p>
    <w:p>
      <w:pPr>
        <w:spacing w:after="0" w:line="180" w:lineRule="exact"/>
        <w:rPr>
          <w:sz w:val="20"/>
          <w:szCs w:val="20"/>
          <w:color w:val="auto"/>
        </w:rPr>
      </w:pPr>
    </w:p>
    <w:p>
      <w:pPr>
        <w:ind w:left="120" w:firstLine="509"/>
        <w:spacing w:after="0" w:line="261" w:lineRule="auto"/>
        <w:rPr>
          <w:sz w:val="20"/>
          <w:szCs w:val="20"/>
          <w:color w:val="auto"/>
        </w:rPr>
      </w:pPr>
      <w:r>
        <w:rPr>
          <w:rFonts w:ascii="Times New Roman" w:cs="Times New Roman" w:eastAsia="Times New Roman" w:hAnsi="Times New Roman"/>
          <w:sz w:val="17"/>
          <w:szCs w:val="17"/>
          <w:color w:val="231F20"/>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of insiders, and trading involving only a small number of shares.</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The penalties for violating rules against insider trading can be severe and include:</w:t>
      </w:r>
    </w:p>
    <w:p>
      <w:pPr>
        <w:spacing w:after="0" w:line="176" w:lineRule="exact"/>
        <w:rPr>
          <w:sz w:val="20"/>
          <w:szCs w:val="20"/>
          <w:color w:val="auto"/>
        </w:rPr>
      </w:pPr>
    </w:p>
    <w:p>
      <w:pPr>
        <w:ind w:left="880" w:hanging="250"/>
        <w:spacing w:after="0"/>
        <w:tabs>
          <w:tab w:leader="none" w:pos="880" w:val="left"/>
        </w:tabs>
        <w:numPr>
          <w:ilvl w:val="0"/>
          <w:numId w:val="8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forfeiting any profit gained or loss avoided by the trading;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7</w:t>
      </w:r>
    </w:p>
    <w:p>
      <w:pPr>
        <w:sectPr>
          <w:pgSz w:w="11900" w:h="16838" w:orient="portrait"/>
          <w:cols w:equalWidth="0" w:num="1">
            <w:col w:w="11080"/>
          </w:cols>
          <w:pgMar w:left="340" w:top="1148" w:right="479" w:bottom="1440" w:gutter="0" w:footer="0" w:header="0"/>
        </w:sectPr>
      </w:pPr>
    </w:p>
    <w:bookmarkStart w:id="215" w:name="page216"/>
    <w:bookmarkEnd w:id="215"/>
    <w:p>
      <w:pPr>
        <w:ind w:left="880" w:right="560" w:hanging="250"/>
        <w:spacing w:after="0" w:line="276" w:lineRule="auto"/>
        <w:tabs>
          <w:tab w:leader="none" w:pos="876" w:val="left"/>
        </w:tabs>
        <w:numPr>
          <w:ilvl w:val="0"/>
          <w:numId w:val="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payment of the loss suffered by the persons who, contemporaneously with the purchase or sale of securities that are subject of such violation, have purchased or sold, as applicable, securities of the same class;</w:t>
      </w:r>
    </w:p>
    <w:p>
      <w:pPr>
        <w:spacing w:after="0" w:line="38" w:lineRule="exact"/>
        <w:rPr>
          <w:rFonts w:ascii="Times New Roman" w:cs="Times New Roman" w:eastAsia="Times New Roman" w:hAnsi="Times New Roman"/>
          <w:sz w:val="17"/>
          <w:szCs w:val="17"/>
          <w:color w:val="231F20"/>
        </w:rPr>
      </w:pPr>
    </w:p>
    <w:p>
      <w:pPr>
        <w:ind w:left="880" w:hanging="250"/>
        <w:spacing w:after="0"/>
        <w:tabs>
          <w:tab w:leader="none" w:pos="880" w:val="left"/>
        </w:tabs>
        <w:numPr>
          <w:ilvl w:val="0"/>
          <w:numId w:val="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payment of criminal penalties of up to $5,000,000;</w:t>
      </w:r>
    </w:p>
    <w:p>
      <w:pPr>
        <w:spacing w:after="0" w:line="90" w:lineRule="exact"/>
        <w:rPr>
          <w:rFonts w:ascii="Times New Roman" w:cs="Times New Roman" w:eastAsia="Times New Roman" w:hAnsi="Times New Roman"/>
          <w:sz w:val="17"/>
          <w:szCs w:val="17"/>
          <w:color w:val="231F20"/>
        </w:rPr>
      </w:pPr>
    </w:p>
    <w:p>
      <w:pPr>
        <w:ind w:left="880" w:hanging="250"/>
        <w:spacing w:after="0"/>
        <w:tabs>
          <w:tab w:leader="none" w:pos="880" w:val="left"/>
        </w:tabs>
        <w:numPr>
          <w:ilvl w:val="0"/>
          <w:numId w:val="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payment of civil penalties of up to three times the profit made or loss avoided; and</w:t>
      </w:r>
    </w:p>
    <w:p>
      <w:pPr>
        <w:spacing w:after="0" w:line="90" w:lineRule="exact"/>
        <w:rPr>
          <w:rFonts w:ascii="Times New Roman" w:cs="Times New Roman" w:eastAsia="Times New Roman" w:hAnsi="Times New Roman"/>
          <w:sz w:val="17"/>
          <w:szCs w:val="17"/>
          <w:color w:val="231F20"/>
        </w:rPr>
      </w:pPr>
    </w:p>
    <w:p>
      <w:pPr>
        <w:ind w:left="880" w:hanging="250"/>
        <w:spacing w:after="0"/>
        <w:tabs>
          <w:tab w:leader="none" w:pos="880" w:val="left"/>
        </w:tabs>
        <w:numPr>
          <w:ilvl w:val="0"/>
          <w:numId w:val="8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imprisonment for up to 20 years.</w:t>
      </w:r>
    </w:p>
    <w:p>
      <w:pPr>
        <w:spacing w:after="0" w:line="176" w:lineRule="exact"/>
        <w:rPr>
          <w:sz w:val="20"/>
          <w:szCs w:val="20"/>
          <w:color w:val="auto"/>
        </w:rPr>
      </w:pPr>
    </w:p>
    <w:p>
      <w:pPr>
        <w:jc w:val="both"/>
        <w:ind w:left="120" w:firstLine="509"/>
        <w:spacing w:after="0" w:line="268" w:lineRule="auto"/>
        <w:rPr>
          <w:sz w:val="20"/>
          <w:szCs w:val="20"/>
          <w:color w:val="auto"/>
        </w:rPr>
      </w:pPr>
      <w:r>
        <w:rPr>
          <w:rFonts w:ascii="Times New Roman" w:cs="Times New Roman" w:eastAsia="Times New Roman" w:hAnsi="Times New Roman"/>
          <w:sz w:val="17"/>
          <w:szCs w:val="17"/>
          <w:color w:val="231F20"/>
        </w:rPr>
        <w:t>The Company and/or the supervisors of the person engaged in insider trading may also be required to pay civil penalties or fines of $2.5 million or more, up to three times the profit made or loss avoided, as well as criminal penalties of up to $25,000,000, and could under certain circumstances be subject to private lawsuits.</w:t>
      </w:r>
    </w:p>
    <w:p>
      <w:pPr>
        <w:spacing w:after="0" w:line="130" w:lineRule="exact"/>
        <w:rPr>
          <w:sz w:val="20"/>
          <w:szCs w:val="20"/>
          <w:color w:val="auto"/>
        </w:rPr>
      </w:pPr>
    </w:p>
    <w:p>
      <w:pPr>
        <w:ind w:left="120" w:right="100" w:firstLine="509"/>
        <w:spacing w:after="0" w:line="258" w:lineRule="auto"/>
        <w:rPr>
          <w:sz w:val="20"/>
          <w:szCs w:val="20"/>
          <w:color w:val="auto"/>
        </w:rPr>
      </w:pPr>
      <w:r>
        <w:rPr>
          <w:rFonts w:ascii="Times New Roman" w:cs="Times New Roman" w:eastAsia="Times New Roman" w:hAnsi="Times New Roman"/>
          <w:sz w:val="17"/>
          <w:szCs w:val="17"/>
          <w:color w:val="231F20"/>
        </w:rPr>
        <w:t>Violation of this Insider Trading Policy or any federal or state insider trading laws may subject the person violating such policy or laws to disciplinary action by the Company up to and 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293" w:lineRule="exact"/>
        <w:rPr>
          <w:sz w:val="20"/>
          <w:szCs w:val="20"/>
          <w:color w:val="auto"/>
        </w:rPr>
      </w:pPr>
    </w:p>
    <w:p>
      <w:pPr>
        <w:ind w:left="620" w:hanging="500"/>
        <w:spacing w:after="0"/>
        <w:tabs>
          <w:tab w:leader="none" w:pos="620" w:val="left"/>
        </w:tabs>
        <w:numPr>
          <w:ilvl w:val="0"/>
          <w:numId w:val="82"/>
        </w:numPr>
        <w:rPr>
          <w:rFonts w:ascii="Times New Roman" w:cs="Times New Roman" w:eastAsia="Times New Roman" w:hAnsi="Times New Roman"/>
          <w:sz w:val="17"/>
          <w:szCs w:val="17"/>
          <w:b w:val="1"/>
          <w:bCs w:val="1"/>
          <w:i w:val="1"/>
          <w:iCs w:val="1"/>
          <w:color w:val="231F20"/>
        </w:rPr>
      </w:pPr>
      <w:r>
        <w:rPr>
          <w:rFonts w:ascii="Times New Roman" w:cs="Times New Roman" w:eastAsia="Times New Roman" w:hAnsi="Times New Roman"/>
          <w:sz w:val="17"/>
          <w:szCs w:val="17"/>
          <w:b w:val="1"/>
          <w:bCs w:val="1"/>
          <w:i w:val="1"/>
          <w:iCs w:val="1"/>
          <w:color w:val="231F20"/>
        </w:rPr>
        <w:t>How Do You Report a Violation of this Insider Trading Policy?</w:t>
      </w:r>
    </w:p>
    <w:p>
      <w:pPr>
        <w:spacing w:after="0" w:line="190" w:lineRule="exact"/>
        <w:rPr>
          <w:sz w:val="20"/>
          <w:szCs w:val="20"/>
          <w:color w:val="auto"/>
        </w:rPr>
      </w:pPr>
    </w:p>
    <w:p>
      <w:pPr>
        <w:ind w:left="120" w:firstLine="509"/>
        <w:spacing w:after="0" w:line="255" w:lineRule="auto"/>
        <w:rPr>
          <w:sz w:val="20"/>
          <w:szCs w:val="20"/>
          <w:color w:val="auto"/>
        </w:rPr>
      </w:pPr>
      <w:r>
        <w:rPr>
          <w:rFonts w:ascii="Times New Roman" w:cs="Times New Roman" w:eastAsia="Times New Roman" w:hAnsi="Times New Roman"/>
          <w:sz w:val="17"/>
          <w:szCs w:val="17"/>
          <w:color w:val="231F20"/>
        </w:rPr>
        <w:t>If you have a question about this Insider Trading Policy, including whether certain information you are aware of is material or has been made public, you should consult with the Compliance Officer. In addition, if you violate this Insider Trading Policy or any federal or state laws governing insider trading or know of any such violation by any director, officer, employee or designated consultant of the Company, you should report the violation immediately to the Compliance Officer. However, if the conduct in question involves the Compliance Officer, or if you have reported such conduct to the Compliance Officer and you do not believe the Compliance Officer has dealt with it properly, or if you do not feel that you can discuss the matter with the Compliance Officer, you may raise the matter with the Chief Executive Officer.</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PART II. TRADING PROCEDURES</w:t>
      </w:r>
    </w:p>
    <w:p>
      <w:pPr>
        <w:spacing w:after="0" w:line="186" w:lineRule="exact"/>
        <w:rPr>
          <w:sz w:val="20"/>
          <w:szCs w:val="20"/>
          <w:color w:val="auto"/>
        </w:rPr>
      </w:pPr>
    </w:p>
    <w:p>
      <w:pPr>
        <w:ind w:left="620" w:hanging="500"/>
        <w:spacing w:after="0"/>
        <w:tabs>
          <w:tab w:leader="none" w:pos="620" w:val="left"/>
        </w:tabs>
        <w:numPr>
          <w:ilvl w:val="0"/>
          <w:numId w:val="83"/>
        </w:numPr>
        <w:rPr>
          <w:rFonts w:ascii="Times New Roman" w:cs="Times New Roman" w:eastAsia="Times New Roman" w:hAnsi="Times New Roman"/>
          <w:sz w:val="17"/>
          <w:szCs w:val="17"/>
          <w:b w:val="1"/>
          <w:bCs w:val="1"/>
          <w:i w:val="1"/>
          <w:iCs w:val="1"/>
          <w:color w:val="231F20"/>
        </w:rPr>
      </w:pPr>
      <w:r>
        <w:rPr>
          <w:rFonts w:ascii="Times New Roman" w:cs="Times New Roman" w:eastAsia="Times New Roman" w:hAnsi="Times New Roman"/>
          <w:sz w:val="17"/>
          <w:szCs w:val="17"/>
          <w:b w:val="1"/>
          <w:bCs w:val="1"/>
          <w:i w:val="1"/>
          <w:iCs w:val="1"/>
          <w:color w:val="231F20"/>
        </w:rPr>
        <w:t>Special Trading Restrictions Applicable to Insiders</w:t>
      </w:r>
    </w:p>
    <w:p>
      <w:pPr>
        <w:spacing w:after="0" w:line="180" w:lineRule="exact"/>
        <w:rPr>
          <w:sz w:val="20"/>
          <w:szCs w:val="20"/>
          <w:color w:val="auto"/>
        </w:rPr>
      </w:pPr>
    </w:p>
    <w:p>
      <w:pPr>
        <w:ind w:left="120" w:right="120" w:firstLine="509"/>
        <w:spacing w:after="0" w:line="276" w:lineRule="auto"/>
        <w:rPr>
          <w:sz w:val="20"/>
          <w:szCs w:val="20"/>
          <w:color w:val="auto"/>
        </w:rPr>
      </w:pPr>
      <w:r>
        <w:rPr>
          <w:rFonts w:ascii="Times New Roman" w:cs="Times New Roman" w:eastAsia="Times New Roman" w:hAnsi="Times New Roman"/>
          <w:sz w:val="17"/>
          <w:szCs w:val="17"/>
          <w:color w:val="231F20"/>
        </w:rPr>
        <w:t>In addition to needing to comply with the restrictions on trading in Company securities set forth above, Insiders and their Affiliated Persons are subject to the following special trading restrictions:</w:t>
      </w:r>
    </w:p>
    <w:p>
      <w:pPr>
        <w:spacing w:after="0" w:line="119" w:lineRule="exact"/>
        <w:rPr>
          <w:sz w:val="20"/>
          <w:szCs w:val="20"/>
          <w:color w:val="auto"/>
        </w:rPr>
      </w:pPr>
    </w:p>
    <w:p>
      <w:pPr>
        <w:ind w:left="1140" w:hanging="510"/>
        <w:spacing w:after="0"/>
        <w:tabs>
          <w:tab w:leader="none" w:pos="1140" w:val="left"/>
        </w:tabs>
        <w:numPr>
          <w:ilvl w:val="0"/>
          <w:numId w:val="8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Special Blackout Periods</w:t>
      </w:r>
      <w:r>
        <w:rPr>
          <w:rFonts w:ascii="Times New Roman" w:cs="Times New Roman" w:eastAsia="Times New Roman" w:hAnsi="Times New Roman"/>
          <w:sz w:val="17"/>
          <w:szCs w:val="17"/>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8</w:t>
      </w:r>
    </w:p>
    <w:p>
      <w:pPr>
        <w:sectPr>
          <w:pgSz w:w="11900" w:h="16838" w:orient="portrait"/>
          <w:cols w:equalWidth="0" w:num="1">
            <w:col w:w="11020"/>
          </w:cols>
          <w:pgMar w:left="340" w:top="1148" w:right="539" w:bottom="1440" w:gutter="0" w:footer="0" w:header="0"/>
        </w:sectPr>
      </w:pPr>
    </w:p>
    <w:bookmarkStart w:id="216" w:name="page217"/>
    <w:bookmarkEnd w:id="216"/>
    <w:p>
      <w:pPr>
        <w:ind w:left="120" w:firstLine="509"/>
        <w:spacing w:after="0" w:line="276" w:lineRule="auto"/>
        <w:rPr>
          <w:sz w:val="20"/>
          <w:szCs w:val="20"/>
          <w:color w:val="auto"/>
        </w:rPr>
      </w:pPr>
      <w:r>
        <w:rPr>
          <w:rFonts w:ascii="Times New Roman" w:cs="Times New Roman" w:eastAsia="Times New Roman" w:hAnsi="Times New Roman"/>
          <w:sz w:val="17"/>
          <w:szCs w:val="17"/>
          <w:color w:val="231F20"/>
        </w:rPr>
        <w:t>There are times when the Company or certain members of its Board of Directors or senior management or support staff may be aware of a material, nonpublic development.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9</w:t>
      </w:r>
    </w:p>
    <w:p>
      <w:pPr>
        <w:sectPr>
          <w:pgSz w:w="11900" w:h="16838" w:orient="portrait"/>
          <w:cols w:equalWidth="0" w:num="1">
            <w:col w:w="10660"/>
          </w:cols>
          <w:pgMar w:left="340" w:top="1084" w:right="899" w:bottom="1440" w:gutter="0" w:footer="0" w:header="0"/>
        </w:sectPr>
      </w:pPr>
    </w:p>
    <w:bookmarkStart w:id="217" w:name="page218"/>
    <w:bookmarkEnd w:id="217"/>
    <w:p>
      <w:pPr>
        <w:ind w:left="120" w:right="120"/>
        <w:spacing w:after="0" w:line="253" w:lineRule="auto"/>
        <w:rPr>
          <w:sz w:val="20"/>
          <w:szCs w:val="20"/>
          <w:color w:val="auto"/>
        </w:rPr>
      </w:pPr>
      <w:r>
        <w:rPr>
          <w:rFonts w:ascii="Times New Roman" w:cs="Times New Roman" w:eastAsia="Times New Roman" w:hAnsi="Times New Roman"/>
          <w:sz w:val="17"/>
          <w:szCs w:val="17"/>
          <w:color w:val="231F20"/>
        </w:rPr>
        <w:t>Although an Insider may not know the specifics of such development, if an Insider engages in a trade before such development is disclosed to the public or resolved, such Insider and the Company might be exposed to a charge of insider trading that could be costly and difficult to refute. In addition, a trade by an Insider during such a period could result in adverse publicity for the Company. Therefore, Insiders may not trade in Company securities if they are notified by the Compliance Officer that the trading window is closed. The Compliance Officer will subsequently notify the Insiders once the material, nonpublic development is disclosed to the public or resolved and that, as a result, the trading window is again open. While the Compliance Officer will undertake reasonable efforts to notify the Insiders that material, nonpublic events have developed, or are soon likely to develop, it is each Insider’s individual duty to ensure that they do not make any trade in Company securities when material, nonpublic information exists, regardless of whether such Insider is aware of such development.</w:t>
      </w:r>
    </w:p>
    <w:p>
      <w:pPr>
        <w:spacing w:after="0" w:line="172" w:lineRule="exact"/>
        <w:rPr>
          <w:sz w:val="20"/>
          <w:szCs w:val="20"/>
          <w:color w:val="auto"/>
        </w:rPr>
      </w:pPr>
    </w:p>
    <w:p>
      <w:pPr>
        <w:ind w:left="1140" w:hanging="510"/>
        <w:spacing w:after="0"/>
        <w:tabs>
          <w:tab w:leader="none" w:pos="1140" w:val="left"/>
        </w:tabs>
        <w:numPr>
          <w:ilvl w:val="0"/>
          <w:numId w:val="8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Gifts and Other Distributions in Kind</w:t>
      </w:r>
      <w:r>
        <w:rPr>
          <w:rFonts w:ascii="Times New Roman" w:cs="Times New Roman" w:eastAsia="Times New Roman" w:hAnsi="Times New Roman"/>
          <w:sz w:val="17"/>
          <w:szCs w:val="17"/>
          <w:color w:val="231F20"/>
        </w:rPr>
        <w:t>.</w:t>
      </w:r>
    </w:p>
    <w:p>
      <w:pPr>
        <w:spacing w:after="0" w:line="180" w:lineRule="exact"/>
        <w:rPr>
          <w:sz w:val="20"/>
          <w:szCs w:val="20"/>
          <w:color w:val="auto"/>
        </w:rPr>
      </w:pPr>
    </w:p>
    <w:p>
      <w:pPr>
        <w:ind w:left="120" w:right="320" w:firstLine="509"/>
        <w:spacing w:after="0" w:line="257" w:lineRule="auto"/>
        <w:rPr>
          <w:sz w:val="20"/>
          <w:szCs w:val="20"/>
          <w:color w:val="auto"/>
        </w:rPr>
      </w:pPr>
      <w:r>
        <w:rPr>
          <w:rFonts w:ascii="Times New Roman" w:cs="Times New Roman" w:eastAsia="Times New Roman" w:hAnsi="Times New Roman"/>
          <w:sz w:val="17"/>
          <w:szCs w:val="17"/>
          <w:color w:val="231F20"/>
        </w:rPr>
        <w:t>No Insider may donate or make any other transfer of Company securities without consideration (e.g., a gift) during a period when the Insider is not permitted to trade. In addition to charitable donations or gifts to family members, friends, trusts, or others, this prohibition applies to distributions to limited partners by limited partnerships that are subject to this Insider Trading Policy. Making a gift shall be considered trading in securities for the purposes of the Pre-Clearance Procedures and Post-Trade Reporting Procedures in Section II.B. below.</w:t>
      </w:r>
    </w:p>
    <w:p>
      <w:pPr>
        <w:spacing w:after="0" w:line="127" w:lineRule="exact"/>
        <w:rPr>
          <w:sz w:val="20"/>
          <w:szCs w:val="20"/>
          <w:color w:val="auto"/>
        </w:rPr>
      </w:pPr>
    </w:p>
    <w:p>
      <w:pPr>
        <w:ind w:left="620" w:hanging="500"/>
        <w:spacing w:after="0"/>
        <w:tabs>
          <w:tab w:leader="none" w:pos="620" w:val="left"/>
        </w:tabs>
        <w:numPr>
          <w:ilvl w:val="0"/>
          <w:numId w:val="86"/>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Pre-Clearance Procedures</w:t>
      </w:r>
    </w:p>
    <w:p>
      <w:pPr>
        <w:spacing w:after="0" w:line="187" w:lineRule="exact"/>
        <w:rPr>
          <w:sz w:val="20"/>
          <w:szCs w:val="20"/>
          <w:color w:val="auto"/>
        </w:rPr>
      </w:pPr>
    </w:p>
    <w:p>
      <w:pPr>
        <w:ind w:left="120" w:firstLine="509"/>
        <w:spacing w:after="0" w:line="257" w:lineRule="auto"/>
        <w:rPr>
          <w:sz w:val="20"/>
          <w:szCs w:val="20"/>
          <w:color w:val="auto"/>
        </w:rPr>
      </w:pPr>
      <w:r>
        <w:rPr>
          <w:rFonts w:ascii="Times New Roman" w:cs="Times New Roman" w:eastAsia="Times New Roman" w:hAnsi="Times New Roman"/>
          <w:sz w:val="17"/>
          <w:szCs w:val="17"/>
          <w:color w:val="231F20"/>
        </w:rPr>
        <w:t>No Insider may trade in Company securities unless the trade has been approved by the Compliance Officer in accordance with the procedures set forth below. The Compliance Officer will review and either approve or prohibit all proposed trades by Insiders in accordance with the procedures set forth below. The Compliance Officer may consult with the Company’s other officers and/or outside legal counsel and will receive approval for his own trades from the Chief Executive Officer.</w:t>
      </w:r>
    </w:p>
    <w:p>
      <w:pPr>
        <w:spacing w:after="0" w:line="145" w:lineRule="exact"/>
        <w:rPr>
          <w:sz w:val="20"/>
          <w:szCs w:val="20"/>
          <w:color w:val="auto"/>
        </w:rPr>
      </w:pPr>
    </w:p>
    <w:p>
      <w:pPr>
        <w:ind w:left="1140" w:hanging="510"/>
        <w:spacing w:after="0"/>
        <w:tabs>
          <w:tab w:leader="none" w:pos="1140" w:val="left"/>
        </w:tabs>
        <w:numPr>
          <w:ilvl w:val="0"/>
          <w:numId w:val="87"/>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Procedures. </w:t>
      </w:r>
      <w:r>
        <w:rPr>
          <w:rFonts w:ascii="Times New Roman" w:cs="Times New Roman" w:eastAsia="Times New Roman" w:hAnsi="Times New Roman"/>
          <w:sz w:val="17"/>
          <w:szCs w:val="17"/>
          <w:color w:val="231F20"/>
        </w:rPr>
        <w:t>No Insider may trade in Company securities unless:</w:t>
      </w:r>
    </w:p>
    <w:p>
      <w:pPr>
        <w:spacing w:after="0" w:line="179" w:lineRule="exact"/>
        <w:rPr>
          <w:rFonts w:ascii="Times New Roman" w:cs="Times New Roman" w:eastAsia="Times New Roman" w:hAnsi="Times New Roman"/>
          <w:sz w:val="17"/>
          <w:szCs w:val="17"/>
          <w:b w:val="1"/>
          <w:bCs w:val="1"/>
          <w:color w:val="231F20"/>
        </w:rPr>
      </w:pPr>
    </w:p>
    <w:p>
      <w:pPr>
        <w:ind w:left="1400" w:right="220" w:hanging="261"/>
        <w:spacing w:after="0" w:line="257" w:lineRule="auto"/>
        <w:tabs>
          <w:tab w:leader="none" w:pos="1396" w:val="left"/>
        </w:tabs>
        <w:numPr>
          <w:ilvl w:val="1"/>
          <w:numId w:val="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Insider has notified the Compliance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149" w:lineRule="exact"/>
        <w:rPr>
          <w:rFonts w:ascii="Times New Roman" w:cs="Times New Roman" w:eastAsia="Times New Roman" w:hAnsi="Times New Roman"/>
          <w:sz w:val="17"/>
          <w:szCs w:val="17"/>
          <w:color w:val="231F20"/>
        </w:rPr>
      </w:pPr>
    </w:p>
    <w:p>
      <w:pPr>
        <w:ind w:left="1400" w:right="180" w:hanging="261"/>
        <w:spacing w:after="0" w:line="276" w:lineRule="auto"/>
        <w:tabs>
          <w:tab w:leader="none" w:pos="1396" w:val="left"/>
        </w:tabs>
        <w:numPr>
          <w:ilvl w:val="1"/>
          <w:numId w:val="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Insider has certified to the Compliance Officer in writing prior to the proposed trade(s) that the Insider is not in possession of material, nonpublic information concerning the Company;</w:t>
      </w:r>
    </w:p>
    <w:p>
      <w:pPr>
        <w:spacing w:after="0" w:line="123" w:lineRule="exact"/>
        <w:rPr>
          <w:rFonts w:ascii="Times New Roman" w:cs="Times New Roman" w:eastAsia="Times New Roman" w:hAnsi="Times New Roman"/>
          <w:sz w:val="17"/>
          <w:szCs w:val="17"/>
          <w:color w:val="231F20"/>
        </w:rPr>
      </w:pPr>
    </w:p>
    <w:p>
      <w:pPr>
        <w:ind w:left="1400" w:right="160" w:hanging="261"/>
        <w:spacing w:after="0" w:line="276" w:lineRule="auto"/>
        <w:tabs>
          <w:tab w:leader="none" w:pos="1396" w:val="left"/>
        </w:tabs>
        <w:numPr>
          <w:ilvl w:val="1"/>
          <w:numId w:val="8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Insider is an executive officer or director, the Insider has informed the Compliance Officer, using the Stock Transaction Request form attached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10</w:t>
      </w:r>
    </w:p>
    <w:p>
      <w:pPr>
        <w:sectPr>
          <w:pgSz w:w="11900" w:h="16838" w:orient="portrait"/>
          <w:cols w:equalWidth="0" w:num="1">
            <w:col w:w="11020"/>
          </w:cols>
          <w:pgMar w:left="340" w:top="1148" w:right="539" w:bottom="1440" w:gutter="0" w:footer="0" w:header="0"/>
        </w:sectPr>
      </w:pPr>
    </w:p>
    <w:bookmarkStart w:id="218" w:name="page219"/>
    <w:bookmarkEnd w:id="218"/>
    <w:p>
      <w:pPr>
        <w:ind w:left="1400"/>
        <w:spacing w:after="0" w:line="258" w:lineRule="auto"/>
        <w:rPr>
          <w:sz w:val="20"/>
          <w:szCs w:val="20"/>
          <w:color w:val="auto"/>
        </w:rPr>
      </w:pPr>
      <w:r>
        <w:rPr>
          <w:rFonts w:ascii="Times New Roman" w:cs="Times New Roman" w:eastAsia="Times New Roman" w:hAnsi="Times New Roman"/>
          <w:sz w:val="17"/>
          <w:szCs w:val="17"/>
          <w:color w:val="231F20"/>
        </w:rPr>
        <w:t>hereto, whether, to the Insider’s best knowledge, (a) the Insider has (or is deemed to have) engaged in any opposite way transactions within the previous six months that were not exempt from Section 16(b) of the Exchange Act and</w:t>
      </w:r>
    </w:p>
    <w:p>
      <w:pPr>
        <w:spacing w:after="0" w:line="1" w:lineRule="exact"/>
        <w:rPr>
          <w:sz w:val="20"/>
          <w:szCs w:val="20"/>
          <w:color w:val="auto"/>
        </w:rPr>
      </w:pPr>
    </w:p>
    <w:p>
      <w:pPr>
        <w:jc w:val="both"/>
        <w:ind w:left="1400" w:right="300" w:hanging="6"/>
        <w:spacing w:after="0" w:line="257" w:lineRule="auto"/>
        <w:tabs>
          <w:tab w:leader="none" w:pos="1650" w:val="left"/>
        </w:tabs>
        <w:numPr>
          <w:ilvl w:val="1"/>
          <w:numId w:val="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39" w:lineRule="exact"/>
        <w:rPr>
          <w:rFonts w:ascii="Times New Roman" w:cs="Times New Roman" w:eastAsia="Times New Roman" w:hAnsi="Times New Roman"/>
          <w:sz w:val="17"/>
          <w:szCs w:val="17"/>
          <w:color w:val="231F20"/>
        </w:rPr>
      </w:pPr>
    </w:p>
    <w:p>
      <w:pPr>
        <w:ind w:left="1400" w:right="320" w:hanging="261"/>
        <w:spacing w:after="0" w:line="276" w:lineRule="auto"/>
        <w:tabs>
          <w:tab w:leader="none" w:pos="1396" w:val="left"/>
        </w:tabs>
        <w:numPr>
          <w:ilvl w:val="0"/>
          <w:numId w:val="8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Compliance Officer or his or her designee has approved the trade(s) and has certified such approval in writing. Such certification may be made via digitally-signed electronic mail (which may be email).</w:t>
      </w:r>
    </w:p>
    <w:p>
      <w:pPr>
        <w:spacing w:after="0" w:line="123" w:lineRule="exact"/>
        <w:rPr>
          <w:sz w:val="20"/>
          <w:szCs w:val="20"/>
          <w:color w:val="auto"/>
        </w:rPr>
      </w:pPr>
    </w:p>
    <w:p>
      <w:pPr>
        <w:ind w:left="120" w:right="680" w:firstLine="509"/>
        <w:spacing w:after="0" w:line="289" w:lineRule="auto"/>
        <w:rPr>
          <w:sz w:val="20"/>
          <w:szCs w:val="20"/>
          <w:color w:val="auto"/>
        </w:rPr>
      </w:pPr>
      <w:r>
        <w:rPr>
          <w:rFonts w:ascii="Times New Roman" w:cs="Times New Roman" w:eastAsia="Times New Roman" w:hAnsi="Times New Roman"/>
          <w:sz w:val="17"/>
          <w:szCs w:val="17"/>
          <w:color w:val="231F20"/>
        </w:rPr>
        <w:t>The Compliance Officer does not assume the responsibility for, and approval from the Compliance Officer does not protect the Insider from, the consequences of prohibited insider trading.</w:t>
      </w:r>
    </w:p>
    <w:p>
      <w:pPr>
        <w:spacing w:after="0" w:line="109" w:lineRule="exact"/>
        <w:rPr>
          <w:sz w:val="20"/>
          <w:szCs w:val="20"/>
          <w:color w:val="auto"/>
        </w:rPr>
      </w:pPr>
    </w:p>
    <w:p>
      <w:pPr>
        <w:ind w:left="1140" w:hanging="510"/>
        <w:spacing w:after="0"/>
        <w:tabs>
          <w:tab w:leader="none" w:pos="1140" w:val="left"/>
        </w:tabs>
        <w:numPr>
          <w:ilvl w:val="0"/>
          <w:numId w:val="89"/>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Additional Information.</w:t>
      </w:r>
    </w:p>
    <w:p>
      <w:pPr>
        <w:spacing w:after="0" w:line="180" w:lineRule="exact"/>
        <w:rPr>
          <w:sz w:val="20"/>
          <w:szCs w:val="20"/>
          <w:color w:val="auto"/>
        </w:rPr>
      </w:pPr>
    </w:p>
    <w:p>
      <w:pPr>
        <w:ind w:left="120" w:right="140" w:firstLine="509"/>
        <w:spacing w:after="0" w:line="276" w:lineRule="auto"/>
        <w:rPr>
          <w:sz w:val="20"/>
          <w:szCs w:val="20"/>
          <w:color w:val="auto"/>
        </w:rPr>
      </w:pPr>
      <w:r>
        <w:rPr>
          <w:rFonts w:ascii="Times New Roman" w:cs="Times New Roman" w:eastAsia="Times New Roman" w:hAnsi="Times New Roman"/>
          <w:sz w:val="17"/>
          <w:szCs w:val="17"/>
          <w:color w:val="231F20"/>
        </w:rPr>
        <w:t>Insiders shall provide to the Compliance Officer any documentation reasonably requested by him or her in furtherance of the foregoing procedures. Any failure to provide such requested information will be grounds for denial of approval by the Compliance Officer.</w:t>
      </w:r>
    </w:p>
    <w:p>
      <w:pPr>
        <w:spacing w:after="0" w:line="119" w:lineRule="exact"/>
        <w:rPr>
          <w:sz w:val="20"/>
          <w:szCs w:val="20"/>
          <w:color w:val="auto"/>
        </w:rPr>
      </w:pPr>
    </w:p>
    <w:p>
      <w:pPr>
        <w:ind w:left="1140" w:hanging="510"/>
        <w:spacing w:after="0"/>
        <w:tabs>
          <w:tab w:leader="none" w:pos="1140" w:val="left"/>
        </w:tabs>
        <w:numPr>
          <w:ilvl w:val="0"/>
          <w:numId w:val="90"/>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Notification of Brokers of Insider Status</w:t>
      </w:r>
    </w:p>
    <w:p>
      <w:pPr>
        <w:spacing w:after="0" w:line="190" w:lineRule="exact"/>
        <w:rPr>
          <w:sz w:val="20"/>
          <w:szCs w:val="20"/>
          <w:color w:val="auto"/>
        </w:rPr>
      </w:pPr>
    </w:p>
    <w:p>
      <w:pPr>
        <w:ind w:left="120" w:right="220" w:firstLine="509"/>
        <w:spacing w:after="0" w:line="262" w:lineRule="auto"/>
        <w:rPr>
          <w:sz w:val="20"/>
          <w:szCs w:val="20"/>
          <w:color w:val="auto"/>
        </w:rPr>
      </w:pPr>
      <w:r>
        <w:rPr>
          <w:rFonts w:ascii="Times New Roman" w:cs="Times New Roman" w:eastAsia="Times New Roman" w:hAnsi="Times New Roman"/>
          <w:sz w:val="17"/>
          <w:szCs w:val="17"/>
          <w:color w:val="231F20"/>
        </w:rPr>
        <w:t>Insiders who are required to file reports under Section 16 of the Exchange Act shall inform their broker-dealers that (a) the Insider is subject to Section 16; (b) the broker shall confirm that any trade by the Insider or any of their Affiliated Persons has been pre-cleared by the Company; and (c) the broker is expected to provide transaction information to the Insider and/or Compliance Officer on the day of a trade.</w:t>
      </w:r>
    </w:p>
    <w:p>
      <w:pPr>
        <w:spacing w:after="0" w:line="130" w:lineRule="exact"/>
        <w:rPr>
          <w:sz w:val="20"/>
          <w:szCs w:val="20"/>
          <w:color w:val="auto"/>
        </w:rPr>
      </w:pPr>
    </w:p>
    <w:p>
      <w:pPr>
        <w:ind w:left="1140" w:hanging="510"/>
        <w:spacing w:after="0"/>
        <w:tabs>
          <w:tab w:leader="none" w:pos="1140" w:val="left"/>
        </w:tabs>
        <w:numPr>
          <w:ilvl w:val="0"/>
          <w:numId w:val="91"/>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No Obligation to Approve Trades.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The existence of the foregoing approval procedures does not in any way obligate the Compliance Officer to approve any trade requested by an Insider.</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231F20"/>
        </w:rPr>
        <w:t>The Compliance Officer may reject any trading request at his or her sole discretion.</w:t>
      </w:r>
    </w:p>
    <w:p>
      <w:pPr>
        <w:spacing w:after="0" w:line="169" w:lineRule="exact"/>
        <w:rPr>
          <w:sz w:val="20"/>
          <w:szCs w:val="20"/>
          <w:color w:val="auto"/>
        </w:rPr>
      </w:pPr>
    </w:p>
    <w:p>
      <w:pPr>
        <w:ind w:left="120" w:right="80" w:firstLine="509"/>
        <w:spacing w:after="0" w:line="254" w:lineRule="auto"/>
        <w:rPr>
          <w:sz w:val="20"/>
          <w:szCs w:val="20"/>
          <w:color w:val="auto"/>
        </w:rPr>
      </w:pPr>
      <w:r>
        <w:rPr>
          <w:rFonts w:ascii="Times New Roman" w:cs="Times New Roman" w:eastAsia="Times New Roman" w:hAnsi="Times New Roman"/>
          <w:sz w:val="17"/>
          <w:szCs w:val="17"/>
          <w:color w:val="231F20"/>
        </w:rPr>
        <w:t>From time to time, an event may occur that is material to the Company and is known by only a few directors or executives. Insiders may not trade in Company securities if they are notified by the Compliance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 The Compliance Officer will subsequently notify the Insider once the material, nonpublic development is disclosed to the public or resolved. If an Insider requests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11</w:t>
      </w:r>
    </w:p>
    <w:p>
      <w:pPr>
        <w:sectPr>
          <w:pgSz w:w="11900" w:h="16838" w:orient="portrait"/>
          <w:cols w:equalWidth="0" w:num="1">
            <w:col w:w="11100"/>
          </w:cols>
          <w:pgMar w:left="340" w:top="1148" w:right="459" w:bottom="1440" w:gutter="0" w:footer="0" w:header="0"/>
        </w:sectPr>
      </w:pPr>
    </w:p>
    <w:bookmarkStart w:id="219" w:name="page220"/>
    <w:bookmarkEnd w:id="219"/>
    <w:p>
      <w:pPr>
        <w:ind w:left="120" w:right="4600"/>
        <w:spacing w:after="0" w:line="276" w:lineRule="auto"/>
        <w:rPr>
          <w:sz w:val="20"/>
          <w:szCs w:val="20"/>
          <w:color w:val="auto"/>
        </w:rPr>
      </w:pPr>
      <w:r>
        <w:rPr>
          <w:rFonts w:ascii="Times New Roman" w:cs="Times New Roman" w:eastAsia="Times New Roman" w:hAnsi="Times New Roman"/>
          <w:sz w:val="17"/>
          <w:szCs w:val="17"/>
          <w:color w:val="231F20"/>
        </w:rPr>
        <w:t>pre-clearance to trade in the Company’s securities during the pendency of such an event, the Compliance Officer may reject the trading request without disclosing the reason.</w:t>
      </w:r>
    </w:p>
    <w:p>
      <w:pPr>
        <w:spacing w:after="0" w:line="130" w:lineRule="exact"/>
        <w:rPr>
          <w:sz w:val="20"/>
          <w:szCs w:val="20"/>
          <w:color w:val="auto"/>
        </w:rPr>
      </w:pPr>
    </w:p>
    <w:p>
      <w:pPr>
        <w:ind w:left="1140" w:hanging="510"/>
        <w:spacing w:after="0"/>
        <w:tabs>
          <w:tab w:leader="none" w:pos="1140" w:val="left"/>
        </w:tabs>
        <w:numPr>
          <w:ilvl w:val="0"/>
          <w:numId w:val="9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Completion of Trades.</w:t>
      </w:r>
    </w:p>
    <w:p>
      <w:pPr>
        <w:spacing w:after="0" w:line="180" w:lineRule="exact"/>
        <w:rPr>
          <w:sz w:val="20"/>
          <w:szCs w:val="20"/>
          <w:color w:val="auto"/>
        </w:rPr>
      </w:pPr>
    </w:p>
    <w:p>
      <w:pPr>
        <w:ind w:left="120" w:right="300" w:firstLine="509"/>
        <w:spacing w:after="0" w:line="257" w:lineRule="auto"/>
        <w:rPr>
          <w:sz w:val="20"/>
          <w:szCs w:val="20"/>
          <w:color w:val="auto"/>
        </w:rPr>
      </w:pPr>
      <w:r>
        <w:rPr>
          <w:rFonts w:ascii="Times New Roman" w:cs="Times New Roman" w:eastAsia="Times New Roman" w:hAnsi="Times New Roman"/>
          <w:sz w:val="17"/>
          <w:szCs w:val="17"/>
          <w:color w:val="231F20"/>
        </w:rPr>
        <w:t>After receiving written clearance to engage in a trade signed by the Compliance Officer, an Insider must complete the proposed trade within two (2) business days or make a new trading request. Even if an Insider has received clearance, the Insider may not engage in a trade if (i) such clearance has been rescinded by the Compliance Officer, (ii) the Insider has otherwise received notice that the trading window has closed or (iii) the Insider has or acquires material, nonpublic information.</w:t>
      </w:r>
    </w:p>
    <w:p>
      <w:pPr>
        <w:spacing w:after="0" w:line="145" w:lineRule="exact"/>
        <w:rPr>
          <w:sz w:val="20"/>
          <w:szCs w:val="20"/>
          <w:color w:val="auto"/>
        </w:rPr>
      </w:pPr>
    </w:p>
    <w:p>
      <w:pPr>
        <w:ind w:left="1140" w:hanging="510"/>
        <w:spacing w:after="0"/>
        <w:tabs>
          <w:tab w:leader="none" w:pos="1140" w:val="left"/>
        </w:tabs>
        <w:numPr>
          <w:ilvl w:val="0"/>
          <w:numId w:val="93"/>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Post-Trade Reporting.</w:t>
      </w:r>
    </w:p>
    <w:p>
      <w:pPr>
        <w:spacing w:after="0" w:line="180" w:lineRule="exact"/>
        <w:rPr>
          <w:sz w:val="20"/>
          <w:szCs w:val="20"/>
          <w:color w:val="auto"/>
        </w:rPr>
      </w:pPr>
    </w:p>
    <w:p>
      <w:pPr>
        <w:ind w:left="120" w:firstLine="509"/>
        <w:spacing w:after="0" w:line="252" w:lineRule="auto"/>
        <w:rPr>
          <w:sz w:val="20"/>
          <w:szCs w:val="20"/>
          <w:color w:val="auto"/>
        </w:rPr>
      </w:pPr>
      <w:r>
        <w:rPr>
          <w:rFonts w:ascii="Times New Roman" w:cs="Times New Roman" w:eastAsia="Times New Roman" w:hAnsi="Times New Roman"/>
          <w:sz w:val="17"/>
          <w:szCs w:val="17"/>
          <w:color w:val="231F20"/>
        </w:rPr>
        <w:t>Any transactions in the Company’s securities by an Insider (including transactions effected pursuant to a Rule 10b5-1 Plan) by an Insider (or an Affiliated Person) who is required to file reports under Section 16 of the Exchange Act must be reported to the Compliance Officer by the Insider or their brokerage firm on the same day on which a trade order is placed or such a transaction otherwise is entered into. Each report an Insider makes to the Compliance Officer should include the date of the transaction, quantity of shares, price, broker-dealer through which the transaction was effected, and whether the trade was made pursuant to a valid Rule 10b5-1 Plan (as defined below). This reporting requirement may be satisfied by sending (or having such Insider’s broker send) duplicate confirmations of trades to the Compliance Officer if such information is received by 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31" w:lineRule="exact"/>
        <w:rPr>
          <w:sz w:val="20"/>
          <w:szCs w:val="20"/>
          <w:color w:val="auto"/>
        </w:rPr>
      </w:pPr>
    </w:p>
    <w:p>
      <w:pPr>
        <w:ind w:left="620" w:hanging="500"/>
        <w:spacing w:after="0"/>
        <w:tabs>
          <w:tab w:leader="none" w:pos="620" w:val="left"/>
        </w:tabs>
        <w:numPr>
          <w:ilvl w:val="0"/>
          <w:numId w:val="94"/>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Exemptions</w:t>
      </w:r>
    </w:p>
    <w:p>
      <w:pPr>
        <w:spacing w:after="0" w:line="183" w:lineRule="exact"/>
        <w:rPr>
          <w:sz w:val="20"/>
          <w:szCs w:val="20"/>
          <w:color w:val="auto"/>
        </w:rPr>
      </w:pPr>
    </w:p>
    <w:p>
      <w:pPr>
        <w:ind w:left="1140" w:hanging="510"/>
        <w:spacing w:after="0"/>
        <w:tabs>
          <w:tab w:leader="none" w:pos="1140" w:val="left"/>
        </w:tabs>
        <w:numPr>
          <w:ilvl w:val="0"/>
          <w:numId w:val="95"/>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Pre-Approved Rule 10b5-1 Plan.</w:t>
      </w:r>
    </w:p>
    <w:p>
      <w:pPr>
        <w:spacing w:after="0" w:line="180" w:lineRule="exact"/>
        <w:rPr>
          <w:sz w:val="20"/>
          <w:szCs w:val="20"/>
          <w:color w:val="auto"/>
        </w:rPr>
      </w:pPr>
    </w:p>
    <w:p>
      <w:pPr>
        <w:ind w:left="120" w:right="40" w:firstLine="509"/>
        <w:spacing w:after="0" w:line="277" w:lineRule="auto"/>
        <w:rPr>
          <w:sz w:val="20"/>
          <w:szCs w:val="20"/>
          <w:color w:val="auto"/>
        </w:rPr>
      </w:pPr>
      <w:r>
        <w:rPr>
          <w:rFonts w:ascii="Times New Roman" w:cs="Times New Roman" w:eastAsia="Times New Roman" w:hAnsi="Times New Roman"/>
          <w:sz w:val="16"/>
          <w:szCs w:val="16"/>
          <w:color w:val="231F20"/>
        </w:rPr>
        <w:t>Transactions effected pursuant to an approved Rule 10b5-1 Plan (as defined below) will not be subject to the Company’s trading windows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 requirements of the SEC’s Rule 10b5-1 (a “Rule 10b5-1 Plan”) enables Insiders to establish arrangements to trade in Company securities outside of the Company’s trading windows, even when in possession of material, nonpublic information.</w:t>
      </w:r>
    </w:p>
    <w:p>
      <w:pPr>
        <w:spacing w:after="0" w:line="127" w:lineRule="exact"/>
        <w:rPr>
          <w:sz w:val="20"/>
          <w:szCs w:val="20"/>
          <w:color w:val="auto"/>
        </w:rPr>
      </w:pPr>
    </w:p>
    <w:p>
      <w:pPr>
        <w:ind w:left="120" w:right="360" w:firstLine="509"/>
        <w:spacing w:after="0" w:line="276" w:lineRule="auto"/>
        <w:rPr>
          <w:sz w:val="20"/>
          <w:szCs w:val="20"/>
          <w:color w:val="auto"/>
        </w:rPr>
      </w:pPr>
      <w:r>
        <w:rPr>
          <w:rFonts w:ascii="Times New Roman" w:cs="Times New Roman" w:eastAsia="Times New Roman" w:hAnsi="Times New Roman"/>
          <w:sz w:val="17"/>
          <w:szCs w:val="17"/>
          <w:color w:val="231F20"/>
        </w:rPr>
        <w:t>The Company has adopted a separate Rule 10b5-1 Trading Plan Policy that sets forth the requirements for putting in place a Rule 10b5-1 Plan with respect to Company securities.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12</w:t>
      </w:r>
    </w:p>
    <w:p>
      <w:pPr>
        <w:sectPr>
          <w:pgSz w:w="11900" w:h="16838" w:orient="portrait"/>
          <w:cols w:equalWidth="0" w:num="1">
            <w:col w:w="10980"/>
          </w:cols>
          <w:pgMar w:left="340" w:top="1148" w:right="579" w:bottom="1440" w:gutter="0" w:footer="0" w:header="0"/>
        </w:sectPr>
      </w:pPr>
    </w:p>
    <w:bookmarkStart w:id="220" w:name="page221"/>
    <w:bookmarkEnd w:id="220"/>
    <w:p>
      <w:pPr>
        <w:ind w:left="1140" w:hanging="510"/>
        <w:spacing w:after="0"/>
        <w:tabs>
          <w:tab w:leader="none" w:pos="1140" w:val="left"/>
        </w:tabs>
        <w:numPr>
          <w:ilvl w:val="0"/>
          <w:numId w:val="96"/>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Employee Benefit Plans.</w:t>
      </w:r>
    </w:p>
    <w:p>
      <w:pPr>
        <w:spacing w:after="0" w:line="176" w:lineRule="exact"/>
        <w:rPr>
          <w:sz w:val="20"/>
          <w:szCs w:val="20"/>
          <w:color w:val="auto"/>
        </w:rPr>
      </w:pPr>
    </w:p>
    <w:p>
      <w:pPr>
        <w:ind w:left="120" w:right="60" w:firstLine="509"/>
        <w:spacing w:after="0" w:line="256" w:lineRule="auto"/>
        <w:rPr>
          <w:sz w:val="20"/>
          <w:szCs w:val="20"/>
          <w:color w:val="auto"/>
        </w:rPr>
      </w:pPr>
      <w:r>
        <w:rPr>
          <w:rFonts w:ascii="Times New Roman" w:cs="Times New Roman" w:eastAsia="Times New Roman" w:hAnsi="Times New Roman"/>
          <w:sz w:val="17"/>
          <w:szCs w:val="17"/>
          <w:b w:val="1"/>
          <w:bCs w:val="1"/>
          <w:i w:val="1"/>
          <w:iCs w:val="1"/>
          <w:color w:val="231F20"/>
        </w:rPr>
        <w:t>Exercise of Stock Options</w:t>
      </w:r>
      <w:r>
        <w:rPr>
          <w:rFonts w:ascii="Times New Roman" w:cs="Times New Roman" w:eastAsia="Times New Roman" w:hAnsi="Times New Roman"/>
          <w:sz w:val="17"/>
          <w:szCs w:val="17"/>
          <w:color w:val="231F20"/>
        </w:rPr>
        <w:t>. The trading prohibitions and restrictions set forth in the Trading Procedures do not apply to the exercise of an option to</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 assisted cashless exercise of an option, or any other market sale for the purpose of generating the cash needed to pay the exercise price of an option.</w:t>
      </w:r>
    </w:p>
    <w:p>
      <w:pPr>
        <w:spacing w:after="0" w:line="136" w:lineRule="exact"/>
        <w:rPr>
          <w:sz w:val="20"/>
          <w:szCs w:val="20"/>
          <w:color w:val="auto"/>
        </w:rPr>
      </w:pPr>
    </w:p>
    <w:p>
      <w:pPr>
        <w:ind w:left="120" w:right="20" w:firstLine="509"/>
        <w:spacing w:after="0" w:line="258" w:lineRule="auto"/>
        <w:rPr>
          <w:sz w:val="20"/>
          <w:szCs w:val="20"/>
          <w:color w:val="auto"/>
        </w:rPr>
      </w:pPr>
      <w:r>
        <w:rPr>
          <w:rFonts w:ascii="Times New Roman" w:cs="Times New Roman" w:eastAsia="Times New Roman" w:hAnsi="Times New Roman"/>
          <w:sz w:val="17"/>
          <w:szCs w:val="17"/>
          <w:b w:val="1"/>
          <w:bCs w:val="1"/>
          <w:i w:val="1"/>
          <w:iCs w:val="1"/>
          <w:color w:val="231F20"/>
        </w:rPr>
        <w:t>Tax Withholding on Restricted Stock/Units</w:t>
      </w:r>
      <w:r>
        <w:rPr>
          <w:rFonts w:ascii="Times New Roman" w:cs="Times New Roman" w:eastAsia="Times New Roman" w:hAnsi="Times New Roman"/>
          <w:sz w:val="17"/>
          <w:szCs w:val="17"/>
          <w:color w:val="231F20"/>
        </w:rPr>
        <w:t>. The trading prohibitions and restrictions set forth in the Trading Procedures do not apply to the withholding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46" w:lineRule="exact"/>
        <w:rPr>
          <w:sz w:val="20"/>
          <w:szCs w:val="20"/>
          <w:color w:val="auto"/>
        </w:rPr>
      </w:pPr>
    </w:p>
    <w:p>
      <w:pPr>
        <w:jc w:val="both"/>
        <w:ind w:left="120" w:firstLine="509"/>
        <w:spacing w:after="0" w:line="256" w:lineRule="auto"/>
        <w:rPr>
          <w:sz w:val="20"/>
          <w:szCs w:val="20"/>
          <w:color w:val="auto"/>
        </w:rPr>
      </w:pPr>
      <w:r>
        <w:rPr>
          <w:rFonts w:ascii="Times New Roman" w:cs="Times New Roman" w:eastAsia="Times New Roman" w:hAnsi="Times New Roman"/>
          <w:sz w:val="17"/>
          <w:szCs w:val="17"/>
          <w:b w:val="1"/>
          <w:bCs w:val="1"/>
          <w:i w:val="1"/>
          <w:iCs w:val="1"/>
          <w:color w:val="231F20"/>
        </w:rPr>
        <w:t>Employee Stock Purchase Plan</w:t>
      </w:r>
      <w:r>
        <w:rPr>
          <w:rFonts w:ascii="Times New Roman" w:cs="Times New Roman" w:eastAsia="Times New Roman" w:hAnsi="Times New Roman"/>
          <w:sz w:val="17"/>
          <w:szCs w:val="17"/>
          <w:color w:val="231F20"/>
        </w:rPr>
        <w:t>. The trading prohibitions and restrictions set forth in the Trading Procedures do not apply to periodic wage withholding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contributions by the Company or employees of the Company which are used to purchase the Company’s securities pursuant to the employees’ advance instructions under the Company’s 2021 Employee Stock Purchase Plan.</w:t>
      </w:r>
    </w:p>
    <w:p>
      <w:pPr>
        <w:spacing w:after="0" w:line="1" w:lineRule="exact"/>
        <w:rPr>
          <w:sz w:val="20"/>
          <w:szCs w:val="20"/>
          <w:color w:val="auto"/>
        </w:rPr>
      </w:pPr>
    </w:p>
    <w:p>
      <w:pPr>
        <w:ind w:left="120" w:right="260"/>
        <w:spacing w:after="0" w:line="257" w:lineRule="auto"/>
        <w:rPr>
          <w:sz w:val="20"/>
          <w:szCs w:val="20"/>
          <w:color w:val="auto"/>
        </w:rPr>
      </w:pPr>
      <w:r>
        <w:rPr>
          <w:rFonts w:ascii="Times New Roman" w:cs="Times New Roman" w:eastAsia="Times New Roman" w:hAnsi="Times New Roman"/>
          <w:sz w:val="17"/>
          <w:szCs w:val="17"/>
          <w:color w:val="231F20"/>
        </w:rPr>
        <w:t>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17" w:lineRule="exact"/>
        <w:rPr>
          <w:sz w:val="20"/>
          <w:szCs w:val="20"/>
          <w:color w:val="auto"/>
        </w:rPr>
      </w:pPr>
    </w:p>
    <w:p>
      <w:pPr>
        <w:ind w:left="620" w:hanging="500"/>
        <w:spacing w:after="0"/>
        <w:tabs>
          <w:tab w:leader="none" w:pos="620" w:val="left"/>
        </w:tabs>
        <w:numPr>
          <w:ilvl w:val="0"/>
          <w:numId w:val="97"/>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Waivers</w:t>
      </w:r>
    </w:p>
    <w:p>
      <w:pPr>
        <w:spacing w:after="0" w:line="187" w:lineRule="exact"/>
        <w:rPr>
          <w:sz w:val="20"/>
          <w:szCs w:val="20"/>
          <w:color w:val="auto"/>
        </w:rPr>
      </w:pPr>
    </w:p>
    <w:p>
      <w:pPr>
        <w:ind w:left="120" w:right="100" w:firstLine="509"/>
        <w:spacing w:after="0" w:line="276" w:lineRule="auto"/>
        <w:rPr>
          <w:sz w:val="20"/>
          <w:szCs w:val="20"/>
          <w:color w:val="auto"/>
        </w:rPr>
      </w:pPr>
      <w:r>
        <w:rPr>
          <w:rFonts w:ascii="Times New Roman" w:cs="Times New Roman" w:eastAsia="Times New Roman" w:hAnsi="Times New Roman"/>
          <w:sz w:val="17"/>
          <w:szCs w:val="17"/>
          <w:color w:val="231F20"/>
        </w:rPr>
        <w:t>A waiver of any provision of this Insider Trading Policy, or the Trading Procedures contained herein, in a specific instance may be authorized in writing by the Compliance Officer, and any such waiver shall be reported to the Audit Committee of the Board of Directors.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231F20"/>
        </w:rPr>
        <w:t>PART III. AMENDMENT</w:t>
      </w:r>
    </w:p>
    <w:p>
      <w:pPr>
        <w:spacing w:after="0" w:line="190" w:lineRule="exact"/>
        <w:rPr>
          <w:sz w:val="20"/>
          <w:szCs w:val="20"/>
          <w:color w:val="auto"/>
        </w:rPr>
      </w:pPr>
    </w:p>
    <w:p>
      <w:pPr>
        <w:ind w:left="120" w:right="1620" w:firstLine="509"/>
        <w:spacing w:after="0" w:line="485" w:lineRule="auto"/>
        <w:rPr>
          <w:sz w:val="20"/>
          <w:szCs w:val="20"/>
          <w:color w:val="auto"/>
        </w:rPr>
      </w:pPr>
      <w:r>
        <w:rPr>
          <w:rFonts w:ascii="Times New Roman" w:cs="Times New Roman" w:eastAsia="Times New Roman" w:hAnsi="Times New Roman"/>
          <w:sz w:val="17"/>
          <w:szCs w:val="17"/>
          <w:color w:val="231F20"/>
        </w:rPr>
        <w:t xml:space="preserve">This Insider Trading Policy may be amended from time to time with the approval of the Board or a designated committee thereof. </w:t>
      </w:r>
      <w:r>
        <w:rPr>
          <w:rFonts w:ascii="Times New Roman" w:cs="Times New Roman" w:eastAsia="Times New Roman" w:hAnsi="Times New Roman"/>
          <w:sz w:val="17"/>
          <w:szCs w:val="17"/>
          <w:b w:val="1"/>
          <w:bCs w:val="1"/>
          <w:color w:val="231F20"/>
        </w:rPr>
        <w:t>PART IV. ACKNOWLEDGEMENT</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13</w:t>
      </w:r>
    </w:p>
    <w:p>
      <w:pPr>
        <w:sectPr>
          <w:pgSz w:w="11900" w:h="16838" w:orient="portrait"/>
          <w:cols w:equalWidth="0" w:num="1">
            <w:col w:w="11060"/>
          </w:cols>
          <w:pgMar w:left="340" w:top="1144" w:right="499" w:bottom="1440" w:gutter="0" w:footer="0" w:header="0"/>
        </w:sectPr>
      </w:pPr>
    </w:p>
    <w:bookmarkStart w:id="221" w:name="page222"/>
    <w:bookmarkEnd w:id="221"/>
    <w:p>
      <w:pPr>
        <w:ind w:left="120" w:firstLine="509"/>
        <w:spacing w:after="0" w:line="276" w:lineRule="auto"/>
        <w:rPr>
          <w:sz w:val="20"/>
          <w:szCs w:val="20"/>
          <w:color w:val="auto"/>
        </w:rPr>
      </w:pPr>
      <w:r>
        <w:rPr>
          <w:rFonts w:ascii="Times New Roman" w:cs="Times New Roman" w:eastAsia="Times New Roman" w:hAnsi="Times New Roman"/>
          <w:sz w:val="17"/>
          <w:szCs w:val="17"/>
          <w:color w:val="231F20"/>
        </w:rPr>
        <w:t>This Insider Trading Policy will be delivered to all current Insiders and to all future directors, officers, employees and designated consultants at the start of their employment or</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14</w:t>
      </w:r>
    </w:p>
    <w:p>
      <w:pPr>
        <w:sectPr>
          <w:pgSz w:w="11900" w:h="16838" w:orient="portrait"/>
          <w:cols w:equalWidth="0" w:num="1">
            <w:col w:w="10940"/>
          </w:cols>
          <w:pgMar w:left="340" w:top="1275" w:right="619" w:bottom="1440" w:gutter="0" w:footer="0" w:header="0"/>
        </w:sectPr>
      </w:pPr>
    </w:p>
    <w:bookmarkStart w:id="222" w:name="page223"/>
    <w:bookmarkEnd w:id="222"/>
    <w:p>
      <w:pPr>
        <w:jc w:val="both"/>
        <w:ind w:left="120"/>
        <w:spacing w:after="0" w:line="259" w:lineRule="auto"/>
        <w:rPr>
          <w:sz w:val="20"/>
          <w:szCs w:val="20"/>
          <w:color w:val="auto"/>
        </w:rPr>
      </w:pPr>
      <w:r>
        <w:rPr>
          <w:rFonts w:ascii="Times New Roman" w:cs="Times New Roman" w:eastAsia="Times New Roman" w:hAnsi="Times New Roman"/>
          <w:sz w:val="17"/>
          <w:szCs w:val="17"/>
          <w:color w:val="231F20"/>
        </w:rPr>
        <w:t>relationship with the Company. Upon first receiving a copy of this Insider Trading Policy, each individual must acknowledge that he or she has received a copy and agrees to comply with the terms of this Insider Trading Policy, and, if applicable, the Trading Procedures contained herein. The acknowledgment attached hereto must be completed and returned to the Company within ten</w:t>
      </w:r>
    </w:p>
    <w:p>
      <w:pPr>
        <w:ind w:left="120"/>
        <w:spacing w:after="0"/>
        <w:rPr>
          <w:sz w:val="20"/>
          <w:szCs w:val="20"/>
          <w:color w:val="auto"/>
        </w:rPr>
      </w:pPr>
      <w:r>
        <w:rPr>
          <w:rFonts w:ascii="Times New Roman" w:cs="Times New Roman" w:eastAsia="Times New Roman" w:hAnsi="Times New Roman"/>
          <w:sz w:val="17"/>
          <w:szCs w:val="17"/>
          <w:color w:val="231F20"/>
        </w:rPr>
        <w:t>(10) days of receipt to (which may be by email):</w:t>
      </w:r>
    </w:p>
    <w:p>
      <w:pPr>
        <w:spacing w:after="0" w:line="15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231F20"/>
        </w:rPr>
        <w:t>Attention: Compliance Officer Entrada Therapeutics, Inc.</w:t>
      </w:r>
    </w:p>
    <w:p>
      <w:pPr>
        <w:spacing w:after="0" w:line="2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b w:val="1"/>
          <w:bCs w:val="1"/>
          <w:color w:val="231F20"/>
        </w:rPr>
        <w:t>One Design Center Place, Suite 17-500 Boston, MA 02210</w:t>
      </w:r>
    </w:p>
    <w:p>
      <w:pPr>
        <w:spacing w:after="0" w:line="179" w:lineRule="exact"/>
        <w:rPr>
          <w:sz w:val="20"/>
          <w:szCs w:val="20"/>
          <w:color w:val="auto"/>
        </w:rPr>
      </w:pPr>
    </w:p>
    <w:p>
      <w:pPr>
        <w:ind w:left="120" w:right="200" w:firstLine="509"/>
        <w:spacing w:after="0" w:line="289" w:lineRule="auto"/>
        <w:rPr>
          <w:sz w:val="20"/>
          <w:szCs w:val="20"/>
          <w:color w:val="auto"/>
        </w:rPr>
      </w:pPr>
      <w:r>
        <w:rPr>
          <w:rFonts w:ascii="Times New Roman" w:cs="Times New Roman" w:eastAsia="Times New Roman" w:hAnsi="Times New Roman"/>
          <w:sz w:val="17"/>
          <w:szCs w:val="17"/>
          <w:color w:val="231F20"/>
        </w:rPr>
        <w:t>This acknowledgment will constitute consent for the Company to impose sanctions for violation of this Insider Trading Policy, including the Trading Procedures, and to issue any necessary stop-transfer orders to the Company’s transfer agent to ensure compliance.</w:t>
      </w:r>
    </w:p>
    <w:p>
      <w:pPr>
        <w:spacing w:after="0" w:line="134" w:lineRule="exact"/>
        <w:rPr>
          <w:sz w:val="20"/>
          <w:szCs w:val="20"/>
          <w:color w:val="auto"/>
        </w:rPr>
      </w:pPr>
    </w:p>
    <w:p>
      <w:pPr>
        <w:ind w:left="120" w:right="20" w:firstLine="509"/>
        <w:spacing w:after="0" w:line="257" w:lineRule="auto"/>
        <w:rPr>
          <w:sz w:val="20"/>
          <w:szCs w:val="20"/>
          <w:color w:val="auto"/>
        </w:rPr>
      </w:pPr>
      <w:r>
        <w:rPr>
          <w:rFonts w:ascii="Times New Roman" w:cs="Times New Roman" w:eastAsia="Times New Roman" w:hAnsi="Times New Roman"/>
          <w:sz w:val="17"/>
          <w:szCs w:val="17"/>
          <w:color w:val="231F20"/>
        </w:rPr>
        <w:t>All directors, officers, employees and designated consultants will be required upon the Company’s request to re-acknowledge and agree to comply with this Insider Trading Policy (including any amendments or modifications thereto). For such purpose, an individual will be deemed to have acknowledged and agreed to comply with this Insider Trading Policy, as amended from time to time, when copies of such items have been delivered by regular or electronic mail (or other delivery option used by the Company) by the Compliance Officer or his designee.</w:t>
      </w:r>
    </w:p>
    <w:p>
      <w:pPr>
        <w:spacing w:after="0" w:line="139" w:lineRule="exact"/>
        <w:rPr>
          <w:sz w:val="20"/>
          <w:szCs w:val="20"/>
          <w:color w:val="auto"/>
        </w:rPr>
      </w:pPr>
    </w:p>
    <w:p>
      <w:pPr>
        <w:jc w:val="center"/>
        <w:ind w:right="-259"/>
        <w:spacing w:after="0"/>
        <w:tabs>
          <w:tab w:leader="none" w:pos="140" w:val="left"/>
          <w:tab w:leader="none" w:pos="160" w:val="left"/>
        </w:tabs>
        <w:rPr>
          <w:sz w:val="20"/>
          <w:szCs w:val="20"/>
          <w:color w:val="auto"/>
        </w:rPr>
      </w:pPr>
      <w:r>
        <w:rPr>
          <w:rFonts w:ascii="Times New Roman" w:cs="Times New Roman" w:eastAsia="Times New Roman" w:hAnsi="Times New Roman"/>
          <w:sz w:val="17"/>
          <w:szCs w:val="17"/>
          <w:color w:val="231F20"/>
        </w:rPr>
        <w:t>*</w:t>
        <w:tab/>
        <w:t>*</w:t>
      </w:r>
      <w:r>
        <w:rPr>
          <w:sz w:val="20"/>
          <w:szCs w:val="20"/>
          <w:color w:val="auto"/>
        </w:rPr>
        <w:tab/>
      </w:r>
      <w:r>
        <w:rPr>
          <w:rFonts w:ascii="Times New Roman" w:cs="Times New Roman" w:eastAsia="Times New Roman" w:hAnsi="Times New Roman"/>
          <w:sz w:val="16"/>
          <w:szCs w:val="16"/>
          <w:color w:val="231F20"/>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Questions regarding this Insider Trading Policy are encouraged and may be directed to the Compliance Officer at compliance@entradatx.com.</w:t>
      </w: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231F20"/>
        </w:rPr>
        <w:t>Adopted: June 8, 2023</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231F20"/>
        </w:rPr>
        <w:t>Effective: June 8, 2023</w:t>
      </w:r>
    </w:p>
    <w:p>
      <w:pPr>
        <w:spacing w:after="0" w:line="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231F20"/>
        </w:rPr>
        <w:t>Amended and Restated: January 21, 2025</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15</w:t>
      </w:r>
    </w:p>
    <w:p>
      <w:pPr>
        <w:sectPr>
          <w:pgSz w:w="11900" w:h="16838" w:orient="portrait"/>
          <w:cols w:equalWidth="0" w:num="1">
            <w:col w:w="10940"/>
          </w:cols>
          <w:pgMar w:left="340" w:top="1148" w:right="619" w:bottom="1440" w:gutter="0" w:footer="0" w:header="0"/>
        </w:sectPr>
      </w:pPr>
    </w:p>
    <w:bookmarkStart w:id="223" w:name="page224"/>
    <w:bookmarkEnd w:id="223"/>
    <w:p>
      <w:pPr>
        <w:jc w:val="center"/>
        <w:ind w:right="-199"/>
        <w:spacing w:after="0"/>
        <w:rPr>
          <w:sz w:val="20"/>
          <w:szCs w:val="20"/>
          <w:color w:val="auto"/>
        </w:rPr>
      </w:pPr>
      <w:r>
        <w:rPr>
          <w:rFonts w:ascii="Times New Roman" w:cs="Times New Roman" w:eastAsia="Times New Roman" w:hAnsi="Times New Roman"/>
          <w:sz w:val="17"/>
          <w:szCs w:val="17"/>
          <w:u w:val="single" w:color="auto"/>
          <w:color w:val="231F20"/>
        </w:rPr>
        <w:t>EXHIBIT A</w:t>
      </w:r>
    </w:p>
    <w:p>
      <w:pPr>
        <w:spacing w:after="0" w:line="17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231F20"/>
        </w:rPr>
        <w:t>STOCK TRANSACTION REQUEST</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231F20"/>
        </w:rPr>
        <w:t>Pursuant to Entrada Therapeutics, Inc.’s Insider Trading Policy, I hereby notify Entrada Therapeutics, Inc.</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231F20"/>
        </w:rPr>
        <w:t>(the “Company”) of my intent to trade the securities of the Company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143510</wp:posOffset>
            </wp:positionV>
            <wp:extent cx="6959600" cy="4325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6959600" cy="4325620"/>
                    </a:xfrm>
                    <a:prstGeom prst="rect">
                      <a:avLst/>
                    </a:prstGeom>
                    <a:noFill/>
                  </pic:spPr>
                </pic:pic>
              </a:graphicData>
            </a:graphic>
          </wp:anchor>
        </w:drawing>
      </w: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231F20"/>
        </w:rPr>
        <w:t>REQUESTER INFORMATION</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231F20"/>
        </w:rPr>
        <w:t>Insider’s Name:</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231F20"/>
        </w:rPr>
        <w:t>INTENT TO PURCHASE</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231F20"/>
        </w:rPr>
        <w:t>Number of shares: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231F20"/>
        </w:rPr>
        <w:t>Intended trade date:</w:t>
      </w:r>
    </w:p>
    <w:p>
      <w:pPr>
        <w:spacing w:after="0" w:line="44" w:lineRule="exact"/>
        <w:rPr>
          <w:sz w:val="20"/>
          <w:szCs w:val="20"/>
          <w:color w:val="auto"/>
        </w:rPr>
      </w:pPr>
    </w:p>
    <w:p>
      <w:pPr>
        <w:ind w:left="120"/>
        <w:spacing w:after="0"/>
        <w:tabs>
          <w:tab w:leader="none" w:pos="1240" w:val="left"/>
        </w:tabs>
        <w:rPr>
          <w:sz w:val="20"/>
          <w:szCs w:val="20"/>
          <w:color w:val="auto"/>
        </w:rPr>
      </w:pPr>
      <w:r>
        <w:rPr>
          <w:rFonts w:ascii="Times New Roman" w:cs="Times New Roman" w:eastAsia="Times New Roman" w:hAnsi="Times New Roman"/>
          <w:sz w:val="12"/>
          <w:szCs w:val="12"/>
          <w:color w:val="231F20"/>
        </w:rPr>
        <w:t>Means of acquiring</w:t>
      </w:r>
      <w:r>
        <w:rPr>
          <w:sz w:val="20"/>
          <w:szCs w:val="20"/>
          <w:color w:val="auto"/>
        </w:rPr>
        <w:tab/>
      </w:r>
      <w:r>
        <w:rPr>
          <w:rFonts w:ascii="Times New Roman" w:cs="Times New Roman" w:eastAsia="Times New Roman" w:hAnsi="Times New Roman"/>
          <w:sz w:val="11"/>
          <w:szCs w:val="11"/>
          <w:color w:val="231F20"/>
        </w:rPr>
        <w:t>Acquisition through employee benefit plan (please specify):</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231F20"/>
        </w:rPr>
        <w:t>shares:</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4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231F20"/>
              </w:rPr>
              <w:t>Purchase through a broker on the open market</w:t>
            </w:r>
          </w:p>
        </w:tc>
      </w:tr>
      <w:tr>
        <w:trPr>
          <w:trHeight w:val="276"/>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80" w:type="dxa"/>
            <w:vAlign w:val="bottom"/>
            <w:gridSpan w:val="5"/>
          </w:tcPr>
          <w:p>
            <w:pPr>
              <w:ind w:left="1800"/>
              <w:spacing w:after="0"/>
              <w:rPr>
                <w:sz w:val="20"/>
                <w:szCs w:val="20"/>
                <w:color w:val="auto"/>
              </w:rPr>
            </w:pPr>
            <w:r>
              <w:rPr>
                <w:rFonts w:ascii="Times New Roman" w:cs="Times New Roman" w:eastAsia="Times New Roman" w:hAnsi="Times New Roman"/>
                <w:sz w:val="14"/>
                <w:szCs w:val="14"/>
                <w:color w:val="231F20"/>
              </w:rPr>
              <w:t>Other (please specify):</w:t>
            </w:r>
          </w:p>
        </w:tc>
      </w:tr>
      <w:tr>
        <w:trPr>
          <w:trHeight w:val="33"/>
        </w:trPr>
        <w:tc>
          <w:tcPr>
            <w:tcW w:w="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422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6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40" w:type="dxa"/>
            <w:vAlign w:val="bottom"/>
            <w:tcBorders>
              <w:top w:val="single" w:sz="8" w:color="231F20"/>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r>
      <w:tr>
        <w:trPr>
          <w:trHeight w:val="139"/>
        </w:trPr>
        <w:tc>
          <w:tcPr>
            <w:tcW w:w="80" w:type="dxa"/>
            <w:vAlign w:val="bottom"/>
          </w:tcPr>
          <w:p>
            <w:pPr>
              <w:spacing w:after="0"/>
              <w:rPr>
                <w:sz w:val="12"/>
                <w:szCs w:val="12"/>
                <w:color w:val="auto"/>
              </w:rPr>
            </w:pPr>
          </w:p>
        </w:tc>
        <w:tc>
          <w:tcPr>
            <w:tcW w:w="2000" w:type="dxa"/>
            <w:vAlign w:val="bottom"/>
            <w:gridSpan w:val="9"/>
          </w:tcPr>
          <w:p>
            <w:pPr>
              <w:spacing w:after="0" w:line="139" w:lineRule="exact"/>
              <w:rPr>
                <w:sz w:val="20"/>
                <w:szCs w:val="20"/>
                <w:color w:val="auto"/>
              </w:rPr>
            </w:pPr>
            <w:r>
              <w:rPr>
                <w:rFonts w:ascii="Times New Roman" w:cs="Times New Roman" w:eastAsia="Times New Roman" w:hAnsi="Times New Roman"/>
                <w:sz w:val="14"/>
                <w:szCs w:val="14"/>
                <w:b w:val="1"/>
                <w:bCs w:val="1"/>
                <w:color w:val="231F20"/>
              </w:rPr>
              <w:t>INTENT TO SELL</w:t>
            </w:r>
          </w:p>
        </w:tc>
        <w:tc>
          <w:tcPr>
            <w:tcW w:w="4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4"/>
        </w:trPr>
        <w:tc>
          <w:tcPr>
            <w:tcW w:w="80" w:type="dxa"/>
            <w:vAlign w:val="bottom"/>
          </w:tcPr>
          <w:p>
            <w:pPr>
              <w:spacing w:after="0"/>
              <w:rPr>
                <w:sz w:val="19"/>
                <w:szCs w:val="19"/>
                <w:color w:val="auto"/>
              </w:rPr>
            </w:pPr>
          </w:p>
        </w:tc>
        <w:tc>
          <w:tcPr>
            <w:tcW w:w="1160" w:type="dxa"/>
            <w:vAlign w:val="bottom"/>
            <w:tcBorders>
              <w:top w:val="single" w:sz="8" w:color="231F20"/>
            </w:tcBorders>
            <w:gridSpan w:val="2"/>
          </w:tcPr>
          <w:p>
            <w:pPr>
              <w:spacing w:after="0"/>
              <w:rPr>
                <w:sz w:val="20"/>
                <w:szCs w:val="20"/>
                <w:color w:val="auto"/>
              </w:rPr>
            </w:pPr>
            <w:r>
              <w:rPr>
                <w:rFonts w:ascii="Times New Roman" w:cs="Times New Roman" w:eastAsia="Times New Roman" w:hAnsi="Times New Roman"/>
                <w:sz w:val="14"/>
                <w:szCs w:val="14"/>
                <w:color w:val="231F20"/>
              </w:rPr>
              <w:t>Number of shares:</w:t>
            </w:r>
          </w:p>
        </w:tc>
        <w:tc>
          <w:tcPr>
            <w:tcW w:w="20" w:type="dxa"/>
            <w:vAlign w:val="bottom"/>
          </w:tcPr>
          <w:p>
            <w:pPr>
              <w:spacing w:after="0"/>
              <w:rPr>
                <w:sz w:val="19"/>
                <w:szCs w:val="19"/>
                <w:color w:val="auto"/>
              </w:rPr>
            </w:pPr>
          </w:p>
        </w:tc>
        <w:tc>
          <w:tcPr>
            <w:tcW w:w="140" w:type="dxa"/>
            <w:vAlign w:val="bottom"/>
            <w:tcBorders>
              <w:bottom w:val="single" w:sz="8" w:color="231F20"/>
            </w:tcBorders>
            <w:gridSpan w:val="2"/>
          </w:tcPr>
          <w:p>
            <w:pPr>
              <w:spacing w:after="0"/>
              <w:rPr>
                <w:sz w:val="19"/>
                <w:szCs w:val="19"/>
                <w:color w:val="auto"/>
              </w:rPr>
            </w:pPr>
          </w:p>
        </w:tc>
        <w:tc>
          <w:tcPr>
            <w:tcW w:w="680" w:type="dxa"/>
            <w:vAlign w:val="bottom"/>
            <w:gridSpan w:val="4"/>
          </w:tcPr>
          <w:p>
            <w:pPr>
              <w:spacing w:after="0"/>
              <w:rPr>
                <w:sz w:val="19"/>
                <w:szCs w:val="19"/>
                <w:color w:val="auto"/>
              </w:rPr>
            </w:pPr>
          </w:p>
        </w:tc>
        <w:tc>
          <w:tcPr>
            <w:tcW w:w="4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80" w:type="dxa"/>
            <w:vAlign w:val="bottom"/>
          </w:tcPr>
          <w:p>
            <w:pPr>
              <w:spacing w:after="0"/>
              <w:rPr>
                <w:sz w:val="18"/>
                <w:szCs w:val="18"/>
                <w:color w:val="auto"/>
              </w:rPr>
            </w:pPr>
          </w:p>
        </w:tc>
        <w:tc>
          <w:tcPr>
            <w:tcW w:w="1260" w:type="dxa"/>
            <w:vAlign w:val="bottom"/>
            <w:gridSpan w:val="4"/>
          </w:tcPr>
          <w:p>
            <w:pPr>
              <w:spacing w:after="0"/>
              <w:rPr>
                <w:sz w:val="20"/>
                <w:szCs w:val="20"/>
                <w:color w:val="auto"/>
              </w:rPr>
            </w:pPr>
            <w:r>
              <w:rPr>
                <w:rFonts w:ascii="Times New Roman" w:cs="Times New Roman" w:eastAsia="Times New Roman" w:hAnsi="Times New Roman"/>
                <w:sz w:val="14"/>
                <w:szCs w:val="14"/>
                <w:color w:val="231F20"/>
              </w:rPr>
              <w:t>Intended trade date:</w:t>
            </w:r>
          </w:p>
        </w:tc>
        <w:tc>
          <w:tcPr>
            <w:tcW w:w="140" w:type="dxa"/>
            <w:vAlign w:val="bottom"/>
            <w:tcBorders>
              <w:bottom w:val="single" w:sz="8" w:color="231F20"/>
            </w:tcBorders>
            <w:gridSpan w:val="2"/>
          </w:tcPr>
          <w:p>
            <w:pPr>
              <w:spacing w:after="0"/>
              <w:rPr>
                <w:sz w:val="18"/>
                <w:szCs w:val="18"/>
                <w:color w:val="auto"/>
              </w:rPr>
            </w:pPr>
          </w:p>
        </w:tc>
        <w:tc>
          <w:tcPr>
            <w:tcW w:w="600" w:type="dxa"/>
            <w:vAlign w:val="bottom"/>
            <w:gridSpan w:val="3"/>
          </w:tcPr>
          <w:p>
            <w:pPr>
              <w:spacing w:after="0"/>
              <w:rPr>
                <w:sz w:val="18"/>
                <w:szCs w:val="18"/>
                <w:color w:val="auto"/>
              </w:rPr>
            </w:pPr>
          </w:p>
        </w:tc>
        <w:tc>
          <w:tcPr>
            <w:tcW w:w="4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80" w:type="dxa"/>
            <w:vAlign w:val="bottom"/>
          </w:tcPr>
          <w:p>
            <w:pPr>
              <w:spacing w:after="0"/>
              <w:rPr>
                <w:sz w:val="16"/>
                <w:szCs w:val="16"/>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2"/>
                <w:szCs w:val="12"/>
                <w:color w:val="231F20"/>
              </w:rPr>
              <w:t>Means of selling</w:t>
            </w:r>
          </w:p>
        </w:tc>
        <w:tc>
          <w:tcPr>
            <w:tcW w:w="9980" w:type="dxa"/>
            <w:vAlign w:val="bottom"/>
            <w:gridSpan w:val="15"/>
          </w:tcPr>
          <w:p>
            <w:pPr>
              <w:ind w:left="120"/>
              <w:spacing w:after="0"/>
              <w:rPr>
                <w:sz w:val="20"/>
                <w:szCs w:val="20"/>
                <w:color w:val="auto"/>
              </w:rPr>
            </w:pPr>
            <w:r>
              <w:rPr>
                <w:rFonts w:ascii="Times New Roman" w:cs="Times New Roman" w:eastAsia="Times New Roman" w:hAnsi="Times New Roman"/>
                <w:sz w:val="12"/>
                <w:szCs w:val="12"/>
                <w:color w:val="231F20"/>
              </w:rPr>
              <w:t>Sale through employee benefit plan (please specify):</w:t>
            </w:r>
          </w:p>
        </w:tc>
      </w:tr>
      <w:tr>
        <w:trPr>
          <w:trHeight w:val="172"/>
        </w:trPr>
        <w:tc>
          <w:tcPr>
            <w:tcW w:w="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3"/>
                <w:szCs w:val="13"/>
                <w:color w:val="231F20"/>
              </w:rPr>
              <w:t>shares: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800"/>
        </w:trPr>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4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231F20"/>
              </w:rPr>
              <w:t>Sale through a broker on the open market</w:t>
            </w:r>
          </w:p>
        </w:tc>
      </w:tr>
      <w:tr>
        <w:trPr>
          <w:trHeight w:val="276"/>
        </w:trPr>
        <w:tc>
          <w:tcPr>
            <w:tcW w:w="80" w:type="dxa"/>
            <w:vAlign w:val="bottom"/>
          </w:tcPr>
          <w:p>
            <w:pPr>
              <w:spacing w:after="0"/>
              <w:rPr>
                <w:sz w:val="24"/>
                <w:szCs w:val="24"/>
                <w:color w:val="auto"/>
              </w:rPr>
            </w:pPr>
          </w:p>
        </w:tc>
        <w:tc>
          <w:tcPr>
            <w:tcW w:w="2000" w:type="dxa"/>
            <w:vAlign w:val="bottom"/>
            <w:gridSpan w:val="9"/>
          </w:tcPr>
          <w:p>
            <w:pPr>
              <w:ind w:left="160"/>
              <w:spacing w:after="0"/>
              <w:rPr>
                <w:sz w:val="20"/>
                <w:szCs w:val="20"/>
                <w:color w:val="auto"/>
              </w:rPr>
            </w:pPr>
            <w:r>
              <w:rPr>
                <w:rFonts w:ascii="Times New Roman" w:cs="Times New Roman" w:eastAsia="Times New Roman" w:hAnsi="Times New Roman"/>
                <w:sz w:val="14"/>
                <w:szCs w:val="14"/>
                <w:color w:val="231F20"/>
              </w:rPr>
              <w:t>Other (please specify):</w:t>
            </w:r>
          </w:p>
        </w:tc>
        <w:tc>
          <w:tcPr>
            <w:tcW w:w="4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80" w:type="dxa"/>
            <w:vAlign w:val="bottom"/>
            <w:tcBorders>
              <w:bottom w:val="single" w:sz="8" w:color="231F20"/>
            </w:tcBorders>
          </w:tcPr>
          <w:p>
            <w:pPr>
              <w:spacing w:after="0"/>
              <w:rPr>
                <w:sz w:val="2"/>
                <w:szCs w:val="2"/>
                <w:color w:val="auto"/>
              </w:rPr>
            </w:pPr>
          </w:p>
        </w:tc>
        <w:tc>
          <w:tcPr>
            <w:tcW w:w="900" w:type="dxa"/>
            <w:vAlign w:val="bottom"/>
            <w:tcBorders>
              <w:bottom w:val="single" w:sz="8" w:color="231F20"/>
            </w:tcBorders>
          </w:tcPr>
          <w:p>
            <w:pPr>
              <w:spacing w:after="0"/>
              <w:rPr>
                <w:sz w:val="2"/>
                <w:szCs w:val="2"/>
                <w:color w:val="auto"/>
              </w:rPr>
            </w:pPr>
          </w:p>
        </w:tc>
        <w:tc>
          <w:tcPr>
            <w:tcW w:w="2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6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40" w:type="dxa"/>
            <w:vAlign w:val="bottom"/>
            <w:tcBorders>
              <w:top w:val="single" w:sz="8" w:color="231F20"/>
              <w:bottom w:val="single" w:sz="8" w:color="231F20"/>
            </w:tcBorders>
          </w:tcPr>
          <w:p>
            <w:pPr>
              <w:spacing w:after="0"/>
              <w:rPr>
                <w:sz w:val="2"/>
                <w:szCs w:val="2"/>
                <w:color w:val="auto"/>
              </w:rPr>
            </w:pPr>
          </w:p>
        </w:tc>
        <w:tc>
          <w:tcPr>
            <w:tcW w:w="360" w:type="dxa"/>
            <w:vAlign w:val="bottom"/>
            <w:tcBorders>
              <w:bottom w:val="single" w:sz="8" w:color="231F20"/>
            </w:tcBorders>
          </w:tcPr>
          <w:p>
            <w:pPr>
              <w:spacing w:after="0"/>
              <w:rPr>
                <w:sz w:val="2"/>
                <w:szCs w:val="2"/>
                <w:color w:val="auto"/>
              </w:rPr>
            </w:pPr>
          </w:p>
        </w:tc>
        <w:tc>
          <w:tcPr>
            <w:tcW w:w="4220" w:type="dxa"/>
            <w:vAlign w:val="bottom"/>
            <w:tcBorders>
              <w:bottom w:val="single" w:sz="8" w:color="231F20"/>
            </w:tcBorders>
          </w:tcPr>
          <w:p>
            <w:pPr>
              <w:spacing w:after="0"/>
              <w:rPr>
                <w:sz w:val="2"/>
                <w:szCs w:val="2"/>
                <w:color w:val="auto"/>
              </w:rPr>
            </w:pPr>
          </w:p>
        </w:tc>
        <w:tc>
          <w:tcPr>
            <w:tcW w:w="980" w:type="dxa"/>
            <w:vAlign w:val="bottom"/>
            <w:tcBorders>
              <w:bottom w:val="single" w:sz="8" w:color="231F20"/>
            </w:tcBorders>
          </w:tcPr>
          <w:p>
            <w:pPr>
              <w:spacing w:after="0"/>
              <w:rPr>
                <w:sz w:val="2"/>
                <w:szCs w:val="2"/>
                <w:color w:val="auto"/>
              </w:rPr>
            </w:pPr>
          </w:p>
        </w:tc>
        <w:tc>
          <w:tcPr>
            <w:tcW w:w="268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40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tcPr>
          <w:p>
            <w:pPr>
              <w:spacing w:after="0"/>
              <w:rPr>
                <w:sz w:val="2"/>
                <w:szCs w:val="2"/>
                <w:color w:val="auto"/>
              </w:rPr>
            </w:pPr>
          </w:p>
        </w:tc>
      </w:tr>
      <w:tr>
        <w:trPr>
          <w:trHeight w:val="160"/>
        </w:trPr>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46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231F20"/>
              </w:rPr>
              <w:t>SECTION 16   RULE 144 (Not applicable if transaction requested involves</w:t>
            </w:r>
          </w:p>
        </w:tc>
      </w:tr>
      <w:tr>
        <w:trPr>
          <w:trHeight w:val="118"/>
        </w:trPr>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980" w:type="dxa"/>
            <w:vAlign w:val="bottom"/>
            <w:tcBorders>
              <w:top w:val="single" w:sz="8" w:color="231F20"/>
            </w:tcBorders>
          </w:tcPr>
          <w:p>
            <w:pPr>
              <w:spacing w:after="0"/>
              <w:rPr>
                <w:sz w:val="10"/>
                <w:szCs w:val="10"/>
                <w:color w:val="auto"/>
              </w:rPr>
            </w:pPr>
          </w:p>
        </w:tc>
        <w:tc>
          <w:tcPr>
            <w:tcW w:w="2680" w:type="dxa"/>
            <w:vAlign w:val="bottom"/>
          </w:tcPr>
          <w:p>
            <w:pPr>
              <w:spacing w:after="0"/>
              <w:rPr>
                <w:sz w:val="10"/>
                <w:szCs w:val="10"/>
                <w:color w:val="auto"/>
              </w:rPr>
            </w:pPr>
          </w:p>
        </w:tc>
        <w:tc>
          <w:tcPr>
            <w:tcW w:w="980" w:type="dxa"/>
            <w:vAlign w:val="bottom"/>
            <w:tcBorders>
              <w:bottom w:val="single" w:sz="8" w:color="231F20"/>
            </w:tcBorders>
            <w:gridSpan w:val="3"/>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231F20"/>
              </w:rPr>
              <w:t>a purchase)</w:t>
            </w:r>
          </w:p>
        </w:tc>
        <w:tc>
          <w:tcPr>
            <w:tcW w:w="20" w:type="dxa"/>
            <w:vAlign w:val="bottom"/>
          </w:tcPr>
          <w:p>
            <w:pPr>
              <w:spacing w:after="0"/>
              <w:rPr>
                <w:sz w:val="10"/>
                <w:szCs w:val="10"/>
                <w:color w:val="auto"/>
              </w:rPr>
            </w:pPr>
          </w:p>
        </w:tc>
      </w:tr>
      <w:tr>
        <w:trPr>
          <w:trHeight w:val="224"/>
        </w:trPr>
        <w:tc>
          <w:tcPr>
            <w:tcW w:w="80" w:type="dxa"/>
            <w:vAlign w:val="bottom"/>
          </w:tcPr>
          <w:p>
            <w:pPr>
              <w:spacing w:after="0"/>
              <w:rPr>
                <w:sz w:val="19"/>
                <w:szCs w:val="19"/>
                <w:color w:val="auto"/>
              </w:rPr>
            </w:pPr>
          </w:p>
        </w:tc>
        <w:tc>
          <w:tcPr>
            <w:tcW w:w="2000" w:type="dxa"/>
            <w:vAlign w:val="bottom"/>
            <w:gridSpan w:val="9"/>
          </w:tcPr>
          <w:p>
            <w:pPr>
              <w:ind w:left="140"/>
              <w:spacing w:after="0"/>
              <w:rPr>
                <w:sz w:val="20"/>
                <w:szCs w:val="20"/>
                <w:color w:val="auto"/>
              </w:rPr>
            </w:pPr>
            <w:r>
              <w:rPr>
                <w:rFonts w:ascii="Times New Roman" w:cs="Times New Roman" w:eastAsia="Times New Roman" w:hAnsi="Times New Roman"/>
                <w:sz w:val="14"/>
                <w:szCs w:val="14"/>
                <w:color w:val="231F20"/>
              </w:rPr>
              <w:t>I am not subject to Section 16.</w:t>
            </w:r>
          </w:p>
        </w:tc>
        <w:tc>
          <w:tcPr>
            <w:tcW w:w="8880" w:type="dxa"/>
            <w:vAlign w:val="bottom"/>
            <w:gridSpan w:val="7"/>
          </w:tcPr>
          <w:p>
            <w:pPr>
              <w:ind w:left="140"/>
              <w:spacing w:after="0"/>
              <w:rPr>
                <w:sz w:val="20"/>
                <w:szCs w:val="20"/>
                <w:color w:val="auto"/>
              </w:rPr>
            </w:pPr>
            <w:r>
              <w:rPr>
                <w:rFonts w:ascii="Times New Roman" w:cs="Times New Roman" w:eastAsia="Times New Roman" w:hAnsi="Times New Roman"/>
                <w:sz w:val="14"/>
                <w:szCs w:val="14"/>
                <w:color w:val="231F20"/>
              </w:rPr>
              <w:t>I am not an “affiliate” of the Company and the</w:t>
            </w:r>
          </w:p>
        </w:tc>
      </w:tr>
    </w:tbl>
    <w:p>
      <w:pPr>
        <w:ind w:left="3760"/>
        <w:spacing w:after="0" w:line="208" w:lineRule="auto"/>
        <w:rPr>
          <w:sz w:val="20"/>
          <w:szCs w:val="20"/>
          <w:color w:val="auto"/>
        </w:rPr>
      </w:pPr>
      <w:r>
        <w:rPr>
          <w:rFonts w:ascii="Times New Roman" w:cs="Times New Roman" w:eastAsia="Times New Roman" w:hAnsi="Times New Roman"/>
          <w:sz w:val="14"/>
          <w:szCs w:val="14"/>
          <w:color w:val="231F20"/>
        </w:rPr>
        <w:t>transaction requested above does not involve the</w:t>
      </w:r>
    </w:p>
    <w:p>
      <w:pPr>
        <w:ind w:left="3760"/>
        <w:spacing w:after="0" w:line="221" w:lineRule="auto"/>
        <w:rPr>
          <w:sz w:val="20"/>
          <w:szCs w:val="20"/>
          <w:color w:val="auto"/>
        </w:rPr>
      </w:pPr>
      <w:r>
        <w:rPr>
          <w:rFonts w:ascii="Times New Roman" w:cs="Times New Roman" w:eastAsia="Times New Roman" w:hAnsi="Times New Roman"/>
          <w:sz w:val="14"/>
          <w:szCs w:val="14"/>
          <w:color w:val="231F20"/>
        </w:rPr>
        <w:t>sale of “restricted securities” (as such terms are</w:t>
      </w:r>
    </w:p>
    <w:p>
      <w:pPr>
        <w:ind w:left="240"/>
        <w:spacing w:after="0" w:line="201" w:lineRule="auto"/>
        <w:tabs>
          <w:tab w:leader="none" w:pos="2660" w:val="left"/>
          <w:tab w:leader="none" w:pos="8180" w:val="left"/>
        </w:tabs>
        <w:rPr>
          <w:sz w:val="20"/>
          <w:szCs w:val="20"/>
          <w:color w:val="auto"/>
        </w:rPr>
      </w:pPr>
      <w:r>
        <w:rPr>
          <w:rFonts w:ascii="Times New Roman" w:cs="Times New Roman" w:eastAsia="Times New Roman" w:hAnsi="Times New Roman"/>
          <w:sz w:val="14"/>
          <w:szCs w:val="14"/>
          <w:color w:val="231F20"/>
        </w:rPr>
        <w:t>To the best of my knowledge, I have not</w:t>
        <w:tab/>
        <w:t>defined under Rule 144 under the Securities Act of (and am not deemed to have) engaged in an</w:t>
        <w:tab/>
        <w:t>1933, as amended).</w:t>
      </w:r>
    </w:p>
    <w:tbl>
      <w:tblPr>
        <w:tblLayout w:type="fixed"/>
        <w:tblInd w:w="260" w:type="dxa"/>
        <w:tblCellMar>
          <w:top w:w="0" w:type="dxa"/>
          <w:left w:w="0" w:type="dxa"/>
          <w:bottom w:w="0" w:type="dxa"/>
          <w:right w:w="0" w:type="dxa"/>
        </w:tblCellMar>
      </w:tblPr>
      <w:tr>
        <w:trPr>
          <w:trHeight w:val="147"/>
        </w:trPr>
        <w:tc>
          <w:tcPr>
            <w:tcW w:w="27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231F20"/>
              </w:rPr>
              <w:t>opposite way transaction within the previous</w:t>
            </w:r>
          </w:p>
        </w:tc>
        <w:tc>
          <w:tcPr>
            <w:tcW w:w="44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231F20"/>
              </w:rPr>
              <w:t>6 months that was not exempt from Section</w:t>
            </w:r>
          </w:p>
        </w:tc>
        <w:tc>
          <w:tcPr>
            <w:tcW w:w="44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231F20"/>
              </w:rPr>
              <w:t>To the best of my knowledge, the transaction 16(b) of the Exchange Act.</w:t>
            </w:r>
          </w:p>
        </w:tc>
        <w:tc>
          <w:tcPr>
            <w:tcW w:w="274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231F20"/>
              </w:rPr>
              <w:t>requested above will meet all of the applicable</w:t>
            </w:r>
          </w:p>
        </w:tc>
        <w:tc>
          <w:tcPr>
            <w:tcW w:w="0" w:type="dxa"/>
            <w:vAlign w:val="bottom"/>
          </w:tcPr>
          <w:p>
            <w:pPr>
              <w:spacing w:after="0"/>
              <w:rPr>
                <w:sz w:val="1"/>
                <w:szCs w:val="1"/>
                <w:color w:val="auto"/>
              </w:rPr>
            </w:pPr>
          </w:p>
        </w:tc>
      </w:tr>
      <w:tr>
        <w:trPr>
          <w:trHeight w:val="184"/>
        </w:trPr>
        <w:tc>
          <w:tcPr>
            <w:tcW w:w="2760" w:type="dxa"/>
            <w:vAlign w:val="bottom"/>
            <w:vMerge w:val="restart"/>
          </w:tcPr>
          <w:p>
            <w:pPr>
              <w:spacing w:after="0"/>
              <w:rPr>
                <w:sz w:val="20"/>
                <w:szCs w:val="20"/>
                <w:color w:val="auto"/>
              </w:rPr>
            </w:pPr>
            <w:r>
              <w:rPr>
                <w:rFonts w:ascii="Times New Roman" w:cs="Times New Roman" w:eastAsia="Times New Roman" w:hAnsi="Times New Roman"/>
                <w:sz w:val="14"/>
                <w:szCs w:val="14"/>
                <w:color w:val="231F20"/>
              </w:rPr>
              <w:t>None of the above.</w:t>
            </w:r>
          </w:p>
        </w:tc>
        <w:tc>
          <w:tcPr>
            <w:tcW w:w="4420" w:type="dxa"/>
            <w:vAlign w:val="bottom"/>
          </w:tcPr>
          <w:p>
            <w:pPr>
              <w:ind w:left="740"/>
              <w:spacing w:after="0"/>
              <w:rPr>
                <w:sz w:val="20"/>
                <w:szCs w:val="20"/>
                <w:color w:val="auto"/>
              </w:rPr>
            </w:pPr>
            <w:r>
              <w:rPr>
                <w:rFonts w:ascii="Times New Roman" w:cs="Times New Roman" w:eastAsia="Times New Roman" w:hAnsi="Times New Roman"/>
                <w:sz w:val="14"/>
                <w:szCs w:val="14"/>
                <w:color w:val="231F20"/>
              </w:rPr>
              <w:t>conditions of Rule 144.</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760" w:type="dxa"/>
            <w:vAlign w:val="bottom"/>
            <w:vMerge w:val="continue"/>
          </w:tcPr>
          <w:p>
            <w:pPr>
              <w:spacing w:after="0"/>
              <w:rPr>
                <w:sz w:val="13"/>
                <w:szCs w:val="13"/>
                <w:color w:val="auto"/>
              </w:rPr>
            </w:pPr>
          </w:p>
        </w:tc>
        <w:tc>
          <w:tcPr>
            <w:tcW w:w="44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color w:val="231F20"/>
              </w:rPr>
              <w:t>The transaction requested is being made pursuant</w:t>
            </w: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760" w:type="dxa"/>
            <w:vAlign w:val="bottom"/>
          </w:tcPr>
          <w:p>
            <w:pPr>
              <w:spacing w:after="0"/>
              <w:rPr>
                <w:sz w:val="11"/>
                <w:szCs w:val="11"/>
                <w:color w:val="auto"/>
              </w:rPr>
            </w:pPr>
          </w:p>
        </w:tc>
        <w:tc>
          <w:tcPr>
            <w:tcW w:w="4420" w:type="dxa"/>
            <w:vAlign w:val="bottom"/>
            <w:vMerge w:val="continue"/>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4420" w:type="dxa"/>
            <w:vAlign w:val="bottom"/>
          </w:tcPr>
          <w:p>
            <w:pPr>
              <w:ind w:left="740"/>
              <w:spacing w:after="0"/>
              <w:rPr>
                <w:sz w:val="20"/>
                <w:szCs w:val="20"/>
                <w:color w:val="auto"/>
              </w:rPr>
            </w:pPr>
            <w:r>
              <w:rPr>
                <w:rFonts w:ascii="Times New Roman" w:cs="Times New Roman" w:eastAsia="Times New Roman" w:hAnsi="Times New Roman"/>
                <w:sz w:val="14"/>
                <w:szCs w:val="14"/>
                <w:color w:val="231F20"/>
              </w:rPr>
              <w:t>to an effective registration statement covering such transaction.</w:t>
            </w: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760" w:type="dxa"/>
            <w:vAlign w:val="bottom"/>
          </w:tcPr>
          <w:p>
            <w:pPr>
              <w:spacing w:after="0"/>
              <w:rPr>
                <w:sz w:val="24"/>
                <w:szCs w:val="24"/>
                <w:color w:val="auto"/>
              </w:rPr>
            </w:pPr>
          </w:p>
        </w:tc>
        <w:tc>
          <w:tcPr>
            <w:tcW w:w="4420" w:type="dxa"/>
            <w:vAlign w:val="bottom"/>
          </w:tcPr>
          <w:p>
            <w:pPr>
              <w:ind w:left="600"/>
              <w:spacing w:after="0"/>
              <w:rPr>
                <w:sz w:val="20"/>
                <w:szCs w:val="20"/>
                <w:color w:val="auto"/>
              </w:rPr>
            </w:pPr>
            <w:r>
              <w:rPr>
                <w:rFonts w:ascii="Times New Roman" w:cs="Times New Roman" w:eastAsia="Times New Roman" w:hAnsi="Times New Roman"/>
                <w:sz w:val="14"/>
                <w:szCs w:val="14"/>
                <w:color w:val="231F20"/>
              </w:rPr>
              <w:t>None of the above.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16</w:t>
      </w:r>
    </w:p>
    <w:p>
      <w:pPr>
        <w:sectPr>
          <w:pgSz w:w="11900" w:h="16838" w:orient="portrait"/>
          <w:cols w:equalWidth="0" w:num="1">
            <w:col w:w="11000"/>
          </w:cols>
          <w:pgMar w:left="340" w:top="1148" w:right="559" w:bottom="1440" w:gutter="0" w:footer="0" w:header="0"/>
        </w:sectPr>
      </w:pPr>
    </w:p>
    <w:bookmarkStart w:id="224" w:name="page225"/>
    <w:bookmarkEnd w:id="224"/>
    <w:p>
      <w:pPr>
        <w:ind w:left="120"/>
        <w:spacing w:after="0"/>
        <w:rPr>
          <w:sz w:val="20"/>
          <w:szCs w:val="20"/>
          <w:color w:val="auto"/>
        </w:rPr>
      </w:pPr>
      <w:r>
        <w:rPr>
          <w:rFonts w:ascii="Times New Roman" w:cs="Times New Roman" w:eastAsia="Times New Roman" w:hAnsi="Times New Roman"/>
          <w:sz w:val="14"/>
          <w:szCs w:val="14"/>
          <w:b w:val="1"/>
          <w:bCs w:val="1"/>
          <w:u w:val="single" w:color="auto"/>
          <w:color w:val="231F20"/>
        </w:rPr>
        <w:drawing>
          <wp:anchor simplePos="0" relativeHeight="251657728" behindDoc="1" locked="0" layoutInCell="0" allowOverlap="1">
            <wp:simplePos x="0" y="0"/>
            <wp:positionH relativeFrom="page">
              <wp:posOffset>247650</wp:posOffset>
            </wp:positionH>
            <wp:positionV relativeFrom="page">
              <wp:posOffset>742315</wp:posOffset>
            </wp:positionV>
            <wp:extent cx="6952615" cy="13271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6952615" cy="1327150"/>
                    </a:xfrm>
                    <a:prstGeom prst="rect">
                      <a:avLst/>
                    </a:prstGeom>
                    <a:noFill/>
                  </pic:spPr>
                </pic:pic>
              </a:graphicData>
            </a:graphic>
          </wp:anchor>
        </w:drawing>
        <w:t>CERTIFICATION</w:t>
      </w:r>
    </w:p>
    <w:p>
      <w:pPr>
        <w:spacing w:after="0" w:line="53" w:lineRule="exact"/>
        <w:rPr>
          <w:sz w:val="20"/>
          <w:szCs w:val="20"/>
          <w:color w:val="auto"/>
        </w:rPr>
      </w:pPr>
    </w:p>
    <w:p>
      <w:pPr>
        <w:ind w:left="120"/>
        <w:spacing w:after="0" w:line="278" w:lineRule="auto"/>
        <w:rPr>
          <w:sz w:val="20"/>
          <w:szCs w:val="20"/>
          <w:color w:val="auto"/>
        </w:rPr>
      </w:pPr>
      <w:r>
        <w:rPr>
          <w:rFonts w:ascii="Times New Roman" w:cs="Times New Roman" w:eastAsia="Times New Roman" w:hAnsi="Times New Roman"/>
          <w:sz w:val="14"/>
          <w:szCs w:val="14"/>
          <w:color w:val="231F20"/>
        </w:rPr>
        <w:t>I hereby certify that I am not (1) in possession of any material, nonpublic information concerning the Company, as defined in the Company’s Insider Trading Policy and (2) purchasing 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200" w:lineRule="exact"/>
        <w:rPr>
          <w:sz w:val="20"/>
          <w:szCs w:val="20"/>
          <w:color w:val="auto"/>
        </w:rPr>
      </w:pPr>
    </w:p>
    <w:p>
      <w:pPr>
        <w:spacing w:after="0" w:line="323" w:lineRule="exact"/>
        <w:rPr>
          <w:sz w:val="20"/>
          <w:szCs w:val="20"/>
          <w:color w:val="auto"/>
        </w:rPr>
      </w:pPr>
    </w:p>
    <w:p>
      <w:pPr>
        <w:ind w:left="280"/>
        <w:spacing w:after="0"/>
        <w:tabs>
          <w:tab w:leader="none" w:pos="1460" w:val="left"/>
        </w:tabs>
        <w:rPr>
          <w:sz w:val="20"/>
          <w:szCs w:val="20"/>
          <w:color w:val="auto"/>
        </w:rPr>
      </w:pPr>
      <w:r>
        <w:rPr>
          <w:rFonts w:ascii="Times New Roman" w:cs="Times New Roman" w:eastAsia="Times New Roman" w:hAnsi="Times New Roman"/>
          <w:sz w:val="14"/>
          <w:szCs w:val="14"/>
          <w:color w:val="231F20"/>
        </w:rPr>
        <w:t>Insider’s Signature</w:t>
        <w:tab/>
        <w:t>Date</w:t>
      </w:r>
    </w:p>
    <w:p>
      <w:pPr>
        <w:spacing w:after="0" w:line="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231F20"/>
        </w:rPr>
        <w:t>AUTHORIZED APPROVAL</w:t>
      </w:r>
    </w:p>
    <w:p>
      <w:pPr>
        <w:spacing w:after="0" w:line="223" w:lineRule="exact"/>
        <w:rPr>
          <w:sz w:val="20"/>
          <w:szCs w:val="20"/>
          <w:color w:val="auto"/>
        </w:rPr>
      </w:pPr>
    </w:p>
    <w:p>
      <w:pPr>
        <w:ind w:left="200"/>
        <w:spacing w:after="0"/>
        <w:tabs>
          <w:tab w:leader="none" w:pos="2960" w:val="left"/>
        </w:tabs>
        <w:rPr>
          <w:sz w:val="20"/>
          <w:szCs w:val="20"/>
          <w:color w:val="auto"/>
        </w:rPr>
      </w:pPr>
      <w:r>
        <w:rPr>
          <w:rFonts w:ascii="Times New Roman" w:cs="Times New Roman" w:eastAsia="Times New Roman" w:hAnsi="Times New Roman"/>
          <w:sz w:val="14"/>
          <w:szCs w:val="14"/>
          <w:color w:val="231F20"/>
          <w:strike w:val="1"/>
        </w:rPr>
        <w:t>Signature of Compliance Officer (or design</w:t>
      </w:r>
      <w:r>
        <w:rPr>
          <w:rFonts w:ascii="Times New Roman" w:cs="Times New Roman" w:eastAsia="Times New Roman" w:hAnsi="Times New Roman"/>
          <w:sz w:val="14"/>
          <w:szCs w:val="14"/>
          <w:color w:val="231F20"/>
        </w:rPr>
        <w:t>ee)</w:t>
      </w:r>
      <w:r>
        <w:rPr>
          <w:sz w:val="20"/>
          <w:szCs w:val="20"/>
          <w:color w:val="auto"/>
        </w:rPr>
        <w:tab/>
      </w:r>
      <w:r>
        <w:rPr>
          <w:rFonts w:ascii="Times New Roman" w:cs="Times New Roman" w:eastAsia="Times New Roman" w:hAnsi="Times New Roman"/>
          <w:sz w:val="13"/>
          <w:szCs w:val="13"/>
          <w:color w:val="231F20"/>
        </w:rPr>
        <w:t>Date</w:t>
      </w: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231F20"/>
        </w:rPr>
        <w:t>*NOTE: Multiple lots must be listed on separate forms or broken out herein.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17</w:t>
      </w:r>
    </w:p>
    <w:p>
      <w:pPr>
        <w:sectPr>
          <w:pgSz w:w="11900" w:h="16838" w:orient="portrait"/>
          <w:cols w:equalWidth="0" w:num="1">
            <w:col w:w="10720"/>
          </w:cols>
          <w:pgMar w:left="340" w:top="1184" w:right="839" w:bottom="1440" w:gutter="0" w:footer="0" w:header="0"/>
        </w:sectPr>
      </w:pPr>
    </w:p>
    <w:bookmarkStart w:id="225" w:name="page226"/>
    <w:bookmarkEnd w:id="225"/>
    <w:p>
      <w:pPr>
        <w:jc w:val="center"/>
        <w:ind w:right="-179"/>
        <w:spacing w:after="0"/>
        <w:rPr>
          <w:sz w:val="20"/>
          <w:szCs w:val="20"/>
          <w:color w:val="auto"/>
        </w:rPr>
      </w:pPr>
      <w:r>
        <w:rPr>
          <w:rFonts w:ascii="Times New Roman" w:cs="Times New Roman" w:eastAsia="Times New Roman" w:hAnsi="Times New Roman"/>
          <w:sz w:val="17"/>
          <w:szCs w:val="17"/>
          <w:u w:val="single" w:color="auto"/>
          <w:color w:val="231F20"/>
        </w:rPr>
        <w:t>EXHIBIT B</w:t>
      </w:r>
    </w:p>
    <w:p>
      <w:pPr>
        <w:spacing w:after="0" w:line="1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231F20"/>
        </w:rPr>
        <w:t>ACKNOWLEDGMENT</w:t>
      </w:r>
    </w:p>
    <w:p>
      <w:pPr>
        <w:spacing w:after="0" w:line="190" w:lineRule="exact"/>
        <w:rPr>
          <w:sz w:val="20"/>
          <w:szCs w:val="20"/>
          <w:color w:val="auto"/>
        </w:rPr>
      </w:pPr>
    </w:p>
    <w:p>
      <w:pPr>
        <w:ind w:left="120" w:firstLine="509"/>
        <w:spacing w:after="0" w:line="253" w:lineRule="auto"/>
        <w:rPr>
          <w:sz w:val="20"/>
          <w:szCs w:val="20"/>
          <w:color w:val="auto"/>
        </w:rPr>
      </w:pPr>
      <w:r>
        <w:rPr>
          <w:rFonts w:ascii="Times New Roman" w:cs="Times New Roman" w:eastAsia="Times New Roman" w:hAnsi="Times New Roman"/>
          <w:sz w:val="17"/>
          <w:szCs w:val="17"/>
          <w:color w:val="231F20"/>
        </w:rPr>
        <w:t>I hereby acknowledge that I have read, that I understand, and that I agree to comply with, the Insider Trading Policy of Entrada Therapeutics, Inc. (the “Company”). I further acknowledge and agree that I am responsible for ensuring compliance with the Insider Trading Policy and the Trading Procedures included therein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or any brokerage firm managing the Company’s equity incentive plan(s) against the transfer of any Company securities in a transaction that the Company considers to be in contravention of the Insider Trading Policy.</w:t>
      </w:r>
    </w:p>
    <w:p>
      <w:pPr>
        <w:spacing w:after="0" w:line="153" w:lineRule="exact"/>
        <w:rPr>
          <w:sz w:val="20"/>
          <w:szCs w:val="20"/>
          <w:color w:val="auto"/>
        </w:rPr>
      </w:pPr>
    </w:p>
    <w:p>
      <w:pPr>
        <w:ind w:left="120" w:right="480" w:firstLine="509"/>
        <w:spacing w:after="0" w:line="262" w:lineRule="auto"/>
        <w:rPr>
          <w:sz w:val="20"/>
          <w:szCs w:val="20"/>
          <w:color w:val="auto"/>
        </w:rPr>
      </w:pPr>
      <w:r>
        <w:rPr>
          <w:rFonts w:ascii="Times New Roman" w:cs="Times New Roman" w:eastAsia="Times New Roman" w:hAnsi="Times New Roman"/>
          <w:sz w:val="17"/>
          <w:szCs w:val="17"/>
          <w:color w:val="231F20"/>
        </w:rPr>
        <w:t>This acknowledgement constitutes consent for the Company to impose sanctions for violation of the Insider Trading Policy, including the Trading Procedures, and to issue any stop- transfer orders to the Company’s transfer agent that the Company, in its sole discretion, deems appropriate to ensure compliance.</w:t>
      </w:r>
    </w:p>
    <w:p>
      <w:pPr>
        <w:spacing w:after="0" w:line="200" w:lineRule="exact"/>
        <w:rPr>
          <w:sz w:val="20"/>
          <w:szCs w:val="20"/>
          <w:color w:val="auto"/>
        </w:rPr>
      </w:pPr>
    </w:p>
    <w:p>
      <w:pPr>
        <w:spacing w:after="0" w:line="295" w:lineRule="exact"/>
        <w:rPr>
          <w:sz w:val="20"/>
          <w:szCs w:val="20"/>
          <w:color w:val="auto"/>
        </w:rPr>
      </w:pPr>
    </w:p>
    <w:p>
      <w:pPr>
        <w:ind w:left="120"/>
        <w:spacing w:after="0"/>
        <w:tabs>
          <w:tab w:leader="none" w:pos="840" w:val="left"/>
        </w:tabs>
        <w:rPr>
          <w:sz w:val="20"/>
          <w:szCs w:val="20"/>
          <w:color w:val="auto"/>
        </w:rPr>
      </w:pPr>
      <w:r>
        <w:rPr>
          <w:rFonts w:ascii="Times New Roman" w:cs="Times New Roman" w:eastAsia="Times New Roman" w:hAnsi="Times New Roman"/>
          <w:sz w:val="17"/>
          <w:szCs w:val="17"/>
          <w:color w:val="231F20"/>
        </w:rPr>
        <w:t>Date:</w:t>
      </w:r>
      <w:r>
        <w:rPr>
          <w:sz w:val="20"/>
          <w:szCs w:val="20"/>
          <w:color w:val="auto"/>
        </w:rPr>
        <w:tab/>
      </w:r>
      <w:r>
        <w:rPr>
          <w:rFonts w:ascii="Times New Roman" w:cs="Times New Roman" w:eastAsia="Times New Roman" w:hAnsi="Times New Roman"/>
          <w:sz w:val="17"/>
          <w:szCs w:val="17"/>
          <w:color w:val="231F20"/>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-9525</wp:posOffset>
            </wp:positionV>
            <wp:extent cx="10795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-9525</wp:posOffset>
            </wp:positionV>
            <wp:extent cx="10795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18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231F20"/>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-9525</wp:posOffset>
            </wp:positionV>
            <wp:extent cx="10795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18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231F20"/>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-9525</wp:posOffset>
            </wp:positionV>
            <wp:extent cx="10795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18</w:t>
      </w:r>
    </w:p>
    <w:p>
      <w:pPr>
        <w:sectPr>
          <w:pgSz w:w="11900" w:h="16838" w:orient="portrait"/>
          <w:cols w:equalWidth="0" w:num="1">
            <w:col w:w="11020"/>
          </w:cols>
          <w:pgMar w:left="340" w:top="1148" w:right="5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5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SUBSIDIARIES</w:t>
      </w:r>
    </w:p>
    <w:p>
      <w:pPr>
        <w:sectPr>
          <w:pgSz w:w="11900" w:h="16838" w:orient="portrait"/>
          <w:cols w:equalWidth="0" w:num="1">
            <w:col w:w="10140"/>
          </w:cols>
          <w:pgMar w:left="1440" w:top="1003" w:right="319" w:bottom="1440" w:gutter="0" w:footer="0" w:header="0"/>
        </w:sectPr>
      </w:pP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Subsidiary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p>
      <w:pPr>
        <w:spacing w:after="0" w:line="25" w:lineRule="exact"/>
        <w:rPr>
          <w:sz w:val="20"/>
          <w:szCs w:val="20"/>
          <w:color w:val="auto"/>
        </w:rPr>
      </w:pPr>
    </w:p>
    <w:p>
      <w:pPr>
        <w:sectPr>
          <w:pgSz w:w="11900" w:h="16838" w:orient="portrait"/>
          <w:cols w:equalWidth="0" w:num="2">
            <w:col w:w="5720" w:space="720"/>
            <w:col w:w="3700"/>
          </w:cols>
          <w:pgMar w:left="1440" w:top="1003" w:right="319" w:bottom="1440" w:gutter="0" w:footer="0" w:header="0"/>
          <w:type w:val="continuous"/>
        </w:sectPr>
      </w:pPr>
    </w:p>
    <w:p>
      <w:pPr>
        <w:ind w:left="820"/>
        <w:spacing w:after="0"/>
        <w:rPr>
          <w:sz w:val="20"/>
          <w:szCs w:val="20"/>
          <w:color w:val="auto"/>
        </w:rPr>
      </w:pPr>
      <w:r>
        <w:rPr>
          <w:rFonts w:ascii="Times New Roman" w:cs="Times New Roman" w:eastAsia="Times New Roman" w:hAnsi="Times New Roman"/>
          <w:sz w:val="14"/>
          <w:szCs w:val="14"/>
          <w:color w:val="auto"/>
        </w:rPr>
        <w:t>Entrada Securities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Massachusetts</w:t>
      </w:r>
    </w:p>
    <w:p>
      <w:pPr>
        <w:sectPr>
          <w:pgSz w:w="11900" w:h="16838" w:orient="portrait"/>
          <w:cols w:equalWidth="0" w:num="2">
            <w:col w:w="6200" w:space="720"/>
            <w:col w:w="3220"/>
          </w:cols>
          <w:pgMar w:left="1440" w:top="1003" w:right="319" w:bottom="1440" w:gutter="0" w:footer="0" w:header="0"/>
          <w:type w:val="continuous"/>
        </w:sectPr>
      </w:pPr>
    </w:p>
    <w:bookmarkStart w:id="227" w:name="page228"/>
    <w:bookmarkEnd w:id="22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8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7"/>
          <w:szCs w:val="17"/>
          <w:b w:val="1"/>
          <w:bCs w:val="1"/>
          <w:color w:val="333333"/>
        </w:rPr>
        <w:t>Consent of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We consent to the incorporation by reference in the following Registration Statements:</w:t>
      </w:r>
    </w:p>
    <w:p>
      <w:pPr>
        <w:spacing w:after="0" w:line="176" w:lineRule="exact"/>
        <w:rPr>
          <w:sz w:val="20"/>
          <w:szCs w:val="20"/>
          <w:color w:val="auto"/>
        </w:rPr>
      </w:pPr>
    </w:p>
    <w:p>
      <w:pPr>
        <w:ind w:left="520" w:hanging="260"/>
        <w:spacing w:after="0" w:line="254" w:lineRule="auto"/>
        <w:tabs>
          <w:tab w:leader="none" w:pos="517" w:val="left"/>
        </w:tabs>
        <w:numPr>
          <w:ilvl w:val="0"/>
          <w:numId w:val="98"/>
        </w:numPr>
        <w:rPr>
          <w:rFonts w:ascii="Calibri" w:cs="Calibri" w:eastAsia="Calibri" w:hAnsi="Calibri"/>
          <w:sz w:val="16"/>
          <w:szCs w:val="16"/>
          <w:color w:val="333333"/>
        </w:rPr>
      </w:pPr>
      <w:r>
        <w:rPr>
          <w:rFonts w:ascii="Times New Roman" w:cs="Times New Roman" w:eastAsia="Times New Roman" w:hAnsi="Times New Roman"/>
          <w:sz w:val="17"/>
          <w:szCs w:val="17"/>
          <w:color w:val="333333"/>
        </w:rPr>
        <w:t>Registration Statement (Form S-8 No. 333-260563) pertaining to the 2021 Stock Option and Incentive Plan, the 2021 Employee Stock Purchase Plan and the 2016 Stock Incentive Plan of Entrada Therapeutics, Inc.,</w:t>
      </w:r>
    </w:p>
    <w:p>
      <w:pPr>
        <w:ind w:left="520" w:hanging="260"/>
        <w:spacing w:after="0" w:line="237" w:lineRule="auto"/>
        <w:tabs>
          <w:tab w:leader="none" w:pos="517" w:val="left"/>
        </w:tabs>
        <w:numPr>
          <w:ilvl w:val="0"/>
          <w:numId w:val="98"/>
        </w:numPr>
        <w:rPr>
          <w:rFonts w:ascii="Calibri" w:cs="Calibri" w:eastAsia="Calibri" w:hAnsi="Calibri"/>
          <w:sz w:val="16"/>
          <w:szCs w:val="16"/>
          <w:color w:val="auto"/>
        </w:rPr>
      </w:pPr>
      <w:r>
        <w:rPr>
          <w:rFonts w:ascii="Times New Roman" w:cs="Times New Roman" w:eastAsia="Times New Roman" w:hAnsi="Times New Roman"/>
          <w:sz w:val="17"/>
          <w:szCs w:val="17"/>
          <w:color w:val="333333"/>
        </w:rPr>
        <w:t>Registration Statement (Form S-8 No. 333-263556) pertaining to the 2021 Stock Option and Incentive Plan and the 2021 Employee Stock Purchase Plan of Entrada Therapeutics, Inc.,</w:t>
      </w:r>
    </w:p>
    <w:p>
      <w:pPr>
        <w:ind w:left="520" w:hanging="260"/>
        <w:spacing w:after="0" w:line="237" w:lineRule="auto"/>
        <w:tabs>
          <w:tab w:leader="none" w:pos="517" w:val="left"/>
        </w:tabs>
        <w:numPr>
          <w:ilvl w:val="0"/>
          <w:numId w:val="98"/>
        </w:numPr>
        <w:rPr>
          <w:rFonts w:ascii="Calibri" w:cs="Calibri" w:eastAsia="Calibri" w:hAnsi="Calibri"/>
          <w:sz w:val="16"/>
          <w:szCs w:val="16"/>
          <w:color w:val="auto"/>
        </w:rPr>
      </w:pPr>
      <w:r>
        <w:rPr>
          <w:rFonts w:ascii="Times New Roman" w:cs="Times New Roman" w:eastAsia="Times New Roman" w:hAnsi="Times New Roman"/>
          <w:sz w:val="17"/>
          <w:szCs w:val="17"/>
          <w:color w:val="333333"/>
        </w:rPr>
        <w:t>Registration Statement (Form S-8 No. 333-270286) pertaining to the 2021 Stock Option and Incentive Plan and the 2021 Employee Stock Purchase Plan of Entrada Therapeutics, Inc.,</w:t>
      </w:r>
    </w:p>
    <w:p>
      <w:pPr>
        <w:ind w:left="520" w:hanging="260"/>
        <w:spacing w:after="0" w:line="243" w:lineRule="auto"/>
        <w:tabs>
          <w:tab w:leader="none" w:pos="517" w:val="left"/>
        </w:tabs>
        <w:numPr>
          <w:ilvl w:val="0"/>
          <w:numId w:val="98"/>
        </w:numPr>
        <w:rPr>
          <w:rFonts w:ascii="Calibri" w:cs="Calibri" w:eastAsia="Calibri" w:hAnsi="Calibri"/>
          <w:sz w:val="16"/>
          <w:szCs w:val="16"/>
          <w:color w:val="auto"/>
        </w:rPr>
      </w:pPr>
      <w:r>
        <w:rPr>
          <w:rFonts w:ascii="Times New Roman" w:cs="Times New Roman" w:eastAsia="Times New Roman" w:hAnsi="Times New Roman"/>
          <w:sz w:val="17"/>
          <w:szCs w:val="17"/>
          <w:color w:val="333333"/>
        </w:rPr>
        <w:t>Registration Statement (Form S-8 No. 333-277868) pertaining to the 2021 Stock Option and Incentive Plan and the 2021 Employee Stock Purchase Plan of Entrada Therapeutics, Inc., and</w:t>
      </w:r>
    </w:p>
    <w:p>
      <w:pPr>
        <w:spacing w:after="0" w:line="1" w:lineRule="exact"/>
        <w:rPr>
          <w:rFonts w:ascii="Calibri" w:cs="Calibri" w:eastAsia="Calibri" w:hAnsi="Calibri"/>
          <w:sz w:val="16"/>
          <w:szCs w:val="16"/>
          <w:color w:val="auto"/>
        </w:rPr>
      </w:pPr>
    </w:p>
    <w:p>
      <w:pPr>
        <w:ind w:left="520" w:hanging="260"/>
        <w:spacing w:after="0"/>
        <w:tabs>
          <w:tab w:leader="none" w:pos="520" w:val="left"/>
        </w:tabs>
        <w:numPr>
          <w:ilvl w:val="0"/>
          <w:numId w:val="98"/>
        </w:numPr>
        <w:rPr>
          <w:rFonts w:ascii="Calibri" w:cs="Calibri" w:eastAsia="Calibri" w:hAnsi="Calibri"/>
          <w:sz w:val="16"/>
          <w:szCs w:val="16"/>
          <w:color w:val="auto"/>
        </w:rPr>
      </w:pPr>
      <w:r>
        <w:rPr>
          <w:rFonts w:ascii="Times New Roman" w:cs="Times New Roman" w:eastAsia="Times New Roman" w:hAnsi="Times New Roman"/>
          <w:sz w:val="17"/>
          <w:szCs w:val="17"/>
          <w:color w:val="333333"/>
        </w:rPr>
        <w:t>Registration Statement (Form S-3 No. 333-268099) of Entrada Therapeutics, Inc.;</w:t>
      </w:r>
    </w:p>
    <w:p>
      <w:pPr>
        <w:spacing w:after="0" w:line="16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333333"/>
        </w:rPr>
        <w:t>of our report dated February 27, 2025, with respect to the consolidated financial statements of Entrada Therapeutics, Inc. included in this Annual Report (Form 10-K) of Entrada Therapeutics, Inc. for the year ended December 31, 2024.</w:t>
      </w:r>
    </w:p>
    <w:p>
      <w:pPr>
        <w:spacing w:after="0" w:line="1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333333"/>
        </w:rPr>
        <w:t>/s/ Ernst &amp; Young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Boston, Massachusetts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33333"/>
        </w:rPr>
        <w:t>February 27, 2025</w:t>
      </w:r>
    </w:p>
    <w:p>
      <w:pPr>
        <w:sectPr>
          <w:pgSz w:w="11900" w:h="16838" w:orient="portrait"/>
          <w:cols w:equalWidth="0" w:num="1">
            <w:col w:w="11280"/>
          </w:cols>
          <w:pgMar w:left="300" w:top="1123" w:right="31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OR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Dipal Doshi, certify that:</w:t>
      </w:r>
    </w:p>
    <w:p>
      <w:pPr>
        <w:spacing w:after="0" w:line="125" w:lineRule="exact"/>
        <w:rPr>
          <w:sz w:val="20"/>
          <w:szCs w:val="20"/>
          <w:color w:val="auto"/>
        </w:rPr>
      </w:pPr>
    </w:p>
    <w:p>
      <w:pPr>
        <w:ind w:left="520" w:hanging="260"/>
        <w:spacing w:after="0"/>
        <w:tabs>
          <w:tab w:leader="none" w:pos="5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10-K for the Annual Period Ended December 31, 2024 of Entrada Therapeutics, Inc.;</w:t>
      </w:r>
    </w:p>
    <w:p>
      <w:pPr>
        <w:spacing w:after="0" w:line="125" w:lineRule="exact"/>
        <w:rPr>
          <w:sz w:val="20"/>
          <w:szCs w:val="20"/>
          <w:color w:val="auto"/>
        </w:rPr>
      </w:pPr>
    </w:p>
    <w:p>
      <w:pPr>
        <w:ind w:left="520" w:right="740" w:hanging="260"/>
        <w:spacing w:after="0" w:line="287" w:lineRule="auto"/>
        <w:tabs>
          <w:tab w:leader="none" w:pos="516"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sz w:val="20"/>
          <w:szCs w:val="20"/>
          <w:color w:val="auto"/>
        </w:rPr>
      </w:pPr>
    </w:p>
    <w:p>
      <w:pPr>
        <w:ind w:left="520" w:right="200" w:hanging="260"/>
        <w:spacing w:after="0" w:line="287" w:lineRule="auto"/>
        <w:tabs>
          <w:tab w:leader="none" w:pos="516"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sz w:val="20"/>
          <w:szCs w:val="20"/>
          <w:color w:val="auto"/>
        </w:rPr>
      </w:pPr>
    </w:p>
    <w:p>
      <w:pPr>
        <w:ind w:left="520" w:right="260" w:hanging="260"/>
        <w:spacing w:after="0" w:line="287" w:lineRule="auto"/>
        <w:tabs>
          <w:tab w:leader="none" w:pos="516"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520" w:right="420" w:hanging="260"/>
        <w:spacing w:after="0" w:line="287" w:lineRule="auto"/>
        <w:tabs>
          <w:tab w:leader="none" w:pos="51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5640" w:val="left"/>
          <w:tab w:leader="none" w:pos="812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Dipal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21590</wp:posOffset>
            </wp:positionV>
            <wp:extent cx="342900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29"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Dipal Doshi</w:t>
      </w:r>
    </w:p>
    <w:p>
      <w:pPr>
        <w:spacing w:after="0" w:line="5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5"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80"/>
          </w:cols>
          <w:pgMar w:left="300" w:top="759" w:right="31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6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RULES 13a-14(a) OR 15d-14(a) UNDER THE SECURITIES EXCHANGE ACT OF 1934,</w:t>
      </w: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Kory Wentworth, certify that:</w:t>
      </w:r>
    </w:p>
    <w:p>
      <w:pPr>
        <w:spacing w:after="0" w:line="179" w:lineRule="exact"/>
        <w:rPr>
          <w:sz w:val="20"/>
          <w:szCs w:val="20"/>
          <w:color w:val="auto"/>
        </w:rPr>
      </w:pPr>
    </w:p>
    <w:p>
      <w:pPr>
        <w:ind w:left="520" w:hanging="260"/>
        <w:spacing w:after="0"/>
        <w:tabs>
          <w:tab w:leader="none" w:pos="5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Form 10-K for the Annual Period Ended December 31, 2024 of Entrada Therapeutics, Inc.;</w:t>
      </w:r>
    </w:p>
    <w:p>
      <w:pPr>
        <w:spacing w:after="0" w:line="178"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020" w:right="560" w:hanging="251"/>
        <w:spacing w:after="0" w:line="270" w:lineRule="auto"/>
        <w:tabs>
          <w:tab w:leader="none" w:pos="102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2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p>
      <w:pPr>
        <w:ind w:left="20"/>
        <w:spacing w:after="0"/>
        <w:tabs>
          <w:tab w:leader="none" w:pos="5520" w:val="left"/>
          <w:tab w:leader="none" w:pos="800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Kory Wentworth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21590</wp:posOffset>
            </wp:positionV>
            <wp:extent cx="342900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29"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Kory Wentworth</w:t>
      </w:r>
    </w:p>
    <w:p>
      <w:pPr>
        <w:spacing w:after="0" w:line="5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ectPr>
          <w:pgSz w:w="11900" w:h="16838" w:orient="portrait"/>
          <w:cols w:equalWidth="0" w:num="1">
            <w:col w:w="11280"/>
          </w:cols>
          <w:pgMar w:left="300" w:top="759" w:right="31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OF PRINCIPAL EXECUTIVE OFFICER AND PRINCIPAL FINANCIAL OFFICER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on Form 10-K of Entrada Therapeutics, Inc. (the “Company”) for the fiscal year ended December 31, 2024 as filed with the Securities and Exchange Commission on the date hereof (the “Report”), the undersigned hereby certify, pursuant to 18 U.S.C. § 1350, as adopted pursuant to § 906 of the Sarbanes-Oxley Act of 2002, that, to the best of their knowledge:</w:t>
      </w:r>
    </w:p>
    <w:p>
      <w:pPr>
        <w:spacing w:after="0" w:line="136" w:lineRule="exact"/>
        <w:rPr>
          <w:sz w:val="20"/>
          <w:szCs w:val="20"/>
          <w:color w:val="auto"/>
        </w:rPr>
      </w:pPr>
    </w:p>
    <w:p>
      <w:pPr>
        <w:ind w:left="500" w:hanging="240"/>
        <w:spacing w:after="0"/>
        <w:tabs>
          <w:tab w:leader="none" w:pos="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ind w:left="20"/>
        <w:spacing w:after="0"/>
        <w:tabs>
          <w:tab w:leader="none" w:pos="4960" w:val="left"/>
          <w:tab w:leader="none" w:pos="778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Dipal Doshi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21590</wp:posOffset>
            </wp:positionV>
            <wp:extent cx="386715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3867150" cy="6985"/>
                    </a:xfrm>
                    <a:prstGeom prst="rect">
                      <a:avLst/>
                    </a:prstGeom>
                    <a:noFill/>
                  </pic:spPr>
                </pic:pic>
              </a:graphicData>
            </a:graphic>
          </wp:anchor>
        </w:drawing>
      </w:r>
    </w:p>
    <w:p>
      <w:pPr>
        <w:spacing w:after="0" w:line="29"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b w:val="1"/>
          <w:bCs w:val="1"/>
          <w:color w:val="auto"/>
        </w:rPr>
        <w:t>Dipal Doshi</w:t>
      </w:r>
    </w:p>
    <w:p>
      <w:pPr>
        <w:spacing w:after="0" w:line="5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5"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2" w:lineRule="exact"/>
        <w:rPr>
          <w:sz w:val="20"/>
          <w:szCs w:val="20"/>
          <w:color w:val="auto"/>
        </w:rPr>
      </w:pPr>
    </w:p>
    <w:p>
      <w:pPr>
        <w:ind w:left="20"/>
        <w:spacing w:after="0"/>
        <w:tabs>
          <w:tab w:leader="none" w:pos="4960" w:val="left"/>
          <w:tab w:leader="none" w:pos="7660" w:val="left"/>
        </w:tabs>
        <w:rPr>
          <w:sz w:val="20"/>
          <w:szCs w:val="20"/>
          <w:color w:val="auto"/>
        </w:rPr>
      </w:pPr>
      <w:r>
        <w:rPr>
          <w:rFonts w:ascii="Times New Roman" w:cs="Times New Roman" w:eastAsia="Times New Roman" w:hAnsi="Times New Roman"/>
          <w:sz w:val="14"/>
          <w:szCs w:val="14"/>
          <w:color w:val="auto"/>
        </w:rPr>
        <w:t>Date: February 27,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Kory Wentworth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21590</wp:posOffset>
            </wp:positionV>
            <wp:extent cx="386715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3867150" cy="6985"/>
                    </a:xfrm>
                    <a:prstGeom prst="rect">
                      <a:avLst/>
                    </a:prstGeom>
                    <a:noFill/>
                  </pic:spPr>
                </pic:pic>
              </a:graphicData>
            </a:graphic>
          </wp:anchor>
        </w:drawing>
      </w:r>
    </w:p>
    <w:p>
      <w:pPr>
        <w:spacing w:after="0" w:line="29"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Kory Wentworth</w:t>
      </w:r>
    </w:p>
    <w:p>
      <w:pPr>
        <w:spacing w:after="0" w:line="5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sectPr>
      <w:pgSz w:w="11900" w:h="16838" w:orient="portrait"/>
      <w:cols w:equalWidth="0" w:num="1">
        <w:col w:w="11280"/>
      </w:cols>
      <w:pgMar w:left="300" w:top="118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1."/>
      <w:numFmt w:val="decimal"/>
      <w:start w:val="5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lowerRoman"/>
      <w:start w:val="4"/>
    </w:lvl>
  </w:abstractNum>
  <w:abstractNum w:abstractNumId="61">
    <w:nsid w:val="71EA1109"/>
    <w:multiLevelType w:val="hybridMultilevel"/>
    <w:lvl w:ilvl="0">
      <w:lvlJc w:val="left"/>
      <w:lvlText w:val="(%1)"/>
      <w:numFmt w:val="decimal"/>
      <w:start w:val="1"/>
    </w:lvl>
  </w:abstractNum>
  <w:abstractNum w:abstractNumId="62">
    <w:nsid w:val="100F59DC"/>
    <w:multiLevelType w:val="hybridMultilevel"/>
    <w:lvl w:ilvl="0">
      <w:lvlJc w:val="left"/>
      <w:lvlText w:val="(%1)"/>
      <w:numFmt w:val="decimal"/>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1)"/>
      <w:numFmt w:val="decimal"/>
      <w:start w:val="859"/>
    </w:lvl>
  </w:abstractNum>
  <w:abstractNum w:abstractNumId="65">
    <w:nsid w:val="6F6DD9AC"/>
    <w:multiLevelType w:val="hybridMultilevel"/>
    <w:lvl w:ilvl="0">
      <w:lvlJc w:val="left"/>
      <w:lvlText w:val="(%1)"/>
      <w:numFmt w:val="decimal"/>
      <w:start w:val="1"/>
    </w:lvl>
  </w:abstractNum>
  <w:abstractNum w:abstractNumId="66">
    <w:nsid w:val="94211F2"/>
    <w:multiLevelType w:val="hybridMultilevel"/>
    <w:lvl w:ilvl="0">
      <w:lvlJc w:val="left"/>
      <w:lvlText w:val="(%1)"/>
      <w:numFmt w:val="lowerLetter"/>
      <w:start w:val="1"/>
    </w:lvl>
  </w:abstractNum>
  <w:abstractNum w:abstractNumId="67">
    <w:nsid w:val="885E1B"/>
    <w:multiLevelType w:val="hybridMultilevel"/>
    <w:lvl w:ilvl="0">
      <w:lvlJc w:val="left"/>
      <w:lvlText w:val="*"/>
      <w:numFmt w:val="bullet"/>
      <w:start w:val="1"/>
    </w:lvl>
  </w:abstractNum>
  <w:abstractNum w:abstractNumId="68">
    <w:nsid w:val="76272110"/>
    <w:multiLevelType w:val="hybridMultilevel"/>
    <w:lvl w:ilvl="0">
      <w:lvlJc w:val="left"/>
      <w:lvlText w:val="†"/>
      <w:numFmt w:val="bullet"/>
      <w:start w:val="1"/>
    </w:lvl>
  </w:abstractNum>
  <w:abstractNum w:abstractNumId="69">
    <w:nsid w:val="4C04A8AF"/>
    <w:multiLevelType w:val="hybridMultilevel"/>
    <w:lvl w:ilvl="0">
      <w:lvlJc w:val="left"/>
      <w:lvlText w:val="+"/>
      <w:numFmt w:val="bullet"/>
      <w:start w:val="1"/>
    </w:lvl>
  </w:abstractNum>
  <w:abstractNum w:abstractNumId="70">
    <w:nsid w:val="1716703B"/>
    <w:multiLevelType w:val="hybridMultilevel"/>
    <w:lvl w:ilvl="0">
      <w:lvlJc w:val="left"/>
      <w:lvlText w:val="(%1)"/>
      <w:numFmt w:val="lowerLetter"/>
      <w:start w:val="2"/>
    </w:lvl>
  </w:abstractNum>
  <w:abstractNum w:abstractNumId="71">
    <w:nsid w:val="14E17E33"/>
    <w:multiLevelType w:val="hybridMultilevel"/>
    <w:lvl w:ilvl="0">
      <w:lvlJc w:val="left"/>
      <w:lvlText w:val="%1."/>
      <w:numFmt w:val="upperLetter"/>
      <w:start w:val="1"/>
    </w:lvl>
  </w:abstractNum>
  <w:abstractNum w:abstractNumId="72">
    <w:nsid w:val="3222E7CD"/>
    <w:multiLevelType w:val="hybridMultilevel"/>
    <w:lvl w:ilvl="0">
      <w:lvlJc w:val="left"/>
      <w:lvlText w:val="•"/>
      <w:numFmt w:val="bullet"/>
      <w:start w:val="1"/>
    </w:lvl>
  </w:abstractNum>
  <w:abstractNum w:abstractNumId="73">
    <w:nsid w:val="74DE0EE3"/>
    <w:multiLevelType w:val="hybridMultilevel"/>
    <w:lvl w:ilvl="0">
      <w:lvlJc w:val="left"/>
      <w:lvlText w:val="•"/>
      <w:numFmt w:val="bullet"/>
      <w:start w:val="1"/>
    </w:lvl>
  </w:abstractNum>
  <w:abstractNum w:abstractNumId="74">
    <w:nsid w:val="68EBC550"/>
    <w:multiLevelType w:val="hybridMultilevel"/>
    <w:lvl w:ilvl="0">
      <w:lvlJc w:val="left"/>
      <w:lvlText w:val="%1."/>
      <w:numFmt w:val="upperLetter"/>
      <w:start w:val="2"/>
    </w:lvl>
  </w:abstractNum>
  <w:abstractNum w:abstractNumId="75">
    <w:nsid w:val="2DF6D648"/>
    <w:multiLevelType w:val="hybridMultilevel"/>
    <w:lvl w:ilvl="0">
      <w:lvlJc w:val="left"/>
      <w:lvlText w:val="•"/>
      <w:numFmt w:val="bullet"/>
      <w:start w:val="1"/>
    </w:lvl>
  </w:abstractNum>
  <w:abstractNum w:abstractNumId="76">
    <w:nsid w:val="46B7D447"/>
    <w:multiLevelType w:val="hybridMultilevel"/>
    <w:lvl w:ilvl="0">
      <w:lvlJc w:val="left"/>
      <w:lvlText w:val="%1."/>
      <w:numFmt w:val="upperLetter"/>
      <w:start w:val="3"/>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1."/>
      <w:numFmt w:val="upperLetter"/>
      <w:start w:val="4"/>
    </w:lvl>
  </w:abstractNum>
  <w:abstractNum w:abstractNumId="79">
    <w:nsid w:val="57FC4FBB"/>
    <w:multiLevelType w:val="hybridMultilevel"/>
    <w:lvl w:ilvl="0">
      <w:lvlJc w:val="left"/>
      <w:lvlText w:val="•"/>
      <w:numFmt w:val="bullet"/>
      <w:start w:val="1"/>
    </w:lvl>
  </w:abstractNum>
  <w:abstractNum w:abstractNumId="80">
    <w:nsid w:val="CC1016F"/>
    <w:multiLevelType w:val="hybridMultilevel"/>
    <w:lvl w:ilvl="0">
      <w:lvlJc w:val="left"/>
      <w:lvlText w:val="•"/>
      <w:numFmt w:val="bullet"/>
      <w:start w:val="1"/>
    </w:lvl>
  </w:abstractNum>
  <w:abstractNum w:abstractNumId="81">
    <w:nsid w:val="43F18422"/>
    <w:multiLevelType w:val="hybridMultilevel"/>
    <w:lvl w:ilvl="0">
      <w:lvlJc w:val="left"/>
      <w:lvlText w:val="%1."/>
      <w:numFmt w:val="upperLetter"/>
      <w:start w:val="5"/>
    </w:lvl>
  </w:abstractNum>
  <w:abstractNum w:abstractNumId="82">
    <w:nsid w:val="60EF0119"/>
    <w:multiLevelType w:val="hybridMultilevel"/>
    <w:lvl w:ilvl="0">
      <w:lvlJc w:val="left"/>
      <w:lvlText w:val="%1."/>
      <w:numFmt w:val="upperLetter"/>
      <w:start w:val="1"/>
    </w:lvl>
  </w:abstractNum>
  <w:abstractNum w:abstractNumId="83">
    <w:nsid w:val="26F324BA"/>
    <w:multiLevelType w:val="hybridMultilevel"/>
    <w:lvl w:ilvl="0">
      <w:lvlJc w:val="left"/>
      <w:lvlText w:val="%1."/>
      <w:numFmt w:val="decimal"/>
      <w:start w:val="1"/>
    </w:lvl>
  </w:abstractNum>
  <w:abstractNum w:abstractNumId="84">
    <w:nsid w:val="7F01579B"/>
    <w:multiLevelType w:val="hybridMultilevel"/>
    <w:lvl w:ilvl="0">
      <w:lvlJc w:val="left"/>
      <w:lvlText w:val="%1."/>
      <w:numFmt w:val="decimal"/>
      <w:start w:val="2"/>
    </w:lvl>
  </w:abstractNum>
  <w:abstractNum w:abstractNumId="85">
    <w:nsid w:val="49DA307D"/>
    <w:multiLevelType w:val="hybridMultilevel"/>
    <w:lvl w:ilvl="0">
      <w:lvlJc w:val="left"/>
      <w:lvlText w:val="%1."/>
      <w:numFmt w:val="upperLetter"/>
      <w:start w:val="2"/>
    </w:lvl>
  </w:abstractNum>
  <w:abstractNum w:abstractNumId="86">
    <w:nsid w:val="7055A5F5"/>
    <w:multiLevelType w:val="hybridMultilevel"/>
    <w:lvl w:ilvl="0">
      <w:lvlJc w:val="left"/>
      <w:lvlText w:val="%1."/>
      <w:numFmt w:val="decimal"/>
      <w:start w:val="1"/>
    </w:lvl>
    <w:lvl w:ilvl="1">
      <w:lvlJc w:val="left"/>
      <w:lvlText w:val="•"/>
      <w:numFmt w:val="bullet"/>
      <w:start w:val="1"/>
    </w:lvl>
  </w:abstractNum>
  <w:abstractNum w:abstractNumId="87">
    <w:nsid w:val="5FB8370B"/>
    <w:multiLevelType w:val="hybridMultilevel"/>
    <w:lvl w:ilvl="0">
      <w:lvlJc w:val="left"/>
      <w:lvlText w:val="•"/>
      <w:numFmt w:val="bullet"/>
      <w:start w:val="1"/>
    </w:lvl>
    <w:lvl w:ilvl="1">
      <w:lvlJc w:val="left"/>
      <w:lvlText w:val="(%2)"/>
      <w:numFmt w:val="lowerLetter"/>
      <w:start w:val="2"/>
    </w:lvl>
  </w:abstractNum>
  <w:abstractNum w:abstractNumId="88">
    <w:nsid w:val="50801EE1"/>
    <w:multiLevelType w:val="hybridMultilevel"/>
    <w:lvl w:ilvl="0">
      <w:lvlJc w:val="left"/>
      <w:lvlText w:val="%1."/>
      <w:numFmt w:val="decimal"/>
      <w:start w:val="2"/>
    </w:lvl>
  </w:abstractNum>
  <w:abstractNum w:abstractNumId="89">
    <w:nsid w:val="488AC1A"/>
    <w:multiLevelType w:val="hybridMultilevel"/>
    <w:lvl w:ilvl="0">
      <w:lvlJc w:val="left"/>
      <w:lvlText w:val="%1."/>
      <w:numFmt w:val="decimal"/>
      <w:start w:val="3"/>
    </w:lvl>
  </w:abstractNum>
  <w:abstractNum w:abstractNumId="90">
    <w:nsid w:val="5FB8011C"/>
    <w:multiLevelType w:val="hybridMultilevel"/>
    <w:lvl w:ilvl="0">
      <w:lvlJc w:val="left"/>
      <w:lvlText w:val="%1."/>
      <w:numFmt w:val="decimal"/>
      <w:start w:val="4"/>
    </w:lvl>
  </w:abstractNum>
  <w:abstractNum w:abstractNumId="91">
    <w:nsid w:val="6AA78F7F"/>
    <w:multiLevelType w:val="hybridMultilevel"/>
    <w:lvl w:ilvl="0">
      <w:lvlJc w:val="left"/>
      <w:lvlText w:val="%1."/>
      <w:numFmt w:val="decimal"/>
      <w:start w:val="5"/>
    </w:lvl>
  </w:abstractNum>
  <w:abstractNum w:abstractNumId="92">
    <w:nsid w:val="7672BD23"/>
    <w:multiLevelType w:val="hybridMultilevel"/>
    <w:lvl w:ilvl="0">
      <w:lvlJc w:val="left"/>
      <w:lvlText w:val="%1."/>
      <w:numFmt w:val="decimal"/>
      <w:start w:val="6"/>
    </w:lvl>
  </w:abstractNum>
  <w:abstractNum w:abstractNumId="93">
    <w:nsid w:val="6FC75AF8"/>
    <w:multiLevelType w:val="hybridMultilevel"/>
    <w:lvl w:ilvl="0">
      <w:lvlJc w:val="left"/>
      <w:lvlText w:val="%1."/>
      <w:numFmt w:val="upperLetter"/>
      <w:start w:val="3"/>
    </w:lvl>
  </w:abstractNum>
  <w:abstractNum w:abstractNumId="94">
    <w:nsid w:val="6A5F7029"/>
    <w:multiLevelType w:val="hybridMultilevel"/>
    <w:lvl w:ilvl="0">
      <w:lvlJc w:val="left"/>
      <w:lvlText w:val="%1."/>
      <w:numFmt w:val="decimal"/>
      <w:start w:val="1"/>
    </w:lvl>
  </w:abstractNum>
  <w:abstractNum w:abstractNumId="95">
    <w:nsid w:val="7D5E18F8"/>
    <w:multiLevelType w:val="hybridMultilevel"/>
    <w:lvl w:ilvl="0">
      <w:lvlJc w:val="left"/>
      <w:lvlText w:val="%1."/>
      <w:numFmt w:val="decimal"/>
      <w:start w:val="2"/>
    </w:lvl>
  </w:abstractNum>
  <w:abstractNum w:abstractNumId="96">
    <w:nsid w:val="5F3534A4"/>
    <w:multiLevelType w:val="hybridMultilevel"/>
    <w:lvl w:ilvl="0">
      <w:lvlJc w:val="left"/>
      <w:lvlText w:val="%1."/>
      <w:numFmt w:val="upperLetter"/>
      <w:start w:val="4"/>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1"/>
      <w:numFmt w:val="bullet"/>
      <w:start w:val="1"/>
    </w:lvl>
  </w:abstractNum>
  <w:abstractNum w:abstractNumId="99">
    <w:nsid w:val="555C55B5"/>
    <w:multiLevelType w:val="hybridMultilevel"/>
    <w:lvl w:ilvl="0">
      <w:lvlJc w:val="left"/>
      <w:lvlText w:val="2"/>
      <w:numFmt w:val="bullet"/>
      <w:start w:val="1"/>
    </w:lvl>
  </w:abstractNum>
  <w:abstractNum w:abstractNumId="100">
    <w:nsid w:val="3FA62ACA"/>
    <w:multiLevelType w:val="hybridMultilevel"/>
    <w:lvl w:ilvl="0">
      <w:lvlJc w:val="left"/>
      <w:lvlText w:val="3"/>
      <w:numFmt w:val="bullet"/>
      <w:start w:val="1"/>
    </w:lvl>
  </w:abstractNum>
  <w:abstractNum w:abstractNumId="101">
    <w:nsid w:val="14FCE74E"/>
    <w:multiLevelType w:val="hybridMultilevel"/>
    <w:lvl w:ilvl="0">
      <w:lvlJc w:val="left"/>
      <w:lvlText w:val="4"/>
      <w:numFmt w:val="bullet"/>
      <w:start w:val="1"/>
    </w:lvl>
    <w:lvl w:ilvl="1">
      <w:lvlJc w:val="left"/>
      <w:lvlText w:val="%2."/>
      <w:numFmt w:val="lowerLetter"/>
      <w:start w:val="1"/>
    </w:lvl>
  </w:abstractNum>
  <w:abstractNum w:abstractNumId="102">
    <w:nsid w:val="6A3DD3E8"/>
    <w:multiLevelType w:val="hybridMultilevel"/>
    <w:lvl w:ilvl="0">
      <w:lvlJc w:val="left"/>
      <w:lvlText w:val="5"/>
      <w:numFmt w:val="bullet"/>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196" Type="http://schemas.openxmlformats.org/officeDocument/2006/relationships/hyperlink" Target="https://www.sec.gov/Archives/edgar/data/1689375/000110465921132980/tm2131671d1_ex3-1.htm" TargetMode="External"/><Relationship Id="rId197" Type="http://schemas.openxmlformats.org/officeDocument/2006/relationships/hyperlink" Target="https://www.sec.gov/Archives/edgar/data/0001689375/000110465924071249/tm2417220d1_ex3-1.htm" TargetMode="External"/><Relationship Id="rId198" Type="http://schemas.openxmlformats.org/officeDocument/2006/relationships/hyperlink" Target="https://www.sec.gov/Archives/edgar/data/1689375/000110465921132980/tm2131671d1_ex3-2.htm" TargetMode="External"/><Relationship Id="rId199" Type="http://schemas.openxmlformats.org/officeDocument/2006/relationships/hyperlink" Target="https://www.sec.gov/Archives/edgar/data/1689375/000110465921129181/tm2123090d10_ex4-1.htm" TargetMode="External"/><Relationship Id="rId200" Type="http://schemas.openxmlformats.org/officeDocument/2006/relationships/hyperlink" Target="https://www.sec.gov/Archives/edgar/data/1689375/000110465921124689/tm2123090d7_ex4-2.htm" TargetMode="External"/><Relationship Id="rId201" Type="http://schemas.openxmlformats.org/officeDocument/2006/relationships/hyperlink" Target="https://www.sec.gov/Archives/edgar/data/1689375/000155837022003614/trda-20211231xex4d3.htm" TargetMode="External"/><Relationship Id="rId202" Type="http://schemas.openxmlformats.org/officeDocument/2006/relationships/hyperlink" Target="https://www.sec.gov/Archives/edgar/data/0001689375/000110465924074130/tm2417848d3_ex4-1.htm" TargetMode="External"/><Relationship Id="rId203" Type="http://schemas.openxmlformats.org/officeDocument/2006/relationships/hyperlink" Target="https://www.sec.gov/Archives/edgar/data/1689375/000110465921124689/tm2123090d7_ex10-1.htm" TargetMode="External"/><Relationship Id="rId204" Type="http://schemas.openxmlformats.org/officeDocument/2006/relationships/hyperlink" Target="https://www.sec.gov/Archives/edgar/data/1689375/000110465921129181/tm2123090d10_ex10-3.htm" TargetMode="External"/><Relationship Id="rId205" Type="http://schemas.openxmlformats.org/officeDocument/2006/relationships/hyperlink" Target="https://www.sec.gov/Archives/edgar/data/1689375/000110465921129181/tm2123090d10_ex10-4.htm" TargetMode="External"/><Relationship Id="rId206" Type="http://schemas.openxmlformats.org/officeDocument/2006/relationships/hyperlink" Target="https://www.sec.gov/Archives/edgar/data/1689375/000110465921129181/tm2123090d10_ex10-5.htm" TargetMode="External"/><Relationship Id="rId207" Type="http://schemas.openxmlformats.org/officeDocument/2006/relationships/hyperlink" Target="https://www.sec.gov/Archives/edgar/data/1689375/000110465921129181/tm2123090d10_ex10-6.htm" TargetMode="External"/><Relationship Id="rId208" Type="http://schemas.openxmlformats.org/officeDocument/2006/relationships/hyperlink" Target="https://www.sec.gov/Archives/edgar/data/1689375/000110465921129181/tm2123090d10_ex10-7.htm" TargetMode="External"/><Relationship Id="rId209" Type="http://schemas.openxmlformats.org/officeDocument/2006/relationships/hyperlink" Target="https://www.sec.gov/Archives/edgar/data/1689375/000168937524000047/entrada-secondamendedandre.htm" TargetMode="External"/><Relationship Id="rId210" Type="http://schemas.openxmlformats.org/officeDocument/2006/relationships/hyperlink" Target="https://www.sec.gov/Archives/edgar/data/1689375/000110465921129181/tm2123090d10_ex10-9.htm" TargetMode="External"/><Relationship Id="rId211" Type="http://schemas.openxmlformats.org/officeDocument/2006/relationships/hyperlink" Target="https://www.sec.gov/Archives/edgar/data/1689375/000110465921129181/tm2123090d10_ex10-10.htm" TargetMode="External"/><Relationship Id="rId214" Type="http://schemas.openxmlformats.org/officeDocument/2006/relationships/hyperlink" Target="https://www.sec.gov/Archives/edgar/data/1689375/000110465921129181/tm2123090d10_ex10-11.htm" TargetMode="External"/><Relationship Id="rId215" Type="http://schemas.openxmlformats.org/officeDocument/2006/relationships/hyperlink" Target="https://www.sec.gov/Archives/edgar/data/1689375/000110465921129181/tm2123090d10_ex10-12.htm" TargetMode="External"/><Relationship Id="rId216" Type="http://schemas.openxmlformats.org/officeDocument/2006/relationships/hyperlink" Target="https://www.sec.gov/Archives/edgar/data/0001689375/000168937524000016/ex1013entrada-osiflicensea.htm" TargetMode="External"/><Relationship Id="rId217" Type="http://schemas.openxmlformats.org/officeDocument/2006/relationships/hyperlink" Target="https://www.sec.gov/Archives/edgar/data/0001689375/000168937524000016/ex1014entrada-idbleaseagre.htm" TargetMode="External"/><Relationship Id="rId218" Type="http://schemas.openxmlformats.org/officeDocument/2006/relationships/hyperlink" Target="https://www.sec.gov/Archives/edgar/data/1689375/000110465922125317/tm2232230d1_ex10-1.htm" TargetMode="External"/><Relationship Id="rId219" Type="http://schemas.openxmlformats.org/officeDocument/2006/relationships/hyperlink" Target="https://www.sec.gov/Archives/edgar/data/0001689375/000168937524000016/ex1016entrada-vertexlicens.htm" TargetMode="External"/><Relationship Id="rId220" Type="http://schemas.openxmlformats.org/officeDocument/2006/relationships/hyperlink" Target="https://www.sec.gov/Archives/edgar/data/0001689375/000168937524000016/ex1017entrada-sublicenseag.htm" TargetMode="External"/><Relationship Id="rId221" Type="http://schemas.openxmlformats.org/officeDocument/2006/relationships/hyperlink" Target="https://www.sec.gov/Archives/edgar/data/0001689375/000110465924074130/tm2417848d3_ex10-1.htm" TargetMode="External"/><Relationship Id="rId222" Type="http://schemas.openxmlformats.org/officeDocument/2006/relationships/hyperlink" Target="https://www.sec.gov/Archives/edgar/data/0001689375/000110465924074130/tm2417848d3_ex10-2.htm" TargetMode="External"/><Relationship Id="rId223" Type="http://schemas.openxmlformats.org/officeDocument/2006/relationships/hyperlink" Target="https://www.sec.gov/Archives/edgar/data/1689375/000168937524000016/ex971entrada-compensation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2025-02-27T06:25:33Z</dcterms:created>
  <dcterms:modified xsi:type="dcterms:W3CDTF">2025-02-27T06:25:33Z</dcterms:modified>
</cp:coreProperties>
</file>